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CC2" w:rsidRPr="00093800" w:rsidRDefault="00676CC2" w:rsidP="00676CC2">
      <w:pPr>
        <w:spacing w:after="480"/>
        <w:jc w:val="center"/>
        <w:rPr>
          <w:rFonts w:ascii="Arial" w:hAnsi="Arial" w:cs="Arial"/>
          <w:b/>
          <w:caps/>
        </w:rPr>
      </w:pPr>
      <w:r w:rsidRPr="00093800">
        <w:rPr>
          <w:rFonts w:ascii="Arial" w:hAnsi="Arial" w:cs="Arial"/>
          <w:noProof/>
        </w:rPr>
        <w:drawing>
          <wp:inline distT="0" distB="0" distL="0" distR="0" wp14:anchorId="151F7F44" wp14:editId="74621CC1">
            <wp:extent cx="2876400" cy="1094400"/>
            <wp:effectExtent l="0" t="0" r="635" b="0"/>
            <wp:docPr id="3" name="Picture 3" descr="C:\Users\prmmcn\AppData\Local\Microsoft\Windows\Temporary Internet Files\Content.Outlook\FHTDTQ7Q\crest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mmcn\AppData\Local\Microsoft\Windows\Temporary Internet Files\Content.Outlook\FHTDTQ7Q\crest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400" cy="10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CC2" w:rsidRPr="00093800" w:rsidRDefault="00676CC2" w:rsidP="00676CC2">
      <w:pPr>
        <w:pStyle w:val="Heading1"/>
        <w:spacing w:after="480"/>
        <w:jc w:val="center"/>
        <w:rPr>
          <w:rFonts w:ascii="Arial" w:hAnsi="Arial" w:cs="Arial"/>
        </w:rPr>
      </w:pPr>
      <w:r w:rsidRPr="00093800">
        <w:rPr>
          <w:rFonts w:ascii="Arial" w:hAnsi="Arial" w:cs="Arial"/>
        </w:rPr>
        <w:t>NOTICE OF A DATA MATCHING PROGRAM</w:t>
      </w:r>
      <w:r>
        <w:rPr>
          <w:rFonts w:ascii="Arial" w:hAnsi="Arial" w:cs="Arial"/>
        </w:rPr>
        <w:t>ME</w:t>
      </w:r>
    </w:p>
    <w:p w:rsidR="00676CC2" w:rsidRDefault="00676CC2" w:rsidP="00112A75">
      <w:pPr>
        <w:numPr>
          <w:ilvl w:val="12"/>
          <w:numId w:val="0"/>
        </w:numPr>
        <w:tabs>
          <w:tab w:val="left" w:pos="0"/>
          <w:tab w:val="left" w:pos="218"/>
          <w:tab w:val="left" w:pos="8931"/>
        </w:tabs>
        <w:spacing w:after="120"/>
        <w:ind w:right="45"/>
        <w:rPr>
          <w:rFonts w:ascii="Arial" w:hAnsi="Arial" w:cs="Arial"/>
        </w:rPr>
      </w:pPr>
      <w:r w:rsidRPr="00093800">
        <w:rPr>
          <w:rFonts w:ascii="Arial" w:hAnsi="Arial" w:cs="Arial"/>
        </w:rPr>
        <w:t xml:space="preserve">The Department of Immigration and Border Protection (DIBP) will provide DHS – Centrelink details of visa applicants and sponsors of the </w:t>
      </w:r>
      <w:r>
        <w:rPr>
          <w:rFonts w:ascii="Arial" w:hAnsi="Arial" w:cs="Arial"/>
        </w:rPr>
        <w:t xml:space="preserve">onshore </w:t>
      </w:r>
      <w:r w:rsidRPr="00093800">
        <w:rPr>
          <w:rFonts w:ascii="Arial" w:hAnsi="Arial" w:cs="Arial"/>
        </w:rPr>
        <w:t xml:space="preserve">partner visas programme years 2012-13 and 2013–14. Matching of DIBP and DHS – Centrelink data holdings will assist in identifying instances of migration and social security fraud.   DIBP will release this information under </w:t>
      </w:r>
      <w:r w:rsidRPr="00093800">
        <w:rPr>
          <w:rFonts w:ascii="Arial" w:hAnsi="Arial" w:cs="Arial"/>
          <w:i/>
        </w:rPr>
        <w:t xml:space="preserve">Australian Privacy Principle </w:t>
      </w:r>
      <w:r w:rsidRPr="00816C95">
        <w:rPr>
          <w:rFonts w:ascii="Arial" w:hAnsi="Arial" w:cs="Arial"/>
        </w:rPr>
        <w:t xml:space="preserve">6.2 (b) </w:t>
      </w:r>
      <w:r w:rsidRPr="00093800">
        <w:rPr>
          <w:rFonts w:ascii="Arial" w:hAnsi="Arial" w:cs="Arial"/>
        </w:rPr>
        <w:t>of the</w:t>
      </w:r>
      <w:r w:rsidRPr="00816C95">
        <w:rPr>
          <w:rFonts w:ascii="Arial" w:hAnsi="Arial" w:cs="Arial"/>
        </w:rPr>
        <w:t xml:space="preserve"> </w:t>
      </w:r>
      <w:r w:rsidRPr="00C82F80">
        <w:rPr>
          <w:rFonts w:ascii="Arial" w:hAnsi="Arial" w:cs="Arial"/>
          <w:i/>
        </w:rPr>
        <w:t>Privacy Act 1988</w:t>
      </w:r>
      <w:r>
        <w:rPr>
          <w:rFonts w:ascii="Arial" w:hAnsi="Arial" w:cs="Arial"/>
        </w:rPr>
        <w:t xml:space="preserve"> </w:t>
      </w:r>
      <w:r w:rsidRPr="00816C95">
        <w:rPr>
          <w:rFonts w:ascii="Arial" w:hAnsi="Arial" w:cs="Arial"/>
        </w:rPr>
        <w:t xml:space="preserve">with reference to the </w:t>
      </w:r>
      <w:r w:rsidRPr="00C82F80">
        <w:rPr>
          <w:rFonts w:ascii="Arial" w:hAnsi="Arial" w:cs="Arial"/>
          <w:i/>
        </w:rPr>
        <w:t>Social Security (Administration) Act 1999</w:t>
      </w:r>
      <w:r w:rsidRPr="00816C95">
        <w:rPr>
          <w:rFonts w:ascii="Arial" w:hAnsi="Arial" w:cs="Arial"/>
        </w:rPr>
        <w:t>.</w:t>
      </w:r>
      <w:r w:rsidRPr="00134BA4">
        <w:rPr>
          <w:rFonts w:ascii="Arial" w:hAnsi="Arial" w:cs="Arial"/>
        </w:rPr>
        <w:t xml:space="preserve">  </w:t>
      </w:r>
    </w:p>
    <w:p w:rsidR="00676CC2" w:rsidRPr="00093800" w:rsidRDefault="00676CC2" w:rsidP="00676CC2">
      <w:pPr>
        <w:spacing w:before="120" w:after="120"/>
        <w:rPr>
          <w:rFonts w:ascii="Arial" w:hAnsi="Arial" w:cs="Arial"/>
        </w:rPr>
      </w:pPr>
    </w:p>
    <w:p w:rsidR="00676CC2" w:rsidRPr="00093800" w:rsidRDefault="00676CC2" w:rsidP="00676CC2">
      <w:pPr>
        <w:spacing w:before="120" w:after="120"/>
        <w:rPr>
          <w:rFonts w:ascii="Arial" w:hAnsi="Arial" w:cs="Arial"/>
        </w:rPr>
      </w:pPr>
      <w:r w:rsidRPr="00093800">
        <w:rPr>
          <w:rFonts w:ascii="Arial" w:hAnsi="Arial" w:cs="Arial"/>
        </w:rPr>
        <w:t xml:space="preserve">DIBP will release more than 5000 individual records to DHS–Centrelink for data matching purposes. These records will be electronically matched against DHS–Centrelink data holdings to identify non-compliance and fraud through declarations regarding relationship status and details.  </w:t>
      </w:r>
    </w:p>
    <w:p w:rsidR="00676CC2" w:rsidRPr="00093800" w:rsidRDefault="00676CC2" w:rsidP="00676CC2">
      <w:pPr>
        <w:spacing w:before="120" w:after="120"/>
        <w:rPr>
          <w:rFonts w:ascii="Arial" w:hAnsi="Arial" w:cs="Arial"/>
        </w:rPr>
      </w:pPr>
      <w:r w:rsidRPr="00093800">
        <w:rPr>
          <w:rFonts w:ascii="Arial" w:hAnsi="Arial" w:cs="Arial"/>
        </w:rPr>
        <w:t xml:space="preserve">DHS–Centrelink will provide results to DIBP where a match has occurred. Subsequent analysis will be used to identify non-compliance and fraud and form the basis of mitigation enforcement strategies including criminal investigations.  DIBP will identify and where appropriate investigate: </w:t>
      </w:r>
    </w:p>
    <w:p w:rsidR="00676CC2" w:rsidRPr="00093800" w:rsidRDefault="00676CC2" w:rsidP="00676CC2">
      <w:pPr>
        <w:pStyle w:val="ListParagraph"/>
        <w:numPr>
          <w:ilvl w:val="0"/>
          <w:numId w:val="1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093800">
        <w:rPr>
          <w:rFonts w:ascii="Arial" w:hAnsi="Arial" w:cs="Arial"/>
          <w:sz w:val="22"/>
          <w:szCs w:val="22"/>
        </w:rPr>
        <w:t>Visa applicants suspected to be involved in migration fraud in the partner visa programme.</w:t>
      </w:r>
    </w:p>
    <w:p w:rsidR="00676CC2" w:rsidRPr="00093800" w:rsidRDefault="00676CC2" w:rsidP="00676CC2">
      <w:pPr>
        <w:pStyle w:val="ListParagraph"/>
        <w:numPr>
          <w:ilvl w:val="0"/>
          <w:numId w:val="1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093800">
        <w:rPr>
          <w:rFonts w:ascii="Arial" w:hAnsi="Arial" w:cs="Arial"/>
          <w:sz w:val="22"/>
          <w:szCs w:val="22"/>
        </w:rPr>
        <w:t>Centrelink customers who are failing to declare their correct relationship status to the department.</w:t>
      </w:r>
    </w:p>
    <w:p w:rsidR="00676CC2" w:rsidRPr="00093800" w:rsidRDefault="00676CC2" w:rsidP="00676CC2">
      <w:pPr>
        <w:pStyle w:val="ListParagraph"/>
        <w:numPr>
          <w:ilvl w:val="0"/>
          <w:numId w:val="1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093800">
        <w:rPr>
          <w:rFonts w:ascii="Arial" w:hAnsi="Arial" w:cs="Arial"/>
          <w:sz w:val="22"/>
          <w:szCs w:val="22"/>
        </w:rPr>
        <w:t xml:space="preserve">Facilitators / organisers / professionals involved in migration fraud using the partner visa programme as a pathway for their clients to obtain permanent residency in Australia. </w:t>
      </w:r>
    </w:p>
    <w:p w:rsidR="00676CC2" w:rsidRPr="00093800" w:rsidRDefault="00676CC2" w:rsidP="00676CC2">
      <w:pPr>
        <w:pStyle w:val="ListParagraph"/>
        <w:numPr>
          <w:ilvl w:val="0"/>
          <w:numId w:val="1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093800">
        <w:rPr>
          <w:rFonts w:ascii="Arial" w:hAnsi="Arial" w:cs="Arial"/>
          <w:sz w:val="22"/>
          <w:szCs w:val="22"/>
        </w:rPr>
        <w:t xml:space="preserve">Vulnerable sponsors potentially being exploited and identify intervention strategies to ensure that they are not being exploited through the partner visa programme. </w:t>
      </w:r>
    </w:p>
    <w:p w:rsidR="00676CC2" w:rsidRPr="00093800" w:rsidRDefault="00676CC2" w:rsidP="00676CC2">
      <w:pPr>
        <w:spacing w:before="120" w:after="120"/>
        <w:rPr>
          <w:rFonts w:ascii="Arial" w:hAnsi="Arial" w:cs="Arial"/>
        </w:rPr>
      </w:pPr>
      <w:r w:rsidRPr="00093800">
        <w:rPr>
          <w:rFonts w:ascii="Arial" w:hAnsi="Arial" w:cs="Arial"/>
        </w:rPr>
        <w:t>Persons affected by this programme include non-citizens and sponsors who have lodged a</w:t>
      </w:r>
      <w:r>
        <w:rPr>
          <w:rFonts w:ascii="Arial" w:hAnsi="Arial" w:cs="Arial"/>
        </w:rPr>
        <w:t>n onshore</w:t>
      </w:r>
      <w:r w:rsidRPr="00093800">
        <w:rPr>
          <w:rFonts w:ascii="Arial" w:hAnsi="Arial" w:cs="Arial"/>
        </w:rPr>
        <w:t xml:space="preserve"> partner visa application, and whose relationship details differ to those declared to DHS–Centrelink.    </w:t>
      </w:r>
    </w:p>
    <w:p w:rsidR="00676CC2" w:rsidRPr="00427909" w:rsidRDefault="00676CC2" w:rsidP="00112A75">
      <w:pPr>
        <w:spacing w:after="360"/>
        <w:rPr>
          <w:rFonts w:ascii="Arial" w:hAnsi="Arial" w:cs="Arial"/>
        </w:rPr>
      </w:pPr>
      <w:r w:rsidRPr="00093800">
        <w:rPr>
          <w:rFonts w:ascii="Arial" w:hAnsi="Arial" w:cs="Arial"/>
        </w:rPr>
        <w:t>DIBP has collaborated with DHS–Centrelink in the preparation of the protocol document which outlines the data matching programme</w:t>
      </w:r>
      <w:r>
        <w:rPr>
          <w:rFonts w:ascii="Arial" w:hAnsi="Arial" w:cs="Arial"/>
        </w:rPr>
        <w:t xml:space="preserve">. Feedback in relation to this programme can be provided by calling the Global Feedback Unit on 133 177 or at </w:t>
      </w:r>
      <w:hyperlink r:id="rId10" w:history="1">
        <w:r w:rsidRPr="009B0A58">
          <w:rPr>
            <w:rStyle w:val="Hyperlink"/>
            <w:rFonts w:ascii="Helvetica" w:hAnsi="Helvetica" w:cs="Helvetica"/>
            <w:sz w:val="21"/>
            <w:szCs w:val="21"/>
          </w:rPr>
          <w:t>http://www.immi.gov.au/contacts/forms/services/services-form.htm</w:t>
        </w:r>
      </w:hyperlink>
      <w:r>
        <w:rPr>
          <w:rFonts w:ascii="Helvetica" w:hAnsi="Helvetica" w:cs="Helvetica"/>
          <w:color w:val="212121"/>
          <w:sz w:val="21"/>
          <w:szCs w:val="21"/>
        </w:rPr>
        <w:t>.</w:t>
      </w:r>
    </w:p>
    <w:p w:rsidR="00676CC2" w:rsidRPr="00093800" w:rsidRDefault="00676CC2" w:rsidP="00676CC2">
      <w:pPr>
        <w:rPr>
          <w:rFonts w:ascii="Arial" w:hAnsi="Arial" w:cs="Arial"/>
        </w:rPr>
      </w:pPr>
      <w:r w:rsidRPr="00093800">
        <w:rPr>
          <w:rFonts w:ascii="Arial" w:hAnsi="Arial" w:cs="Arial"/>
        </w:rPr>
        <w:t xml:space="preserve">Investigations </w:t>
      </w:r>
      <w:r>
        <w:rPr>
          <w:rFonts w:ascii="Arial" w:hAnsi="Arial" w:cs="Arial"/>
        </w:rPr>
        <w:t>Divi</w:t>
      </w:r>
      <w:bookmarkStart w:id="0" w:name="_GoBack"/>
      <w:bookmarkEnd w:id="0"/>
      <w:r>
        <w:rPr>
          <w:rFonts w:ascii="Arial" w:hAnsi="Arial" w:cs="Arial"/>
        </w:rPr>
        <w:t>sion</w:t>
      </w:r>
    </w:p>
    <w:p w:rsidR="00676CC2" w:rsidRPr="00093800" w:rsidRDefault="00676CC2" w:rsidP="00676CC2">
      <w:pPr>
        <w:rPr>
          <w:rFonts w:ascii="Arial" w:hAnsi="Arial" w:cs="Arial"/>
        </w:rPr>
      </w:pPr>
      <w:r>
        <w:rPr>
          <w:rFonts w:ascii="Arial" w:hAnsi="Arial" w:cs="Arial"/>
        </w:rPr>
        <w:t>PO Box 25</w:t>
      </w:r>
    </w:p>
    <w:p w:rsidR="004B2753" w:rsidRPr="00424B97" w:rsidRDefault="00676CC2" w:rsidP="00424B97">
      <w:r w:rsidRPr="00093800">
        <w:rPr>
          <w:rFonts w:ascii="Arial" w:hAnsi="Arial" w:cs="Arial"/>
        </w:rPr>
        <w:t>Belconnen ACT 2616</w:t>
      </w:r>
    </w:p>
    <w:sectPr w:rsidR="004B2753" w:rsidRPr="00424B97" w:rsidSect="00676C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1134" w:bottom="851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2948439" wp14:editId="76A173D1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40AE2"/>
    <w:multiLevelType w:val="hybridMultilevel"/>
    <w:tmpl w:val="728864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12A75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676CC2"/>
    <w:rsid w:val="00840A06"/>
    <w:rsid w:val="008439B7"/>
    <w:rsid w:val="0087253F"/>
    <w:rsid w:val="008E4F6C"/>
    <w:rsid w:val="009539C7"/>
    <w:rsid w:val="00A00F21"/>
    <w:rsid w:val="00B84226"/>
    <w:rsid w:val="00C63C4E"/>
    <w:rsid w:val="00C72C30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CC2"/>
    <w:pPr>
      <w:keepNext/>
      <w:keepLines/>
      <w:spacing w:before="480" w:after="0" w:line="24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uiPriority w:val="9"/>
    <w:rsid w:val="00676CC2"/>
    <w:rPr>
      <w:rFonts w:ascii="Times New Roman" w:eastAsiaTheme="majorEastAsia" w:hAnsi="Times New Roman" w:cstheme="majorBidi"/>
      <w:b/>
      <w:bCs/>
      <w:sz w:val="24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676C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676C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CC2"/>
    <w:pPr>
      <w:keepNext/>
      <w:keepLines/>
      <w:spacing w:before="480" w:after="0" w:line="24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uiPriority w:val="9"/>
    <w:rsid w:val="00676CC2"/>
    <w:rPr>
      <w:rFonts w:ascii="Times New Roman" w:eastAsiaTheme="majorEastAsia" w:hAnsi="Times New Roman" w:cstheme="majorBidi"/>
      <w:b/>
      <w:bCs/>
      <w:sz w:val="24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676C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676C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mmi.gov.au/contacts/forms/services/services-form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8AAD8-3EB9-40A3-9F4B-616D3840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Gavin DAVY</cp:lastModifiedBy>
  <cp:revision>3</cp:revision>
  <cp:lastPrinted>2013-06-24T01:35:00Z</cp:lastPrinted>
  <dcterms:created xsi:type="dcterms:W3CDTF">2015-05-21T00:41:00Z</dcterms:created>
  <dcterms:modified xsi:type="dcterms:W3CDTF">2015-05-21T00:41:00Z</dcterms:modified>
</cp:coreProperties>
</file>