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F9C" w:rsidRDefault="003C58D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79.5pt" fillcolor="window">
            <v:imagedata r:id="rId8" o:title=""/>
          </v:shape>
        </w:pict>
      </w:r>
    </w:p>
    <w:p w:rsidR="00A64F9C" w:rsidRDefault="00A64F9C"/>
    <w:p w:rsidR="00A64F9C" w:rsidRDefault="00A64F9C" w:rsidP="00A64F9C">
      <w:pPr>
        <w:spacing w:line="240" w:lineRule="auto"/>
      </w:pPr>
    </w:p>
    <w:p w:rsidR="00A64F9C" w:rsidRDefault="00A64F9C" w:rsidP="00A64F9C"/>
    <w:p w:rsidR="00A64F9C" w:rsidRDefault="00A64F9C" w:rsidP="00A64F9C"/>
    <w:p w:rsidR="00A64F9C" w:rsidRDefault="00A64F9C" w:rsidP="00A64F9C"/>
    <w:p w:rsidR="00A64F9C" w:rsidRDefault="00A64F9C" w:rsidP="00A64F9C"/>
    <w:p w:rsidR="00715914" w:rsidRPr="00E70A49" w:rsidRDefault="00A851E1" w:rsidP="00715914">
      <w:pPr>
        <w:pStyle w:val="ShortT"/>
      </w:pPr>
      <w:r w:rsidRPr="00E70A49">
        <w:t>Asian Infrastructure Investment Bank</w:t>
      </w:r>
      <w:r w:rsidR="001F5D5E" w:rsidRPr="00E70A49">
        <w:t xml:space="preserve"> </w:t>
      </w:r>
      <w:r w:rsidR="00A64F9C">
        <w:t>Act</w:t>
      </w:r>
      <w:r w:rsidR="001F5D5E" w:rsidRPr="00E70A49">
        <w:t xml:space="preserve"> 201</w:t>
      </w:r>
      <w:r w:rsidR="000A556A" w:rsidRPr="00E70A49">
        <w:t>5</w:t>
      </w:r>
    </w:p>
    <w:p w:rsidR="00715914" w:rsidRPr="00E70A49" w:rsidRDefault="00715914" w:rsidP="00715914"/>
    <w:p w:rsidR="00715914" w:rsidRPr="00E70A49" w:rsidRDefault="00715914" w:rsidP="00A64F9C">
      <w:pPr>
        <w:pStyle w:val="Actno"/>
        <w:spacing w:before="400"/>
      </w:pPr>
      <w:r w:rsidRPr="00E70A49">
        <w:t>No.</w:t>
      </w:r>
      <w:r w:rsidR="00663C00">
        <w:t xml:space="preserve"> 134</w:t>
      </w:r>
      <w:r w:rsidR="001F5D5E" w:rsidRPr="00E70A49">
        <w:t>, 201</w:t>
      </w:r>
      <w:r w:rsidR="000A556A" w:rsidRPr="00E70A49">
        <w:t>5</w:t>
      </w:r>
    </w:p>
    <w:p w:rsidR="00715914" w:rsidRPr="00E70A49" w:rsidRDefault="00715914" w:rsidP="00715914"/>
    <w:p w:rsidR="00A64F9C" w:rsidRDefault="00A64F9C" w:rsidP="00A64F9C"/>
    <w:p w:rsidR="00A64F9C" w:rsidRDefault="00A64F9C" w:rsidP="00A64F9C"/>
    <w:p w:rsidR="00A64F9C" w:rsidRDefault="00A64F9C" w:rsidP="00A64F9C"/>
    <w:p w:rsidR="00A64F9C" w:rsidRDefault="00A64F9C" w:rsidP="00A64F9C"/>
    <w:p w:rsidR="00A851E1" w:rsidRPr="00E70A49" w:rsidRDefault="00A64F9C" w:rsidP="009A7626">
      <w:pPr>
        <w:pStyle w:val="LongT"/>
      </w:pPr>
      <w:r>
        <w:t>An Act</w:t>
      </w:r>
      <w:r w:rsidR="00A851E1" w:rsidRPr="00E70A49">
        <w:t xml:space="preserve"> </w:t>
      </w:r>
      <w:r w:rsidR="00285D31" w:rsidRPr="00E70A49">
        <w:t>relating to</w:t>
      </w:r>
      <w:r w:rsidR="00A851E1" w:rsidRPr="00E70A49">
        <w:t xml:space="preserve"> the Asian Infrastructure Investment Bank, and for </w:t>
      </w:r>
      <w:r w:rsidR="00476F7E" w:rsidRPr="00E70A49">
        <w:t>related</w:t>
      </w:r>
      <w:r w:rsidR="00285D31" w:rsidRPr="00E70A49">
        <w:t xml:space="preserve"> </w:t>
      </w:r>
      <w:r w:rsidR="00A851E1" w:rsidRPr="00E70A49">
        <w:t>purposes</w:t>
      </w:r>
    </w:p>
    <w:p w:rsidR="00715914" w:rsidRPr="00E70A49" w:rsidRDefault="00715914" w:rsidP="00C84915">
      <w:pPr>
        <w:pStyle w:val="Header"/>
        <w:tabs>
          <w:tab w:val="clear" w:pos="4150"/>
          <w:tab w:val="clear" w:pos="8307"/>
        </w:tabs>
      </w:pPr>
      <w:r w:rsidRPr="00E70A49">
        <w:rPr>
          <w:rStyle w:val="CharChapNo"/>
        </w:rPr>
        <w:t xml:space="preserve"> </w:t>
      </w:r>
      <w:r w:rsidRPr="00E70A49">
        <w:rPr>
          <w:rStyle w:val="CharChapText"/>
        </w:rPr>
        <w:t xml:space="preserve"> </w:t>
      </w:r>
    </w:p>
    <w:p w:rsidR="00715914" w:rsidRPr="00E70A49" w:rsidRDefault="00715914" w:rsidP="00C84915">
      <w:pPr>
        <w:pStyle w:val="Header"/>
        <w:tabs>
          <w:tab w:val="clear" w:pos="4150"/>
          <w:tab w:val="clear" w:pos="8307"/>
        </w:tabs>
      </w:pPr>
      <w:r w:rsidRPr="00E70A49">
        <w:rPr>
          <w:rStyle w:val="CharPartNo"/>
        </w:rPr>
        <w:t xml:space="preserve"> </w:t>
      </w:r>
      <w:r w:rsidRPr="00E70A49">
        <w:rPr>
          <w:rStyle w:val="CharPartText"/>
        </w:rPr>
        <w:t xml:space="preserve"> </w:t>
      </w:r>
    </w:p>
    <w:p w:rsidR="00715914" w:rsidRPr="00E70A49" w:rsidRDefault="00715914" w:rsidP="00C84915">
      <w:pPr>
        <w:pStyle w:val="Header"/>
        <w:tabs>
          <w:tab w:val="clear" w:pos="4150"/>
          <w:tab w:val="clear" w:pos="8307"/>
        </w:tabs>
      </w:pPr>
      <w:r w:rsidRPr="00E70A49">
        <w:rPr>
          <w:rStyle w:val="CharDivNo"/>
        </w:rPr>
        <w:t xml:space="preserve"> </w:t>
      </w:r>
      <w:r w:rsidRPr="00E70A49">
        <w:rPr>
          <w:rStyle w:val="CharDivText"/>
        </w:rPr>
        <w:t xml:space="preserve"> </w:t>
      </w:r>
    </w:p>
    <w:p w:rsidR="00715914" w:rsidRPr="00E70A49" w:rsidRDefault="00715914" w:rsidP="00715914">
      <w:pPr>
        <w:sectPr w:rsidR="00715914" w:rsidRPr="00E70A49" w:rsidSect="00A64F9C">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715914" w:rsidRPr="00E70A49" w:rsidRDefault="00715914" w:rsidP="009A7626">
      <w:pPr>
        <w:rPr>
          <w:sz w:val="36"/>
        </w:rPr>
      </w:pPr>
      <w:r w:rsidRPr="00E70A49">
        <w:rPr>
          <w:sz w:val="36"/>
        </w:rPr>
        <w:lastRenderedPageBreak/>
        <w:t>Contents</w:t>
      </w:r>
    </w:p>
    <w:bookmarkStart w:id="0" w:name="BKCheck15B_1"/>
    <w:bookmarkEnd w:id="0"/>
    <w:p w:rsidR="001824CA" w:rsidRDefault="001824CA">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1824CA">
        <w:rPr>
          <w:noProof/>
        </w:rPr>
        <w:tab/>
      </w:r>
      <w:r w:rsidRPr="001824CA">
        <w:rPr>
          <w:noProof/>
        </w:rPr>
        <w:fldChar w:fldCharType="begin"/>
      </w:r>
      <w:r w:rsidRPr="001824CA">
        <w:rPr>
          <w:noProof/>
        </w:rPr>
        <w:instrText xml:space="preserve"> PAGEREF _Toc432684248 \h </w:instrText>
      </w:r>
      <w:r w:rsidRPr="001824CA">
        <w:rPr>
          <w:noProof/>
        </w:rPr>
      </w:r>
      <w:r w:rsidRPr="001824CA">
        <w:rPr>
          <w:noProof/>
        </w:rPr>
        <w:fldChar w:fldCharType="separate"/>
      </w:r>
      <w:r w:rsidR="003C58D7">
        <w:rPr>
          <w:noProof/>
        </w:rPr>
        <w:t>1</w:t>
      </w:r>
      <w:r w:rsidRPr="001824CA">
        <w:rPr>
          <w:noProof/>
        </w:rPr>
        <w:fldChar w:fldCharType="end"/>
      </w:r>
    </w:p>
    <w:p w:rsidR="001824CA" w:rsidRDefault="001824CA">
      <w:pPr>
        <w:pStyle w:val="TOC5"/>
        <w:rPr>
          <w:rFonts w:asciiTheme="minorHAnsi" w:eastAsiaTheme="minorEastAsia" w:hAnsiTheme="minorHAnsi" w:cstheme="minorBidi"/>
          <w:noProof/>
          <w:kern w:val="0"/>
          <w:sz w:val="22"/>
          <w:szCs w:val="22"/>
        </w:rPr>
      </w:pPr>
      <w:r>
        <w:rPr>
          <w:noProof/>
        </w:rPr>
        <w:t>2</w:t>
      </w:r>
      <w:r>
        <w:rPr>
          <w:noProof/>
        </w:rPr>
        <w:tab/>
        <w:t>Commencement</w:t>
      </w:r>
      <w:r w:rsidRPr="001824CA">
        <w:rPr>
          <w:noProof/>
        </w:rPr>
        <w:tab/>
      </w:r>
      <w:r w:rsidRPr="001824CA">
        <w:rPr>
          <w:noProof/>
        </w:rPr>
        <w:fldChar w:fldCharType="begin"/>
      </w:r>
      <w:r w:rsidRPr="001824CA">
        <w:rPr>
          <w:noProof/>
        </w:rPr>
        <w:instrText xml:space="preserve"> PAGEREF _Toc432684249 \h </w:instrText>
      </w:r>
      <w:r w:rsidRPr="001824CA">
        <w:rPr>
          <w:noProof/>
        </w:rPr>
      </w:r>
      <w:r w:rsidRPr="001824CA">
        <w:rPr>
          <w:noProof/>
        </w:rPr>
        <w:fldChar w:fldCharType="separate"/>
      </w:r>
      <w:r w:rsidR="003C58D7">
        <w:rPr>
          <w:noProof/>
        </w:rPr>
        <w:t>2</w:t>
      </w:r>
      <w:r w:rsidRPr="001824CA">
        <w:rPr>
          <w:noProof/>
        </w:rPr>
        <w:fldChar w:fldCharType="end"/>
      </w:r>
    </w:p>
    <w:p w:rsidR="001824CA" w:rsidRDefault="001824CA">
      <w:pPr>
        <w:pStyle w:val="TOC5"/>
        <w:rPr>
          <w:rFonts w:asciiTheme="minorHAnsi" w:eastAsiaTheme="minorEastAsia" w:hAnsiTheme="minorHAnsi" w:cstheme="minorBidi"/>
          <w:noProof/>
          <w:kern w:val="0"/>
          <w:sz w:val="22"/>
          <w:szCs w:val="22"/>
        </w:rPr>
      </w:pPr>
      <w:r>
        <w:rPr>
          <w:noProof/>
        </w:rPr>
        <w:t>3</w:t>
      </w:r>
      <w:r>
        <w:rPr>
          <w:noProof/>
        </w:rPr>
        <w:tab/>
        <w:t>Simplified outline of this Act</w:t>
      </w:r>
      <w:r w:rsidRPr="001824CA">
        <w:rPr>
          <w:noProof/>
        </w:rPr>
        <w:tab/>
      </w:r>
      <w:r w:rsidRPr="001824CA">
        <w:rPr>
          <w:noProof/>
        </w:rPr>
        <w:fldChar w:fldCharType="begin"/>
      </w:r>
      <w:r w:rsidRPr="001824CA">
        <w:rPr>
          <w:noProof/>
        </w:rPr>
        <w:instrText xml:space="preserve"> PAGEREF _Toc432684250 \h </w:instrText>
      </w:r>
      <w:r w:rsidRPr="001824CA">
        <w:rPr>
          <w:noProof/>
        </w:rPr>
      </w:r>
      <w:r w:rsidRPr="001824CA">
        <w:rPr>
          <w:noProof/>
        </w:rPr>
        <w:fldChar w:fldCharType="separate"/>
      </w:r>
      <w:r w:rsidR="003C58D7">
        <w:rPr>
          <w:noProof/>
        </w:rPr>
        <w:t>2</w:t>
      </w:r>
      <w:r w:rsidRPr="001824CA">
        <w:rPr>
          <w:noProof/>
        </w:rPr>
        <w:fldChar w:fldCharType="end"/>
      </w:r>
    </w:p>
    <w:p w:rsidR="001824CA" w:rsidRDefault="001824CA">
      <w:pPr>
        <w:pStyle w:val="TOC5"/>
        <w:rPr>
          <w:rFonts w:asciiTheme="minorHAnsi" w:eastAsiaTheme="minorEastAsia" w:hAnsiTheme="minorHAnsi" w:cstheme="minorBidi"/>
          <w:noProof/>
          <w:kern w:val="0"/>
          <w:sz w:val="22"/>
          <w:szCs w:val="22"/>
        </w:rPr>
      </w:pPr>
      <w:r>
        <w:rPr>
          <w:noProof/>
        </w:rPr>
        <w:t>4</w:t>
      </w:r>
      <w:r>
        <w:rPr>
          <w:noProof/>
        </w:rPr>
        <w:tab/>
        <w:t>Definitions</w:t>
      </w:r>
      <w:bookmarkStart w:id="1" w:name="_GoBack"/>
      <w:bookmarkEnd w:id="1"/>
      <w:r w:rsidRPr="001824CA">
        <w:rPr>
          <w:noProof/>
        </w:rPr>
        <w:tab/>
      </w:r>
      <w:r w:rsidRPr="001824CA">
        <w:rPr>
          <w:noProof/>
        </w:rPr>
        <w:fldChar w:fldCharType="begin"/>
      </w:r>
      <w:r w:rsidRPr="001824CA">
        <w:rPr>
          <w:noProof/>
        </w:rPr>
        <w:instrText xml:space="preserve"> PAGEREF _Toc432684251 \h </w:instrText>
      </w:r>
      <w:r w:rsidRPr="001824CA">
        <w:rPr>
          <w:noProof/>
        </w:rPr>
      </w:r>
      <w:r w:rsidRPr="001824CA">
        <w:rPr>
          <w:noProof/>
        </w:rPr>
        <w:fldChar w:fldCharType="separate"/>
      </w:r>
      <w:r w:rsidR="003C58D7">
        <w:rPr>
          <w:noProof/>
        </w:rPr>
        <w:t>3</w:t>
      </w:r>
      <w:r w:rsidRPr="001824CA">
        <w:rPr>
          <w:noProof/>
        </w:rPr>
        <w:fldChar w:fldCharType="end"/>
      </w:r>
    </w:p>
    <w:p w:rsidR="001824CA" w:rsidRDefault="001824CA">
      <w:pPr>
        <w:pStyle w:val="TOC5"/>
        <w:rPr>
          <w:rFonts w:asciiTheme="minorHAnsi" w:eastAsiaTheme="minorEastAsia" w:hAnsiTheme="minorHAnsi" w:cstheme="minorBidi"/>
          <w:noProof/>
          <w:kern w:val="0"/>
          <w:sz w:val="22"/>
          <w:szCs w:val="22"/>
        </w:rPr>
      </w:pPr>
      <w:r>
        <w:rPr>
          <w:noProof/>
        </w:rPr>
        <w:t>5</w:t>
      </w:r>
      <w:r>
        <w:rPr>
          <w:noProof/>
        </w:rPr>
        <w:tab/>
        <w:t>Payments required to be made to the Bank</w:t>
      </w:r>
      <w:r w:rsidRPr="001824CA">
        <w:rPr>
          <w:noProof/>
        </w:rPr>
        <w:tab/>
      </w:r>
      <w:r w:rsidRPr="001824CA">
        <w:rPr>
          <w:noProof/>
        </w:rPr>
        <w:fldChar w:fldCharType="begin"/>
      </w:r>
      <w:r w:rsidRPr="001824CA">
        <w:rPr>
          <w:noProof/>
        </w:rPr>
        <w:instrText xml:space="preserve"> PAGEREF _Toc432684252 \h </w:instrText>
      </w:r>
      <w:r w:rsidRPr="001824CA">
        <w:rPr>
          <w:noProof/>
        </w:rPr>
      </w:r>
      <w:r w:rsidRPr="001824CA">
        <w:rPr>
          <w:noProof/>
        </w:rPr>
        <w:fldChar w:fldCharType="separate"/>
      </w:r>
      <w:r w:rsidR="003C58D7">
        <w:rPr>
          <w:noProof/>
        </w:rPr>
        <w:t>3</w:t>
      </w:r>
      <w:r w:rsidRPr="001824CA">
        <w:rPr>
          <w:noProof/>
        </w:rPr>
        <w:fldChar w:fldCharType="end"/>
      </w:r>
    </w:p>
    <w:p w:rsidR="001824CA" w:rsidRDefault="001824CA">
      <w:pPr>
        <w:pStyle w:val="TOC5"/>
        <w:rPr>
          <w:rFonts w:asciiTheme="minorHAnsi" w:eastAsiaTheme="minorEastAsia" w:hAnsiTheme="minorHAnsi" w:cstheme="minorBidi"/>
          <w:noProof/>
          <w:kern w:val="0"/>
          <w:sz w:val="22"/>
          <w:szCs w:val="22"/>
        </w:rPr>
      </w:pPr>
      <w:r>
        <w:rPr>
          <w:noProof/>
        </w:rPr>
        <w:t>6</w:t>
      </w:r>
      <w:r>
        <w:rPr>
          <w:noProof/>
        </w:rPr>
        <w:tab/>
        <w:t>Issue of promissory notes</w:t>
      </w:r>
      <w:r w:rsidRPr="001824CA">
        <w:rPr>
          <w:noProof/>
        </w:rPr>
        <w:tab/>
      </w:r>
      <w:r w:rsidRPr="001824CA">
        <w:rPr>
          <w:noProof/>
        </w:rPr>
        <w:fldChar w:fldCharType="begin"/>
      </w:r>
      <w:r w:rsidRPr="001824CA">
        <w:rPr>
          <w:noProof/>
        </w:rPr>
        <w:instrText xml:space="preserve"> PAGEREF _Toc432684253 \h </w:instrText>
      </w:r>
      <w:r w:rsidRPr="001824CA">
        <w:rPr>
          <w:noProof/>
        </w:rPr>
      </w:r>
      <w:r w:rsidRPr="001824CA">
        <w:rPr>
          <w:noProof/>
        </w:rPr>
        <w:fldChar w:fldCharType="separate"/>
      </w:r>
      <w:r w:rsidR="003C58D7">
        <w:rPr>
          <w:noProof/>
        </w:rPr>
        <w:t>4</w:t>
      </w:r>
      <w:r w:rsidRPr="001824CA">
        <w:rPr>
          <w:noProof/>
        </w:rPr>
        <w:fldChar w:fldCharType="end"/>
      </w:r>
    </w:p>
    <w:p w:rsidR="001824CA" w:rsidRDefault="001824CA">
      <w:pPr>
        <w:pStyle w:val="TOC5"/>
        <w:rPr>
          <w:rFonts w:asciiTheme="minorHAnsi" w:eastAsiaTheme="minorEastAsia" w:hAnsiTheme="minorHAnsi" w:cstheme="minorBidi"/>
          <w:noProof/>
          <w:kern w:val="0"/>
          <w:sz w:val="22"/>
          <w:szCs w:val="22"/>
        </w:rPr>
      </w:pPr>
      <w:r>
        <w:rPr>
          <w:noProof/>
        </w:rPr>
        <w:t>7</w:t>
      </w:r>
      <w:r>
        <w:rPr>
          <w:noProof/>
        </w:rPr>
        <w:tab/>
        <w:t>Appropriation</w:t>
      </w:r>
      <w:r w:rsidRPr="001824CA">
        <w:rPr>
          <w:noProof/>
        </w:rPr>
        <w:tab/>
      </w:r>
      <w:r w:rsidRPr="001824CA">
        <w:rPr>
          <w:noProof/>
        </w:rPr>
        <w:fldChar w:fldCharType="begin"/>
      </w:r>
      <w:r w:rsidRPr="001824CA">
        <w:rPr>
          <w:noProof/>
        </w:rPr>
        <w:instrText xml:space="preserve"> PAGEREF _Toc432684254 \h </w:instrText>
      </w:r>
      <w:r w:rsidRPr="001824CA">
        <w:rPr>
          <w:noProof/>
        </w:rPr>
      </w:r>
      <w:r w:rsidRPr="001824CA">
        <w:rPr>
          <w:noProof/>
        </w:rPr>
        <w:fldChar w:fldCharType="separate"/>
      </w:r>
      <w:r w:rsidR="003C58D7">
        <w:rPr>
          <w:noProof/>
        </w:rPr>
        <w:t>4</w:t>
      </w:r>
      <w:r w:rsidRPr="001824CA">
        <w:rPr>
          <w:noProof/>
        </w:rPr>
        <w:fldChar w:fldCharType="end"/>
      </w:r>
    </w:p>
    <w:p w:rsidR="001824CA" w:rsidRDefault="001824CA">
      <w:pPr>
        <w:pStyle w:val="TOC5"/>
        <w:rPr>
          <w:rFonts w:asciiTheme="minorHAnsi" w:eastAsiaTheme="minorEastAsia" w:hAnsiTheme="minorHAnsi" w:cstheme="minorBidi"/>
          <w:noProof/>
          <w:kern w:val="0"/>
          <w:sz w:val="22"/>
          <w:szCs w:val="22"/>
        </w:rPr>
      </w:pPr>
      <w:r>
        <w:rPr>
          <w:noProof/>
        </w:rPr>
        <w:t>8</w:t>
      </w:r>
      <w:r>
        <w:rPr>
          <w:noProof/>
        </w:rPr>
        <w:tab/>
        <w:t>Privileges and immunities</w:t>
      </w:r>
      <w:r w:rsidRPr="001824CA">
        <w:rPr>
          <w:noProof/>
        </w:rPr>
        <w:tab/>
      </w:r>
      <w:r w:rsidRPr="001824CA">
        <w:rPr>
          <w:noProof/>
        </w:rPr>
        <w:fldChar w:fldCharType="begin"/>
      </w:r>
      <w:r w:rsidRPr="001824CA">
        <w:rPr>
          <w:noProof/>
        </w:rPr>
        <w:instrText xml:space="preserve"> PAGEREF _Toc432684255 \h </w:instrText>
      </w:r>
      <w:r w:rsidRPr="001824CA">
        <w:rPr>
          <w:noProof/>
        </w:rPr>
      </w:r>
      <w:r w:rsidRPr="001824CA">
        <w:rPr>
          <w:noProof/>
        </w:rPr>
        <w:fldChar w:fldCharType="separate"/>
      </w:r>
      <w:r w:rsidR="003C58D7">
        <w:rPr>
          <w:noProof/>
        </w:rPr>
        <w:t>4</w:t>
      </w:r>
      <w:r w:rsidRPr="001824CA">
        <w:rPr>
          <w:noProof/>
        </w:rPr>
        <w:fldChar w:fldCharType="end"/>
      </w:r>
    </w:p>
    <w:p w:rsidR="001824CA" w:rsidRDefault="001824CA">
      <w:pPr>
        <w:pStyle w:val="TOC5"/>
        <w:rPr>
          <w:rFonts w:asciiTheme="minorHAnsi" w:eastAsiaTheme="minorEastAsia" w:hAnsiTheme="minorHAnsi" w:cstheme="minorBidi"/>
          <w:noProof/>
          <w:kern w:val="0"/>
          <w:sz w:val="22"/>
          <w:szCs w:val="22"/>
        </w:rPr>
      </w:pPr>
      <w:r>
        <w:rPr>
          <w:noProof/>
        </w:rPr>
        <w:t>9</w:t>
      </w:r>
      <w:r>
        <w:rPr>
          <w:noProof/>
        </w:rPr>
        <w:tab/>
        <w:t>Regulations</w:t>
      </w:r>
      <w:r w:rsidRPr="001824CA">
        <w:rPr>
          <w:noProof/>
        </w:rPr>
        <w:tab/>
      </w:r>
      <w:r w:rsidRPr="001824CA">
        <w:rPr>
          <w:noProof/>
        </w:rPr>
        <w:fldChar w:fldCharType="begin"/>
      </w:r>
      <w:r w:rsidRPr="001824CA">
        <w:rPr>
          <w:noProof/>
        </w:rPr>
        <w:instrText xml:space="preserve"> PAGEREF _Toc432684256 \h </w:instrText>
      </w:r>
      <w:r w:rsidRPr="001824CA">
        <w:rPr>
          <w:noProof/>
        </w:rPr>
      </w:r>
      <w:r w:rsidRPr="001824CA">
        <w:rPr>
          <w:noProof/>
        </w:rPr>
        <w:fldChar w:fldCharType="separate"/>
      </w:r>
      <w:r w:rsidR="003C58D7">
        <w:rPr>
          <w:noProof/>
        </w:rPr>
        <w:t>5</w:t>
      </w:r>
      <w:r w:rsidRPr="001824CA">
        <w:rPr>
          <w:noProof/>
        </w:rPr>
        <w:fldChar w:fldCharType="end"/>
      </w:r>
    </w:p>
    <w:p w:rsidR="005D7042" w:rsidRPr="00E70A49" w:rsidRDefault="001824CA" w:rsidP="00715914">
      <w:r>
        <w:fldChar w:fldCharType="end"/>
      </w:r>
    </w:p>
    <w:p w:rsidR="00374B0A" w:rsidRPr="00E70A49" w:rsidRDefault="00374B0A" w:rsidP="00715914">
      <w:pPr>
        <w:sectPr w:rsidR="00374B0A" w:rsidRPr="00E70A49" w:rsidSect="00A64F9C">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A64F9C" w:rsidRDefault="003C58D7">
      <w:r>
        <w:lastRenderedPageBreak/>
        <w:pict>
          <v:shape id="_x0000_i1026" type="#_x0000_t75" style="width:109.5pt;height:79.5pt" fillcolor="window">
            <v:imagedata r:id="rId8" o:title=""/>
          </v:shape>
        </w:pict>
      </w:r>
    </w:p>
    <w:p w:rsidR="00A64F9C" w:rsidRDefault="00A64F9C"/>
    <w:p w:rsidR="00A64F9C" w:rsidRDefault="00A64F9C" w:rsidP="00A64F9C">
      <w:pPr>
        <w:spacing w:line="240" w:lineRule="auto"/>
      </w:pPr>
    </w:p>
    <w:p w:rsidR="00A64F9C" w:rsidRDefault="003F7B4A" w:rsidP="00A64F9C">
      <w:pPr>
        <w:pStyle w:val="ShortTP1"/>
      </w:pPr>
      <w:fldSimple w:instr=" STYLEREF ShortT ">
        <w:r w:rsidR="003C58D7">
          <w:rPr>
            <w:noProof/>
          </w:rPr>
          <w:t>Asian Infrastructure Investment Bank Act 2015</w:t>
        </w:r>
      </w:fldSimple>
    </w:p>
    <w:p w:rsidR="00A64F9C" w:rsidRDefault="003F7B4A" w:rsidP="00A64F9C">
      <w:pPr>
        <w:pStyle w:val="ActNoP1"/>
      </w:pPr>
      <w:fldSimple w:instr=" STYLEREF Actno ">
        <w:r w:rsidR="003C58D7">
          <w:rPr>
            <w:noProof/>
          </w:rPr>
          <w:t>No. 134, 2015</w:t>
        </w:r>
      </w:fldSimple>
    </w:p>
    <w:p w:rsidR="00A64F9C" w:rsidRPr="009A0728" w:rsidRDefault="00A64F9C" w:rsidP="009A0728">
      <w:pPr>
        <w:pBdr>
          <w:bottom w:val="single" w:sz="6" w:space="0" w:color="auto"/>
        </w:pBdr>
        <w:spacing w:before="400" w:line="240" w:lineRule="auto"/>
        <w:rPr>
          <w:rFonts w:eastAsia="Times New Roman"/>
          <w:b/>
          <w:sz w:val="28"/>
        </w:rPr>
      </w:pPr>
    </w:p>
    <w:p w:rsidR="00A64F9C" w:rsidRPr="009A0728" w:rsidRDefault="00A64F9C" w:rsidP="009A0728">
      <w:pPr>
        <w:spacing w:line="40" w:lineRule="exact"/>
        <w:rPr>
          <w:rFonts w:eastAsia="Calibri"/>
          <w:b/>
          <w:sz w:val="28"/>
        </w:rPr>
      </w:pPr>
    </w:p>
    <w:p w:rsidR="00A64F9C" w:rsidRPr="009A0728" w:rsidRDefault="00A64F9C" w:rsidP="009A0728">
      <w:pPr>
        <w:pBdr>
          <w:top w:val="single" w:sz="12" w:space="0" w:color="auto"/>
        </w:pBdr>
        <w:spacing w:line="240" w:lineRule="auto"/>
        <w:rPr>
          <w:rFonts w:eastAsia="Times New Roman"/>
          <w:b/>
          <w:sz w:val="28"/>
        </w:rPr>
      </w:pPr>
    </w:p>
    <w:p w:rsidR="00476F7E" w:rsidRPr="00E70A49" w:rsidRDefault="00A64F9C" w:rsidP="00E70A49">
      <w:pPr>
        <w:pStyle w:val="Page1"/>
      </w:pPr>
      <w:r>
        <w:t>An Act</w:t>
      </w:r>
      <w:r w:rsidR="00E70A49" w:rsidRPr="00E70A49">
        <w:t xml:space="preserve"> relating to the Asian Infrastructure Investment Bank, and for related purposes</w:t>
      </w:r>
    </w:p>
    <w:p w:rsidR="00663C00" w:rsidRDefault="00663C00" w:rsidP="00663C00">
      <w:pPr>
        <w:pStyle w:val="AssentDt"/>
        <w:spacing w:before="240"/>
        <w:rPr>
          <w:sz w:val="24"/>
        </w:rPr>
      </w:pPr>
      <w:r>
        <w:rPr>
          <w:sz w:val="24"/>
        </w:rPr>
        <w:t>[</w:t>
      </w:r>
      <w:r>
        <w:rPr>
          <w:i/>
          <w:sz w:val="24"/>
        </w:rPr>
        <w:t>Assented to 13 October 2015</w:t>
      </w:r>
      <w:r>
        <w:rPr>
          <w:sz w:val="24"/>
        </w:rPr>
        <w:t>]</w:t>
      </w:r>
    </w:p>
    <w:p w:rsidR="00715914" w:rsidRPr="00E70A49" w:rsidRDefault="00715914" w:rsidP="00E70A49">
      <w:pPr>
        <w:spacing w:before="240" w:line="240" w:lineRule="auto"/>
        <w:rPr>
          <w:sz w:val="32"/>
        </w:rPr>
      </w:pPr>
      <w:r w:rsidRPr="00E70A49">
        <w:rPr>
          <w:sz w:val="32"/>
        </w:rPr>
        <w:t>The Parliament of Australia enacts:</w:t>
      </w:r>
    </w:p>
    <w:p w:rsidR="00715914" w:rsidRPr="00E70A49" w:rsidRDefault="004A3E0C" w:rsidP="00E70A49">
      <w:pPr>
        <w:pStyle w:val="ActHead5"/>
      </w:pPr>
      <w:bookmarkStart w:id="2" w:name="_Toc432684248"/>
      <w:r w:rsidRPr="00E70A49">
        <w:rPr>
          <w:rStyle w:val="CharSectno"/>
        </w:rPr>
        <w:t>1</w:t>
      </w:r>
      <w:r w:rsidR="00715914" w:rsidRPr="00E70A49">
        <w:t xml:space="preserve">  Short title</w:t>
      </w:r>
      <w:bookmarkEnd w:id="2"/>
    </w:p>
    <w:p w:rsidR="00715914" w:rsidRPr="00E70A49" w:rsidRDefault="00715914" w:rsidP="00E70A49">
      <w:pPr>
        <w:pStyle w:val="subsection"/>
      </w:pPr>
      <w:r w:rsidRPr="00E70A49">
        <w:tab/>
      </w:r>
      <w:r w:rsidRPr="00E70A49">
        <w:tab/>
        <w:t xml:space="preserve">This Act may be cited as the </w:t>
      </w:r>
      <w:r w:rsidR="00A851E1" w:rsidRPr="00E70A49">
        <w:rPr>
          <w:i/>
        </w:rPr>
        <w:t xml:space="preserve">Asian Infrastructure Investment Bank </w:t>
      </w:r>
      <w:r w:rsidR="001F5D5E" w:rsidRPr="00E70A49">
        <w:rPr>
          <w:i/>
        </w:rPr>
        <w:t>Act 201</w:t>
      </w:r>
      <w:r w:rsidR="000A556A" w:rsidRPr="00E70A49">
        <w:rPr>
          <w:i/>
        </w:rPr>
        <w:t>5</w:t>
      </w:r>
      <w:r w:rsidRPr="00E70A49">
        <w:t>.</w:t>
      </w:r>
    </w:p>
    <w:p w:rsidR="00715914" w:rsidRPr="00E70A49" w:rsidRDefault="004A3E0C" w:rsidP="00E70A49">
      <w:pPr>
        <w:pStyle w:val="ActHead5"/>
      </w:pPr>
      <w:bookmarkStart w:id="3" w:name="_Toc432684249"/>
      <w:r w:rsidRPr="00E70A49">
        <w:rPr>
          <w:rStyle w:val="CharSectno"/>
        </w:rPr>
        <w:lastRenderedPageBreak/>
        <w:t>2</w:t>
      </w:r>
      <w:r w:rsidR="00715914" w:rsidRPr="00E70A49">
        <w:t xml:space="preserve">  Commencement</w:t>
      </w:r>
      <w:bookmarkEnd w:id="3"/>
    </w:p>
    <w:p w:rsidR="00715914" w:rsidRPr="00E70A49" w:rsidRDefault="00715914" w:rsidP="00E70A49">
      <w:pPr>
        <w:pStyle w:val="subsection"/>
      </w:pPr>
      <w:r w:rsidRPr="00E70A49">
        <w:tab/>
        <w:t>(1)</w:t>
      </w:r>
      <w:r w:rsidRPr="00E70A49">
        <w:tab/>
        <w:t>Each provision of this Act specified in column 1 of the table commences, or is taken to have commenced, in accordance with column 2 of the table. Any other statement in column 2 has effect according to its terms.</w:t>
      </w:r>
    </w:p>
    <w:p w:rsidR="00715914" w:rsidRPr="00E70A49" w:rsidRDefault="00715914" w:rsidP="00E70A49">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15914" w:rsidRPr="00E70A49" w:rsidTr="00570BFE">
        <w:trPr>
          <w:tblHeader/>
        </w:trPr>
        <w:tc>
          <w:tcPr>
            <w:tcW w:w="7111" w:type="dxa"/>
            <w:gridSpan w:val="3"/>
            <w:tcBorders>
              <w:top w:val="single" w:sz="12" w:space="0" w:color="auto"/>
              <w:bottom w:val="single" w:sz="2" w:space="0" w:color="auto"/>
            </w:tcBorders>
            <w:shd w:val="clear" w:color="auto" w:fill="auto"/>
          </w:tcPr>
          <w:p w:rsidR="00715914" w:rsidRPr="00E70A49" w:rsidRDefault="00715914" w:rsidP="00E70A49">
            <w:pPr>
              <w:pStyle w:val="TableHeading"/>
            </w:pPr>
            <w:r w:rsidRPr="00E70A49">
              <w:t>Commencement information</w:t>
            </w:r>
          </w:p>
        </w:tc>
      </w:tr>
      <w:tr w:rsidR="00715914" w:rsidRPr="00E70A49" w:rsidTr="00570BFE">
        <w:trPr>
          <w:tblHeader/>
        </w:trPr>
        <w:tc>
          <w:tcPr>
            <w:tcW w:w="1701" w:type="dxa"/>
            <w:tcBorders>
              <w:top w:val="single" w:sz="2" w:space="0" w:color="auto"/>
              <w:bottom w:val="single" w:sz="2" w:space="0" w:color="auto"/>
            </w:tcBorders>
            <w:shd w:val="clear" w:color="auto" w:fill="auto"/>
          </w:tcPr>
          <w:p w:rsidR="00715914" w:rsidRPr="00E70A49" w:rsidRDefault="00715914" w:rsidP="00E70A49">
            <w:pPr>
              <w:pStyle w:val="TableHeading"/>
            </w:pPr>
            <w:r w:rsidRPr="00E70A49">
              <w:t>Column 1</w:t>
            </w:r>
          </w:p>
        </w:tc>
        <w:tc>
          <w:tcPr>
            <w:tcW w:w="3828" w:type="dxa"/>
            <w:tcBorders>
              <w:top w:val="single" w:sz="2" w:space="0" w:color="auto"/>
              <w:bottom w:val="single" w:sz="2" w:space="0" w:color="auto"/>
            </w:tcBorders>
            <w:shd w:val="clear" w:color="auto" w:fill="auto"/>
          </w:tcPr>
          <w:p w:rsidR="00715914" w:rsidRPr="00E70A49" w:rsidRDefault="00715914" w:rsidP="00E70A49">
            <w:pPr>
              <w:pStyle w:val="TableHeading"/>
            </w:pPr>
            <w:r w:rsidRPr="00E70A49">
              <w:t>Column 2</w:t>
            </w:r>
          </w:p>
        </w:tc>
        <w:tc>
          <w:tcPr>
            <w:tcW w:w="1582" w:type="dxa"/>
            <w:tcBorders>
              <w:top w:val="single" w:sz="2" w:space="0" w:color="auto"/>
              <w:bottom w:val="single" w:sz="2" w:space="0" w:color="auto"/>
            </w:tcBorders>
            <w:shd w:val="clear" w:color="auto" w:fill="auto"/>
          </w:tcPr>
          <w:p w:rsidR="00715914" w:rsidRPr="00E70A49" w:rsidRDefault="00715914" w:rsidP="00E70A49">
            <w:pPr>
              <w:pStyle w:val="TableHeading"/>
            </w:pPr>
            <w:r w:rsidRPr="00E70A49">
              <w:t>Column 3</w:t>
            </w:r>
          </w:p>
        </w:tc>
      </w:tr>
      <w:tr w:rsidR="00715914" w:rsidRPr="00E70A49" w:rsidTr="00570BFE">
        <w:trPr>
          <w:tblHeader/>
        </w:trPr>
        <w:tc>
          <w:tcPr>
            <w:tcW w:w="1701" w:type="dxa"/>
            <w:tcBorders>
              <w:top w:val="single" w:sz="2" w:space="0" w:color="auto"/>
              <w:bottom w:val="single" w:sz="12" w:space="0" w:color="auto"/>
            </w:tcBorders>
            <w:shd w:val="clear" w:color="auto" w:fill="auto"/>
          </w:tcPr>
          <w:p w:rsidR="00715914" w:rsidRPr="00E70A49" w:rsidRDefault="00715914" w:rsidP="00E70A49">
            <w:pPr>
              <w:pStyle w:val="TableHeading"/>
            </w:pPr>
            <w:r w:rsidRPr="00E70A49">
              <w:t>Provisions</w:t>
            </w:r>
          </w:p>
        </w:tc>
        <w:tc>
          <w:tcPr>
            <w:tcW w:w="3828" w:type="dxa"/>
            <w:tcBorders>
              <w:top w:val="single" w:sz="2" w:space="0" w:color="auto"/>
              <w:bottom w:val="single" w:sz="12" w:space="0" w:color="auto"/>
            </w:tcBorders>
            <w:shd w:val="clear" w:color="auto" w:fill="auto"/>
          </w:tcPr>
          <w:p w:rsidR="00715914" w:rsidRPr="00E70A49" w:rsidRDefault="00715914" w:rsidP="00E70A49">
            <w:pPr>
              <w:pStyle w:val="TableHeading"/>
            </w:pPr>
            <w:r w:rsidRPr="00E70A49">
              <w:t>Commencement</w:t>
            </w:r>
          </w:p>
        </w:tc>
        <w:tc>
          <w:tcPr>
            <w:tcW w:w="1582" w:type="dxa"/>
            <w:tcBorders>
              <w:top w:val="single" w:sz="2" w:space="0" w:color="auto"/>
              <w:bottom w:val="single" w:sz="12" w:space="0" w:color="auto"/>
            </w:tcBorders>
            <w:shd w:val="clear" w:color="auto" w:fill="auto"/>
          </w:tcPr>
          <w:p w:rsidR="00715914" w:rsidRPr="00E70A49" w:rsidRDefault="00715914" w:rsidP="00E70A49">
            <w:pPr>
              <w:pStyle w:val="TableHeading"/>
            </w:pPr>
            <w:r w:rsidRPr="00E70A49">
              <w:t>Date/Details</w:t>
            </w:r>
          </w:p>
        </w:tc>
      </w:tr>
      <w:tr w:rsidR="00570BFE" w:rsidRPr="00E70A49" w:rsidTr="00570BFE">
        <w:tc>
          <w:tcPr>
            <w:tcW w:w="1701" w:type="dxa"/>
            <w:tcBorders>
              <w:top w:val="single" w:sz="12" w:space="0" w:color="auto"/>
              <w:bottom w:val="single" w:sz="4" w:space="0" w:color="auto"/>
            </w:tcBorders>
            <w:shd w:val="clear" w:color="auto" w:fill="auto"/>
          </w:tcPr>
          <w:p w:rsidR="00570BFE" w:rsidRPr="00E70A49" w:rsidRDefault="00570BFE" w:rsidP="00E70A49">
            <w:pPr>
              <w:pStyle w:val="Tabletext"/>
            </w:pPr>
            <w:r w:rsidRPr="00E70A49">
              <w:t>1.  Sections</w:t>
            </w:r>
            <w:r w:rsidR="00E70A49" w:rsidRPr="00E70A49">
              <w:t> </w:t>
            </w:r>
            <w:r w:rsidR="004A3E0C" w:rsidRPr="00E70A49">
              <w:t>1</w:t>
            </w:r>
            <w:r w:rsidRPr="00E70A49">
              <w:t xml:space="preserve"> and </w:t>
            </w:r>
            <w:r w:rsidR="004A3E0C" w:rsidRPr="00E70A49">
              <w:t>2</w:t>
            </w:r>
            <w:r w:rsidRPr="00E70A49">
              <w:t xml:space="preserve"> and anything in this Act not elsewhere covered by this table</w:t>
            </w:r>
          </w:p>
        </w:tc>
        <w:tc>
          <w:tcPr>
            <w:tcW w:w="3828" w:type="dxa"/>
            <w:tcBorders>
              <w:top w:val="single" w:sz="12" w:space="0" w:color="auto"/>
              <w:bottom w:val="single" w:sz="4" w:space="0" w:color="auto"/>
            </w:tcBorders>
            <w:shd w:val="clear" w:color="auto" w:fill="auto"/>
          </w:tcPr>
          <w:p w:rsidR="00570BFE" w:rsidRPr="00E70A49" w:rsidRDefault="00570BFE" w:rsidP="00E70A49">
            <w:pPr>
              <w:pStyle w:val="Tabletext"/>
            </w:pPr>
            <w:r w:rsidRPr="00E70A49">
              <w:t>The day this Act receives the Royal Assent.</w:t>
            </w:r>
          </w:p>
        </w:tc>
        <w:tc>
          <w:tcPr>
            <w:tcW w:w="1582" w:type="dxa"/>
            <w:tcBorders>
              <w:top w:val="single" w:sz="12" w:space="0" w:color="auto"/>
              <w:bottom w:val="single" w:sz="4" w:space="0" w:color="auto"/>
            </w:tcBorders>
            <w:shd w:val="clear" w:color="auto" w:fill="auto"/>
          </w:tcPr>
          <w:p w:rsidR="00570BFE" w:rsidRPr="00E70A49" w:rsidRDefault="009A30DA" w:rsidP="00E70A49">
            <w:pPr>
              <w:pStyle w:val="Tabletext"/>
            </w:pPr>
            <w:r>
              <w:t>13 October 2015</w:t>
            </w:r>
          </w:p>
        </w:tc>
      </w:tr>
      <w:tr w:rsidR="00715914" w:rsidRPr="00E70A49" w:rsidTr="00570BFE">
        <w:tc>
          <w:tcPr>
            <w:tcW w:w="1701" w:type="dxa"/>
            <w:tcBorders>
              <w:bottom w:val="single" w:sz="12" w:space="0" w:color="auto"/>
            </w:tcBorders>
            <w:shd w:val="clear" w:color="auto" w:fill="auto"/>
          </w:tcPr>
          <w:p w:rsidR="00715914" w:rsidRPr="00E70A49" w:rsidRDefault="00570BFE" w:rsidP="00E70A49">
            <w:pPr>
              <w:pStyle w:val="Tabletext"/>
            </w:pPr>
            <w:r w:rsidRPr="00E70A49">
              <w:t>2</w:t>
            </w:r>
            <w:r w:rsidR="00715914" w:rsidRPr="00E70A49">
              <w:t xml:space="preserve">.  </w:t>
            </w:r>
            <w:r w:rsidRPr="00E70A49">
              <w:t>Sections</w:t>
            </w:r>
            <w:r w:rsidR="00E70A49" w:rsidRPr="00E70A49">
              <w:t> </w:t>
            </w:r>
            <w:r w:rsidR="004A3E0C" w:rsidRPr="00E70A49">
              <w:t>3</w:t>
            </w:r>
            <w:r w:rsidRPr="00E70A49">
              <w:t xml:space="preserve"> to </w:t>
            </w:r>
            <w:r w:rsidR="00DD1C1A" w:rsidRPr="00E70A49">
              <w:t>9</w:t>
            </w:r>
          </w:p>
        </w:tc>
        <w:tc>
          <w:tcPr>
            <w:tcW w:w="3828" w:type="dxa"/>
            <w:tcBorders>
              <w:bottom w:val="single" w:sz="12" w:space="0" w:color="auto"/>
            </w:tcBorders>
            <w:shd w:val="clear" w:color="auto" w:fill="auto"/>
          </w:tcPr>
          <w:p w:rsidR="000A375D" w:rsidRPr="00E70A49" w:rsidRDefault="00715914" w:rsidP="00E70A49">
            <w:pPr>
              <w:pStyle w:val="Tabletext"/>
            </w:pPr>
            <w:r w:rsidRPr="00E70A49">
              <w:t xml:space="preserve">The </w:t>
            </w:r>
            <w:r w:rsidR="009A172A" w:rsidRPr="00E70A49">
              <w:t>late</w:t>
            </w:r>
            <w:r w:rsidR="00C962CE" w:rsidRPr="00E70A49">
              <w:t>r</w:t>
            </w:r>
            <w:r w:rsidR="009A172A" w:rsidRPr="00E70A49">
              <w:t xml:space="preserve"> of</w:t>
            </w:r>
            <w:r w:rsidR="000A375D" w:rsidRPr="00E70A49">
              <w:t>:</w:t>
            </w:r>
          </w:p>
          <w:p w:rsidR="00715914" w:rsidRPr="00E70A49" w:rsidRDefault="000A375D" w:rsidP="00E70A49">
            <w:pPr>
              <w:pStyle w:val="Tablea"/>
            </w:pPr>
            <w:r w:rsidRPr="00E70A49">
              <w:t>(a) the day after this Act receives the Royal Assent</w:t>
            </w:r>
            <w:r w:rsidR="00B51DD2" w:rsidRPr="00E70A49">
              <w:t>;</w:t>
            </w:r>
            <w:r w:rsidR="009A172A" w:rsidRPr="00E70A49">
              <w:t xml:space="preserve"> and</w:t>
            </w:r>
          </w:p>
          <w:p w:rsidR="00B51DD2" w:rsidRPr="00E70A49" w:rsidRDefault="00B51DD2" w:rsidP="00E70A49">
            <w:pPr>
              <w:pStyle w:val="Tablea"/>
            </w:pPr>
            <w:r w:rsidRPr="00E70A49">
              <w:t xml:space="preserve">(b) </w:t>
            </w:r>
            <w:r w:rsidR="00476F7E" w:rsidRPr="00E70A49">
              <w:t xml:space="preserve">the </w:t>
            </w:r>
            <w:r w:rsidR="007F6B96" w:rsidRPr="00E70A49">
              <w:t xml:space="preserve">day </w:t>
            </w:r>
            <w:r w:rsidRPr="00E70A49">
              <w:t xml:space="preserve">Australia becomes a member of the </w:t>
            </w:r>
            <w:r w:rsidR="009A172A" w:rsidRPr="00E70A49">
              <w:t>Asian Infrastructure Investment Bank</w:t>
            </w:r>
            <w:r w:rsidRPr="00E70A49">
              <w:t>.</w:t>
            </w:r>
          </w:p>
          <w:p w:rsidR="009A7626" w:rsidRPr="00E70A49" w:rsidRDefault="009A7626" w:rsidP="00E70A49">
            <w:pPr>
              <w:pStyle w:val="Tabletext"/>
            </w:pPr>
            <w:r w:rsidRPr="00E70A49">
              <w:t xml:space="preserve">The </w:t>
            </w:r>
            <w:r w:rsidR="007F6B96" w:rsidRPr="00E70A49">
              <w:t>Minister</w:t>
            </w:r>
            <w:r w:rsidRPr="00E70A49">
              <w:t xml:space="preserve"> must announce by notice in the Gazette the day Australia becomes a member of the </w:t>
            </w:r>
            <w:r w:rsidR="009A172A" w:rsidRPr="00E70A49">
              <w:t>Asian Infrastructure Investment Bank</w:t>
            </w:r>
            <w:r w:rsidRPr="00E70A49">
              <w:t>.</w:t>
            </w:r>
            <w:r w:rsidR="00C962CE" w:rsidRPr="00E70A49">
              <w:t xml:space="preserve"> The notice is not a legislative instrument.</w:t>
            </w:r>
          </w:p>
        </w:tc>
        <w:tc>
          <w:tcPr>
            <w:tcW w:w="1582" w:type="dxa"/>
            <w:tcBorders>
              <w:bottom w:val="single" w:sz="12" w:space="0" w:color="auto"/>
            </w:tcBorders>
            <w:shd w:val="clear" w:color="auto" w:fill="auto"/>
          </w:tcPr>
          <w:p w:rsidR="00715914" w:rsidRDefault="002621C2" w:rsidP="00E70A49">
            <w:pPr>
              <w:pStyle w:val="Tabletext"/>
            </w:pPr>
            <w:r>
              <w:t>25 December 2015</w:t>
            </w:r>
          </w:p>
          <w:p w:rsidR="002621C2" w:rsidRDefault="002621C2" w:rsidP="00E70A49">
            <w:pPr>
              <w:pStyle w:val="Tabletext"/>
            </w:pPr>
            <w:r>
              <w:t>(C2016G00070)</w:t>
            </w:r>
          </w:p>
          <w:p w:rsidR="002621C2" w:rsidRPr="00E70A49" w:rsidRDefault="002621C2" w:rsidP="00E70A49">
            <w:pPr>
              <w:pStyle w:val="Tabletext"/>
            </w:pPr>
            <w:r>
              <w:t>(paragraph (b) applies)</w:t>
            </w:r>
          </w:p>
        </w:tc>
      </w:tr>
    </w:tbl>
    <w:p w:rsidR="00715914" w:rsidRPr="00E70A49" w:rsidRDefault="00B80199" w:rsidP="00E70A49">
      <w:pPr>
        <w:pStyle w:val="notetext"/>
      </w:pPr>
      <w:r w:rsidRPr="00E70A49">
        <w:t>Note:</w:t>
      </w:r>
      <w:r w:rsidRPr="00E70A49">
        <w:tab/>
        <w:t>This table relates only to the provisions of this Act as originally enacted. It will not be amended to deal with any later amendments of this Act.</w:t>
      </w:r>
    </w:p>
    <w:p w:rsidR="00715914" w:rsidRPr="00E70A49" w:rsidRDefault="00715914" w:rsidP="00E70A49">
      <w:pPr>
        <w:pStyle w:val="subsection"/>
      </w:pPr>
      <w:r w:rsidRPr="00E70A49">
        <w:tab/>
        <w:t>(2)</w:t>
      </w:r>
      <w:r w:rsidRPr="00E70A49">
        <w:tab/>
      </w:r>
      <w:r w:rsidR="00B80199" w:rsidRPr="00E70A49">
        <w:t xml:space="preserve">Any information in </w:t>
      </w:r>
      <w:r w:rsidR="009532A5" w:rsidRPr="00E70A49">
        <w:t>c</w:t>
      </w:r>
      <w:r w:rsidR="00B80199" w:rsidRPr="00E70A49">
        <w:t>olumn 3 of the table is not part of this Act. Information may be inserted in this column, or information in it may be edited, in any published version of this Act.</w:t>
      </w:r>
    </w:p>
    <w:p w:rsidR="00F91403" w:rsidRPr="00E70A49" w:rsidRDefault="004A3E0C" w:rsidP="00E70A49">
      <w:pPr>
        <w:pStyle w:val="ActHead5"/>
      </w:pPr>
      <w:bookmarkStart w:id="4" w:name="_Toc432684250"/>
      <w:r w:rsidRPr="00E70A49">
        <w:rPr>
          <w:rStyle w:val="CharSectno"/>
        </w:rPr>
        <w:t>3</w:t>
      </w:r>
      <w:r w:rsidR="00F91403" w:rsidRPr="00E70A49">
        <w:t xml:space="preserve">  Simplified outline of this Act</w:t>
      </w:r>
      <w:bookmarkEnd w:id="4"/>
    </w:p>
    <w:p w:rsidR="00133F50" w:rsidRPr="00E70A49" w:rsidRDefault="009A7626" w:rsidP="00E70A49">
      <w:pPr>
        <w:pStyle w:val="SOBullet"/>
      </w:pPr>
      <w:r w:rsidRPr="00E70A49">
        <w:t>•</w:t>
      </w:r>
      <w:r w:rsidRPr="00E70A49">
        <w:tab/>
      </w:r>
      <w:r w:rsidR="00133F50" w:rsidRPr="00E70A49">
        <w:t xml:space="preserve">This Act </w:t>
      </w:r>
      <w:r w:rsidR="00F42E83" w:rsidRPr="00E70A49">
        <w:t>facilitates</w:t>
      </w:r>
      <w:r w:rsidR="00133F50" w:rsidRPr="00E70A49">
        <w:t xml:space="preserve"> Australia</w:t>
      </w:r>
      <w:r w:rsidR="00BD652A" w:rsidRPr="00E70A49">
        <w:t>’s</w:t>
      </w:r>
      <w:r w:rsidR="00133F50" w:rsidRPr="00E70A49">
        <w:t xml:space="preserve"> </w:t>
      </w:r>
      <w:r w:rsidR="00BD652A" w:rsidRPr="00E70A49">
        <w:t xml:space="preserve">membership </w:t>
      </w:r>
      <w:r w:rsidR="00133F50" w:rsidRPr="00E70A49">
        <w:t>of the Asian Infrastructure Investment Bank.</w:t>
      </w:r>
    </w:p>
    <w:p w:rsidR="00BD652A" w:rsidRPr="00E70A49" w:rsidRDefault="009A7626" w:rsidP="00E70A49">
      <w:pPr>
        <w:pStyle w:val="SOBullet"/>
      </w:pPr>
      <w:r w:rsidRPr="00E70A49">
        <w:lastRenderedPageBreak/>
        <w:t>•</w:t>
      </w:r>
      <w:r w:rsidRPr="00E70A49">
        <w:tab/>
      </w:r>
      <w:r w:rsidR="00BD652A" w:rsidRPr="00E70A49">
        <w:t>Australia may make a payment to the Bank:</w:t>
      </w:r>
    </w:p>
    <w:p w:rsidR="00BD652A" w:rsidRPr="00E70A49" w:rsidRDefault="00BD652A" w:rsidP="00E70A49">
      <w:pPr>
        <w:pStyle w:val="SOPara"/>
      </w:pPr>
      <w:r w:rsidRPr="00E70A49">
        <w:tab/>
        <w:t>(a)</w:t>
      </w:r>
      <w:r w:rsidRPr="00E70A49">
        <w:tab/>
      </w:r>
      <w:r w:rsidR="009A172A" w:rsidRPr="00E70A49">
        <w:t xml:space="preserve">if Australia is required to make the payment </w:t>
      </w:r>
      <w:r w:rsidRPr="00E70A49">
        <w:t>by way of subscription to shares in the Bank; or</w:t>
      </w:r>
    </w:p>
    <w:p w:rsidR="00BD652A" w:rsidRPr="00E70A49" w:rsidRDefault="00BD652A" w:rsidP="00E70A49">
      <w:pPr>
        <w:pStyle w:val="SOPara"/>
      </w:pPr>
      <w:r w:rsidRPr="00E70A49">
        <w:tab/>
        <w:t>(b)</w:t>
      </w:r>
      <w:r w:rsidRPr="00E70A49">
        <w:tab/>
        <w:t xml:space="preserve">if Australia is </w:t>
      </w:r>
      <w:r w:rsidR="009A172A" w:rsidRPr="00E70A49">
        <w:t xml:space="preserve">otherwise </w:t>
      </w:r>
      <w:r w:rsidRPr="00E70A49">
        <w:t>required to make the payment</w:t>
      </w:r>
      <w:r w:rsidR="00F42E83" w:rsidRPr="00E70A49">
        <w:t xml:space="preserve"> in accordance with the Bank Agreement</w:t>
      </w:r>
      <w:r w:rsidRPr="00E70A49">
        <w:t>.</w:t>
      </w:r>
    </w:p>
    <w:p w:rsidR="00BD652A" w:rsidRPr="00E70A49" w:rsidRDefault="009A7626" w:rsidP="00E70A49">
      <w:pPr>
        <w:pStyle w:val="SOBullet"/>
      </w:pPr>
      <w:r w:rsidRPr="00E70A49">
        <w:t>•</w:t>
      </w:r>
      <w:r w:rsidRPr="00E70A49">
        <w:tab/>
      </w:r>
      <w:r w:rsidR="00BD652A" w:rsidRPr="00E70A49">
        <w:t xml:space="preserve">The </w:t>
      </w:r>
      <w:r w:rsidR="007F6B96" w:rsidRPr="00E70A49">
        <w:t>Minister</w:t>
      </w:r>
      <w:r w:rsidR="00BD652A" w:rsidRPr="00E70A49">
        <w:t xml:space="preserve"> may</w:t>
      </w:r>
      <w:r w:rsidR="00F42E83" w:rsidRPr="00E70A49">
        <w:t xml:space="preserve">, on behalf of Australia, </w:t>
      </w:r>
      <w:r w:rsidR="00BD652A" w:rsidRPr="00E70A49">
        <w:t xml:space="preserve">make promissory notes </w:t>
      </w:r>
      <w:r w:rsidR="00EC6D2A" w:rsidRPr="00E70A49">
        <w:t>and issue them</w:t>
      </w:r>
      <w:r w:rsidR="00BD652A" w:rsidRPr="00E70A49">
        <w:t xml:space="preserve"> to the Bank.</w:t>
      </w:r>
    </w:p>
    <w:p w:rsidR="00DD1C1A" w:rsidRPr="00E70A49" w:rsidRDefault="009A7626" w:rsidP="00E70A49">
      <w:pPr>
        <w:pStyle w:val="SOBullet"/>
      </w:pPr>
      <w:r w:rsidRPr="00E70A49">
        <w:t>•</w:t>
      </w:r>
      <w:r w:rsidRPr="00E70A49">
        <w:tab/>
      </w:r>
      <w:r w:rsidR="00BD652A" w:rsidRPr="00E70A49">
        <w:t xml:space="preserve">Regulations may confer </w:t>
      </w:r>
      <w:r w:rsidR="008148BE" w:rsidRPr="00E70A49">
        <w:t>privileges and immunities</w:t>
      </w:r>
      <w:r w:rsidR="00BD652A" w:rsidRPr="00E70A49">
        <w:t xml:space="preserve"> on</w:t>
      </w:r>
      <w:r w:rsidR="00DD1C1A" w:rsidRPr="00E70A49">
        <w:t>:</w:t>
      </w:r>
    </w:p>
    <w:p w:rsidR="00DD1C1A" w:rsidRPr="00E70A49" w:rsidRDefault="00DD1C1A" w:rsidP="00E70A49">
      <w:pPr>
        <w:pStyle w:val="SOPara"/>
      </w:pPr>
      <w:r w:rsidRPr="00E70A49">
        <w:tab/>
        <w:t>(a)</w:t>
      </w:r>
      <w:r w:rsidRPr="00E70A49">
        <w:tab/>
        <w:t>the Bank; and</w:t>
      </w:r>
    </w:p>
    <w:p w:rsidR="00DD1C1A" w:rsidRPr="00E70A49" w:rsidRDefault="00DD1C1A" w:rsidP="00E70A49">
      <w:pPr>
        <w:pStyle w:val="SOPara"/>
      </w:pPr>
      <w:r w:rsidRPr="00E70A49">
        <w:tab/>
        <w:t>(b)</w:t>
      </w:r>
      <w:r w:rsidRPr="00E70A49">
        <w:tab/>
        <w:t>officers and employees of the Bank; and</w:t>
      </w:r>
    </w:p>
    <w:p w:rsidR="00133F50" w:rsidRPr="00E70A49" w:rsidRDefault="00DD1C1A" w:rsidP="00E70A49">
      <w:pPr>
        <w:pStyle w:val="SOPara"/>
      </w:pPr>
      <w:r w:rsidRPr="00E70A49">
        <w:tab/>
        <w:t>(c)</w:t>
      </w:r>
      <w:r w:rsidRPr="00E70A49">
        <w:tab/>
      </w:r>
      <w:r w:rsidR="00BD652A" w:rsidRPr="00E70A49">
        <w:t>experts and consultants performing missions or services for the Bank</w:t>
      </w:r>
      <w:r w:rsidR="008148BE" w:rsidRPr="00E70A49">
        <w:t>.</w:t>
      </w:r>
    </w:p>
    <w:p w:rsidR="00105F8D" w:rsidRPr="00E70A49" w:rsidRDefault="004A3E0C" w:rsidP="00E70A49">
      <w:pPr>
        <w:pStyle w:val="ActHead5"/>
      </w:pPr>
      <w:bookmarkStart w:id="5" w:name="_Toc432684251"/>
      <w:r w:rsidRPr="00E70A49">
        <w:rPr>
          <w:rStyle w:val="CharSectno"/>
        </w:rPr>
        <w:t>4</w:t>
      </w:r>
      <w:r w:rsidR="00105F8D" w:rsidRPr="00E70A49">
        <w:t xml:space="preserve">  Definitions</w:t>
      </w:r>
      <w:bookmarkEnd w:id="5"/>
    </w:p>
    <w:p w:rsidR="00105F8D" w:rsidRPr="00E70A49" w:rsidRDefault="00105F8D" w:rsidP="00E70A49">
      <w:pPr>
        <w:pStyle w:val="subsection"/>
      </w:pPr>
      <w:r w:rsidRPr="00E70A49">
        <w:tab/>
      </w:r>
      <w:r w:rsidRPr="00E70A49">
        <w:tab/>
        <w:t>In this Act:</w:t>
      </w:r>
    </w:p>
    <w:p w:rsidR="00F42E83" w:rsidRPr="00E70A49" w:rsidRDefault="00F42E83" w:rsidP="00E70A49">
      <w:pPr>
        <w:pStyle w:val="Definition"/>
      </w:pPr>
      <w:r w:rsidRPr="00E70A49">
        <w:rPr>
          <w:b/>
          <w:i/>
        </w:rPr>
        <w:t>Bank</w:t>
      </w:r>
      <w:r w:rsidRPr="00E70A49">
        <w:t xml:space="preserve"> means the Asian Infrastructure Investment Bank.</w:t>
      </w:r>
    </w:p>
    <w:p w:rsidR="00105F8D" w:rsidRPr="00E70A49" w:rsidRDefault="00F42E83" w:rsidP="00E70A49">
      <w:pPr>
        <w:pStyle w:val="Definition"/>
      </w:pPr>
      <w:r w:rsidRPr="00E70A49">
        <w:rPr>
          <w:b/>
          <w:i/>
        </w:rPr>
        <w:t>Bank Agreement</w:t>
      </w:r>
      <w:r w:rsidR="00105F8D" w:rsidRPr="00E70A49">
        <w:t xml:space="preserve"> means the </w:t>
      </w:r>
      <w:r w:rsidR="001A200A" w:rsidRPr="00E70A49">
        <w:t>Asian Infrastructure Investment Bank Articles of Agreement</w:t>
      </w:r>
      <w:r w:rsidR="000A375D" w:rsidRPr="00E70A49">
        <w:t xml:space="preserve">, </w:t>
      </w:r>
      <w:r w:rsidR="00C962CE" w:rsidRPr="00E70A49">
        <w:t>done at Beijing on 29</w:t>
      </w:r>
      <w:r w:rsidR="00E70A49" w:rsidRPr="00E70A49">
        <w:t> </w:t>
      </w:r>
      <w:r w:rsidR="00C962CE" w:rsidRPr="00E70A49">
        <w:t xml:space="preserve">June 2015, </w:t>
      </w:r>
      <w:r w:rsidR="000A375D" w:rsidRPr="00E70A49">
        <w:t xml:space="preserve">as </w:t>
      </w:r>
      <w:r w:rsidR="00476F7E" w:rsidRPr="00E70A49">
        <w:t xml:space="preserve">amended </w:t>
      </w:r>
      <w:r w:rsidR="000A375D" w:rsidRPr="00E70A49">
        <w:t>from time to time.</w:t>
      </w:r>
    </w:p>
    <w:p w:rsidR="00EC6D2A" w:rsidRPr="00E70A49" w:rsidRDefault="007940D2" w:rsidP="00E70A49">
      <w:pPr>
        <w:pStyle w:val="notetext"/>
      </w:pPr>
      <w:r w:rsidRPr="00E70A49">
        <w:t>Note:</w:t>
      </w:r>
      <w:r w:rsidRPr="00E70A49">
        <w:tab/>
        <w:t xml:space="preserve">The Bank Agreement could in 2015 </w:t>
      </w:r>
      <w:r w:rsidR="00EC6D2A" w:rsidRPr="00E70A49">
        <w:t>be viewed:</w:t>
      </w:r>
    </w:p>
    <w:p w:rsidR="00EC6D2A" w:rsidRPr="00E70A49" w:rsidRDefault="00EC6D2A" w:rsidP="00E70A49">
      <w:pPr>
        <w:pStyle w:val="notepara"/>
      </w:pPr>
      <w:r w:rsidRPr="00E70A49">
        <w:t>(a)</w:t>
      </w:r>
      <w:r w:rsidRPr="00E70A49">
        <w:tab/>
        <w:t xml:space="preserve">on </w:t>
      </w:r>
      <w:r w:rsidR="007940D2" w:rsidRPr="00E70A49">
        <w:t>the Bank’s website (http://www.aiibank.org)</w:t>
      </w:r>
      <w:r w:rsidRPr="00E70A49">
        <w:t>; or</w:t>
      </w:r>
    </w:p>
    <w:p w:rsidR="007940D2" w:rsidRPr="00E70A49" w:rsidRDefault="00EC6D2A" w:rsidP="00E70A49">
      <w:pPr>
        <w:pStyle w:val="notepara"/>
      </w:pPr>
      <w:r w:rsidRPr="00E70A49">
        <w:t>(b)</w:t>
      </w:r>
      <w:r w:rsidRPr="00E70A49">
        <w:tab/>
      </w:r>
      <w:r w:rsidR="007940D2" w:rsidRPr="00E70A49">
        <w:t>in the Australian Treaties Library on the AustLII website (http://www.austlii.edu.au).</w:t>
      </w:r>
    </w:p>
    <w:p w:rsidR="00BD652A" w:rsidRPr="00E70A49" w:rsidRDefault="00BD652A" w:rsidP="00E70A49">
      <w:pPr>
        <w:pStyle w:val="Definition"/>
      </w:pPr>
      <w:r w:rsidRPr="00E70A49">
        <w:rPr>
          <w:b/>
          <w:i/>
        </w:rPr>
        <w:t>payment</w:t>
      </w:r>
      <w:r w:rsidRPr="00E70A49">
        <w:t xml:space="preserve"> includes a payment in a foreign currency.</w:t>
      </w:r>
    </w:p>
    <w:p w:rsidR="00105F8D" w:rsidRPr="00E70A49" w:rsidRDefault="004A3E0C" w:rsidP="00E70A49">
      <w:pPr>
        <w:pStyle w:val="ActHead5"/>
      </w:pPr>
      <w:bookmarkStart w:id="6" w:name="_Toc432684252"/>
      <w:r w:rsidRPr="00E70A49">
        <w:rPr>
          <w:rStyle w:val="CharSectno"/>
        </w:rPr>
        <w:t>5</w:t>
      </w:r>
      <w:r w:rsidR="00105F8D" w:rsidRPr="00E70A49">
        <w:t xml:space="preserve">  </w:t>
      </w:r>
      <w:r w:rsidR="00476F7E" w:rsidRPr="00E70A49">
        <w:t>Payments required to be made to the Bank</w:t>
      </w:r>
      <w:bookmarkEnd w:id="6"/>
    </w:p>
    <w:p w:rsidR="00476F7E" w:rsidRPr="00E70A49" w:rsidRDefault="00F42E83" w:rsidP="00E70A49">
      <w:pPr>
        <w:pStyle w:val="SubsectionHead"/>
      </w:pPr>
      <w:r w:rsidRPr="00E70A49">
        <w:t>Share s</w:t>
      </w:r>
      <w:r w:rsidR="00476F7E" w:rsidRPr="00E70A49">
        <w:t>ubscription</w:t>
      </w:r>
    </w:p>
    <w:p w:rsidR="00476F7E" w:rsidRPr="00E70A49" w:rsidRDefault="00384F71" w:rsidP="00E70A49">
      <w:pPr>
        <w:pStyle w:val="subsection"/>
      </w:pPr>
      <w:r w:rsidRPr="00E70A49">
        <w:tab/>
      </w:r>
      <w:r w:rsidR="0016725D" w:rsidRPr="00E70A49">
        <w:t>(1)</w:t>
      </w:r>
      <w:r w:rsidR="00105F8D" w:rsidRPr="00E70A49">
        <w:tab/>
      </w:r>
      <w:r w:rsidR="00476F7E" w:rsidRPr="00E70A49">
        <w:t xml:space="preserve">If Australia is required, under the </w:t>
      </w:r>
      <w:r w:rsidR="00F42E83" w:rsidRPr="00E70A49">
        <w:t>Bank Agreement</w:t>
      </w:r>
      <w:r w:rsidR="00476F7E" w:rsidRPr="00E70A49">
        <w:t xml:space="preserve">, to subscribe to shares of the capital stock of the Bank, </w:t>
      </w:r>
      <w:r w:rsidR="00105F8D" w:rsidRPr="00E70A49">
        <w:t>Australia</w:t>
      </w:r>
      <w:r w:rsidR="00476F7E" w:rsidRPr="00E70A49">
        <w:t xml:space="preserve"> may</w:t>
      </w:r>
      <w:r w:rsidR="00105F8D" w:rsidRPr="00E70A49">
        <w:t xml:space="preserve"> </w:t>
      </w:r>
      <w:r w:rsidR="0016725D" w:rsidRPr="00E70A49">
        <w:t xml:space="preserve">make </w:t>
      </w:r>
      <w:r w:rsidR="00476F7E" w:rsidRPr="00E70A49">
        <w:t xml:space="preserve">a payment </w:t>
      </w:r>
      <w:r w:rsidR="00306149" w:rsidRPr="00E70A49">
        <w:t xml:space="preserve">for or </w:t>
      </w:r>
      <w:r w:rsidR="00476F7E" w:rsidRPr="00E70A49">
        <w:t>by way of:</w:t>
      </w:r>
    </w:p>
    <w:p w:rsidR="00476F7E" w:rsidRPr="00E70A49" w:rsidRDefault="00476F7E" w:rsidP="00E70A49">
      <w:pPr>
        <w:pStyle w:val="paragraph"/>
      </w:pPr>
      <w:r w:rsidRPr="00E70A49">
        <w:tab/>
        <w:t>(a)</w:t>
      </w:r>
      <w:r w:rsidRPr="00E70A49">
        <w:tab/>
        <w:t>such a subscription; or</w:t>
      </w:r>
    </w:p>
    <w:p w:rsidR="00105F8D" w:rsidRPr="00E70A49" w:rsidRDefault="00476F7E" w:rsidP="00E70A49">
      <w:pPr>
        <w:pStyle w:val="paragraph"/>
      </w:pPr>
      <w:r w:rsidRPr="00E70A49">
        <w:lastRenderedPageBreak/>
        <w:tab/>
        <w:t>(b)</w:t>
      </w:r>
      <w:r w:rsidRPr="00E70A49">
        <w:tab/>
        <w:t>an instalment of such a subscription</w:t>
      </w:r>
      <w:r w:rsidR="00105F8D" w:rsidRPr="00E70A49">
        <w:t>.</w:t>
      </w:r>
    </w:p>
    <w:p w:rsidR="00DE4AE6" w:rsidRPr="00E70A49" w:rsidRDefault="00DE4AE6" w:rsidP="00E70A49">
      <w:pPr>
        <w:pStyle w:val="SubsectionHead"/>
      </w:pPr>
      <w:r w:rsidRPr="00E70A49">
        <w:t>Other payments</w:t>
      </w:r>
    </w:p>
    <w:p w:rsidR="0016725D" w:rsidRPr="00E70A49" w:rsidRDefault="0016725D" w:rsidP="00E70A49">
      <w:pPr>
        <w:pStyle w:val="subsection"/>
      </w:pPr>
      <w:r w:rsidRPr="00E70A49">
        <w:tab/>
        <w:t>(2)</w:t>
      </w:r>
      <w:r w:rsidRPr="00E70A49">
        <w:tab/>
      </w:r>
      <w:r w:rsidR="00DE4AE6" w:rsidRPr="00E70A49">
        <w:t xml:space="preserve">Australia may make any other payment to the Bank that Australia is required to make in accordance with the </w:t>
      </w:r>
      <w:r w:rsidR="00F42E83" w:rsidRPr="00E70A49">
        <w:t>Bank Agreement</w:t>
      </w:r>
      <w:r w:rsidRPr="00E70A49">
        <w:t>.</w:t>
      </w:r>
    </w:p>
    <w:p w:rsidR="00105F8D" w:rsidRPr="00E70A49" w:rsidRDefault="004A3E0C" w:rsidP="00E70A49">
      <w:pPr>
        <w:pStyle w:val="ActHead5"/>
      </w:pPr>
      <w:bookmarkStart w:id="7" w:name="_Toc432684253"/>
      <w:r w:rsidRPr="00E70A49">
        <w:rPr>
          <w:rStyle w:val="CharSectno"/>
        </w:rPr>
        <w:t>6</w:t>
      </w:r>
      <w:r w:rsidR="00105F8D" w:rsidRPr="00E70A49">
        <w:t xml:space="preserve">  Issue of promissory notes</w:t>
      </w:r>
      <w:bookmarkEnd w:id="7"/>
    </w:p>
    <w:p w:rsidR="00105F8D" w:rsidRPr="00E70A49" w:rsidRDefault="00105F8D" w:rsidP="00E70A49">
      <w:pPr>
        <w:pStyle w:val="subsection"/>
      </w:pPr>
      <w:r w:rsidRPr="00E70A49">
        <w:tab/>
        <w:t>(1)</w:t>
      </w:r>
      <w:r w:rsidRPr="00E70A49">
        <w:tab/>
        <w:t xml:space="preserve">The </w:t>
      </w:r>
      <w:r w:rsidR="007F6B96" w:rsidRPr="00E70A49">
        <w:t>Minister</w:t>
      </w:r>
      <w:r w:rsidRPr="00E70A49">
        <w:t xml:space="preserve"> may, on behalf of Australia, make promissory notes and issue them to the Bank.</w:t>
      </w:r>
    </w:p>
    <w:p w:rsidR="00105F8D" w:rsidRPr="00E70A49" w:rsidRDefault="00105F8D" w:rsidP="00E70A49">
      <w:pPr>
        <w:pStyle w:val="subsection"/>
      </w:pPr>
      <w:r w:rsidRPr="00E70A49">
        <w:tab/>
        <w:t>(2)</w:t>
      </w:r>
      <w:r w:rsidRPr="00E70A49">
        <w:tab/>
        <w:t xml:space="preserve">A promissory note made under </w:t>
      </w:r>
      <w:r w:rsidR="00E70A49" w:rsidRPr="00E70A49">
        <w:t>subsection (</w:t>
      </w:r>
      <w:r w:rsidRPr="00E70A49">
        <w:t>1) is to be:</w:t>
      </w:r>
    </w:p>
    <w:p w:rsidR="00105F8D" w:rsidRPr="00E70A49" w:rsidRDefault="00105F8D" w:rsidP="00E70A49">
      <w:pPr>
        <w:pStyle w:val="paragraph"/>
      </w:pPr>
      <w:r w:rsidRPr="00E70A49">
        <w:tab/>
        <w:t>(a)</w:t>
      </w:r>
      <w:r w:rsidRPr="00E70A49">
        <w:tab/>
        <w:t>non</w:t>
      </w:r>
      <w:r w:rsidR="00BA67E0">
        <w:noBreakHyphen/>
      </w:r>
      <w:r w:rsidRPr="00E70A49">
        <w:t>negotiable; and</w:t>
      </w:r>
    </w:p>
    <w:p w:rsidR="00105F8D" w:rsidRPr="00E70A49" w:rsidRDefault="00105F8D" w:rsidP="00E70A49">
      <w:pPr>
        <w:pStyle w:val="paragraph"/>
      </w:pPr>
      <w:r w:rsidRPr="00E70A49">
        <w:tab/>
        <w:t>(b)</w:t>
      </w:r>
      <w:r w:rsidRPr="00E70A49">
        <w:tab/>
        <w:t>non</w:t>
      </w:r>
      <w:r w:rsidR="00BA67E0">
        <w:noBreakHyphen/>
      </w:r>
      <w:r w:rsidRPr="00E70A49">
        <w:t>interest</w:t>
      </w:r>
      <w:r w:rsidR="00BA67E0">
        <w:noBreakHyphen/>
      </w:r>
      <w:r w:rsidRPr="00E70A49">
        <w:t>bearing; and</w:t>
      </w:r>
    </w:p>
    <w:p w:rsidR="00105F8D" w:rsidRPr="00E70A49" w:rsidRDefault="00105F8D" w:rsidP="00E70A49">
      <w:pPr>
        <w:pStyle w:val="paragraph"/>
      </w:pPr>
      <w:r w:rsidRPr="00E70A49">
        <w:tab/>
        <w:t>(c)</w:t>
      </w:r>
      <w:r w:rsidRPr="00E70A49">
        <w:tab/>
        <w:t>payable to the Bank at par value upon demand.</w:t>
      </w:r>
    </w:p>
    <w:p w:rsidR="00105F8D" w:rsidRPr="00E70A49" w:rsidRDefault="004A3E0C" w:rsidP="00E70A49">
      <w:pPr>
        <w:pStyle w:val="ActHead5"/>
      </w:pPr>
      <w:bookmarkStart w:id="8" w:name="_Toc432684254"/>
      <w:r w:rsidRPr="00E70A49">
        <w:rPr>
          <w:rStyle w:val="CharSectno"/>
        </w:rPr>
        <w:t>7</w:t>
      </w:r>
      <w:r w:rsidR="00105F8D" w:rsidRPr="00E70A49">
        <w:t xml:space="preserve">  Appropriation</w:t>
      </w:r>
      <w:bookmarkEnd w:id="8"/>
    </w:p>
    <w:p w:rsidR="00476F7E" w:rsidRPr="00E70A49" w:rsidRDefault="00476F7E" w:rsidP="00E70A49">
      <w:pPr>
        <w:pStyle w:val="subsection"/>
      </w:pPr>
      <w:r w:rsidRPr="00E70A49">
        <w:tab/>
      </w:r>
      <w:r w:rsidRPr="00E70A49">
        <w:tab/>
        <w:t>T</w:t>
      </w:r>
      <w:r w:rsidR="00105F8D" w:rsidRPr="00E70A49">
        <w:t>he Consolidated Revenue Fund</w:t>
      </w:r>
      <w:r w:rsidRPr="00E70A49">
        <w:t xml:space="preserve"> </w:t>
      </w:r>
      <w:r w:rsidR="00105F8D" w:rsidRPr="00E70A49">
        <w:t xml:space="preserve">is appropriated </w:t>
      </w:r>
      <w:r w:rsidRPr="00E70A49">
        <w:t>for the purposes of making:</w:t>
      </w:r>
    </w:p>
    <w:p w:rsidR="00476F7E" w:rsidRPr="00E70A49" w:rsidRDefault="00476F7E" w:rsidP="00E70A49">
      <w:pPr>
        <w:pStyle w:val="paragraph"/>
      </w:pPr>
      <w:r w:rsidRPr="00E70A49">
        <w:tab/>
        <w:t>(a)</w:t>
      </w:r>
      <w:r w:rsidRPr="00E70A49">
        <w:tab/>
        <w:t>payments under section</w:t>
      </w:r>
      <w:r w:rsidR="00E70A49" w:rsidRPr="00E70A49">
        <w:t> </w:t>
      </w:r>
      <w:r w:rsidR="004A3E0C" w:rsidRPr="00E70A49">
        <w:t>5</w:t>
      </w:r>
      <w:r w:rsidRPr="00E70A49">
        <w:t>; and</w:t>
      </w:r>
    </w:p>
    <w:p w:rsidR="00105F8D" w:rsidRPr="00E70A49" w:rsidRDefault="00476F7E" w:rsidP="00E70A49">
      <w:pPr>
        <w:pStyle w:val="paragraph"/>
      </w:pPr>
      <w:r w:rsidRPr="00E70A49">
        <w:tab/>
        <w:t>(</w:t>
      </w:r>
      <w:r w:rsidR="00C836DC" w:rsidRPr="00E70A49">
        <w:t>b</w:t>
      </w:r>
      <w:r w:rsidRPr="00E70A49">
        <w:t>)</w:t>
      </w:r>
      <w:r w:rsidRPr="00E70A49">
        <w:tab/>
        <w:t>payments under promissory notes made under section</w:t>
      </w:r>
      <w:r w:rsidR="00E70A49" w:rsidRPr="00E70A49">
        <w:t> </w:t>
      </w:r>
      <w:r w:rsidR="004A3E0C" w:rsidRPr="00E70A49">
        <w:t>6</w:t>
      </w:r>
      <w:r w:rsidR="00C836DC" w:rsidRPr="00E70A49">
        <w:t xml:space="preserve">, </w:t>
      </w:r>
      <w:r w:rsidR="00EC6D2A" w:rsidRPr="00E70A49">
        <w:t>so long as</w:t>
      </w:r>
      <w:r w:rsidR="00C836DC" w:rsidRPr="00E70A49">
        <w:t xml:space="preserve"> the promissory notes </w:t>
      </w:r>
      <w:r w:rsidR="00EC6D2A" w:rsidRPr="00E70A49">
        <w:t>we</w:t>
      </w:r>
      <w:r w:rsidR="00C836DC" w:rsidRPr="00E70A49">
        <w:t>re made for the purpose</w:t>
      </w:r>
      <w:r w:rsidR="00EC6D2A" w:rsidRPr="00E70A49">
        <w:t>s</w:t>
      </w:r>
      <w:r w:rsidR="00C836DC" w:rsidRPr="00E70A49">
        <w:t xml:space="preserve"> of </w:t>
      </w:r>
      <w:r w:rsidR="00EC6D2A" w:rsidRPr="00E70A49">
        <w:t xml:space="preserve">making </w:t>
      </w:r>
      <w:r w:rsidR="00C836DC" w:rsidRPr="00E70A49">
        <w:t xml:space="preserve">a payment that </w:t>
      </w:r>
      <w:r w:rsidR="007940D2" w:rsidRPr="00E70A49">
        <w:t xml:space="preserve">Australia </w:t>
      </w:r>
      <w:r w:rsidR="00C836DC" w:rsidRPr="00E70A49">
        <w:t xml:space="preserve">is required to </w:t>
      </w:r>
      <w:r w:rsidR="007940D2" w:rsidRPr="00E70A49">
        <w:t xml:space="preserve">make </w:t>
      </w:r>
      <w:r w:rsidR="00EC6D2A" w:rsidRPr="00E70A49">
        <w:t xml:space="preserve">to the Bank </w:t>
      </w:r>
      <w:r w:rsidR="00C836DC" w:rsidRPr="00E70A49">
        <w:t>in accordance with the Bank Agreement</w:t>
      </w:r>
      <w:r w:rsidRPr="00E70A49">
        <w:t>.</w:t>
      </w:r>
    </w:p>
    <w:p w:rsidR="00105F8D" w:rsidRPr="00E70A49" w:rsidRDefault="004A3E0C" w:rsidP="00E70A49">
      <w:pPr>
        <w:pStyle w:val="ActHead5"/>
      </w:pPr>
      <w:bookmarkStart w:id="9" w:name="_Toc432684255"/>
      <w:r w:rsidRPr="00E70A49">
        <w:rPr>
          <w:rStyle w:val="CharSectno"/>
        </w:rPr>
        <w:t>8</w:t>
      </w:r>
      <w:r w:rsidR="00105F8D" w:rsidRPr="00E70A49">
        <w:t xml:space="preserve">  Privileges and immunities</w:t>
      </w:r>
      <w:bookmarkEnd w:id="9"/>
    </w:p>
    <w:p w:rsidR="0019085D" w:rsidRPr="00E70A49" w:rsidRDefault="008B272E" w:rsidP="00E70A49">
      <w:pPr>
        <w:pStyle w:val="subsection"/>
      </w:pPr>
      <w:r w:rsidRPr="00E70A49">
        <w:tab/>
        <w:t>(</w:t>
      </w:r>
      <w:r w:rsidR="00DD1C1A" w:rsidRPr="00E70A49">
        <w:t>1</w:t>
      </w:r>
      <w:r w:rsidRPr="00E70A49">
        <w:t>)</w:t>
      </w:r>
      <w:r w:rsidRPr="00E70A49">
        <w:tab/>
      </w:r>
      <w:r w:rsidR="00DD1C1A" w:rsidRPr="00E70A49">
        <w:t>The r</w:t>
      </w:r>
      <w:r w:rsidR="0019085D" w:rsidRPr="00E70A49">
        <w:t>egulations may confer on the Bank such privileges and immunities as are necessary or desirable to give effect to Chapter IX of the Bank Agreement.</w:t>
      </w:r>
    </w:p>
    <w:p w:rsidR="008B272E" w:rsidRPr="00E70A49" w:rsidRDefault="00DD1C1A" w:rsidP="00E70A49">
      <w:pPr>
        <w:pStyle w:val="subsection"/>
      </w:pPr>
      <w:r w:rsidRPr="00E70A49">
        <w:tab/>
        <w:t>(2</w:t>
      </w:r>
      <w:r w:rsidR="0019085D" w:rsidRPr="00E70A49">
        <w:t>)</w:t>
      </w:r>
      <w:r w:rsidR="0019085D" w:rsidRPr="00E70A49">
        <w:tab/>
      </w:r>
      <w:r w:rsidRPr="00E70A49">
        <w:t>The r</w:t>
      </w:r>
      <w:r w:rsidR="00B51DD2" w:rsidRPr="00E70A49">
        <w:t>egulations may confer on</w:t>
      </w:r>
      <w:r w:rsidR="008B272E" w:rsidRPr="00E70A49">
        <w:t xml:space="preserve"> the following individuals:</w:t>
      </w:r>
    </w:p>
    <w:p w:rsidR="008B272E" w:rsidRPr="00E70A49" w:rsidRDefault="008B272E" w:rsidP="00E70A49">
      <w:pPr>
        <w:pStyle w:val="paragraph"/>
      </w:pPr>
      <w:r w:rsidRPr="00E70A49">
        <w:tab/>
        <w:t>(a)</w:t>
      </w:r>
      <w:r w:rsidRPr="00E70A49">
        <w:tab/>
      </w:r>
      <w:r w:rsidR="00C22D57" w:rsidRPr="00E70A49">
        <w:t>Governors</w:t>
      </w:r>
      <w:r w:rsidRPr="00E70A49">
        <w:t xml:space="preserve"> of the </w:t>
      </w:r>
      <w:r w:rsidR="006D78A3" w:rsidRPr="00E70A49">
        <w:t>Bank</w:t>
      </w:r>
      <w:r w:rsidRPr="00E70A49">
        <w:t>;</w:t>
      </w:r>
    </w:p>
    <w:p w:rsidR="008B272E" w:rsidRPr="00E70A49" w:rsidRDefault="008B272E" w:rsidP="00E70A49">
      <w:pPr>
        <w:pStyle w:val="paragraph"/>
      </w:pPr>
      <w:r w:rsidRPr="00E70A49">
        <w:tab/>
        <w:t>(b)</w:t>
      </w:r>
      <w:r w:rsidRPr="00E70A49">
        <w:tab/>
      </w:r>
      <w:r w:rsidR="00C22D57" w:rsidRPr="00E70A49">
        <w:t>Directors</w:t>
      </w:r>
      <w:r w:rsidRPr="00E70A49">
        <w:t xml:space="preserve"> of the </w:t>
      </w:r>
      <w:r w:rsidR="006D78A3" w:rsidRPr="00E70A49">
        <w:t>Bank</w:t>
      </w:r>
      <w:r w:rsidRPr="00E70A49">
        <w:t>;</w:t>
      </w:r>
    </w:p>
    <w:p w:rsidR="008B272E" w:rsidRPr="00E70A49" w:rsidRDefault="008B272E" w:rsidP="00E70A49">
      <w:pPr>
        <w:pStyle w:val="paragraph"/>
      </w:pPr>
      <w:r w:rsidRPr="00E70A49">
        <w:tab/>
        <w:t>(c)</w:t>
      </w:r>
      <w:r w:rsidRPr="00E70A49">
        <w:tab/>
      </w:r>
      <w:r w:rsidR="00C22D57" w:rsidRPr="00E70A49">
        <w:t>Alternate Directors</w:t>
      </w:r>
      <w:r w:rsidRPr="00E70A49">
        <w:t xml:space="preserve"> of the </w:t>
      </w:r>
      <w:r w:rsidR="006D78A3" w:rsidRPr="00E70A49">
        <w:t>Bank</w:t>
      </w:r>
      <w:r w:rsidRPr="00E70A49">
        <w:t>;</w:t>
      </w:r>
    </w:p>
    <w:p w:rsidR="008B272E" w:rsidRPr="00E70A49" w:rsidRDefault="008B272E" w:rsidP="00E70A49">
      <w:pPr>
        <w:pStyle w:val="paragraph"/>
      </w:pPr>
      <w:r w:rsidRPr="00E70A49">
        <w:tab/>
        <w:t>(d)</w:t>
      </w:r>
      <w:r w:rsidRPr="00E70A49">
        <w:tab/>
        <w:t xml:space="preserve">the </w:t>
      </w:r>
      <w:r w:rsidR="00C22D57" w:rsidRPr="00E70A49">
        <w:t>President</w:t>
      </w:r>
      <w:r w:rsidRPr="00E70A49">
        <w:t xml:space="preserve"> of the </w:t>
      </w:r>
      <w:r w:rsidR="006D78A3" w:rsidRPr="00E70A49">
        <w:t>Bank</w:t>
      </w:r>
      <w:r w:rsidRPr="00E70A49">
        <w:t>;</w:t>
      </w:r>
    </w:p>
    <w:p w:rsidR="008B272E" w:rsidRPr="00E70A49" w:rsidRDefault="008B272E" w:rsidP="00E70A49">
      <w:pPr>
        <w:pStyle w:val="paragraph"/>
      </w:pPr>
      <w:r w:rsidRPr="00E70A49">
        <w:tab/>
        <w:t>(e)</w:t>
      </w:r>
      <w:r w:rsidRPr="00E70A49">
        <w:tab/>
      </w:r>
      <w:r w:rsidR="00C22D57" w:rsidRPr="00E70A49">
        <w:t>Vice</w:t>
      </w:r>
      <w:r w:rsidR="00BA67E0">
        <w:noBreakHyphen/>
      </w:r>
      <w:r w:rsidR="00C22D57" w:rsidRPr="00E70A49">
        <w:t>Presidents</w:t>
      </w:r>
      <w:r w:rsidRPr="00E70A49">
        <w:t xml:space="preserve"> of the </w:t>
      </w:r>
      <w:r w:rsidR="006D78A3" w:rsidRPr="00E70A49">
        <w:t>Bank</w:t>
      </w:r>
      <w:r w:rsidRPr="00E70A49">
        <w:t>;</w:t>
      </w:r>
    </w:p>
    <w:p w:rsidR="008B272E" w:rsidRPr="00E70A49" w:rsidRDefault="008B272E" w:rsidP="00E70A49">
      <w:pPr>
        <w:pStyle w:val="paragraph"/>
      </w:pPr>
      <w:r w:rsidRPr="00E70A49">
        <w:lastRenderedPageBreak/>
        <w:tab/>
        <w:t>(f)</w:t>
      </w:r>
      <w:r w:rsidRPr="00E70A49">
        <w:tab/>
      </w:r>
      <w:r w:rsidR="00C22D57" w:rsidRPr="00E70A49">
        <w:t xml:space="preserve">other officers and employees of the </w:t>
      </w:r>
      <w:r w:rsidR="006D78A3" w:rsidRPr="00E70A49">
        <w:t>Bank</w:t>
      </w:r>
      <w:r w:rsidRPr="00E70A49">
        <w:t>;</w:t>
      </w:r>
    </w:p>
    <w:p w:rsidR="008B272E" w:rsidRPr="00E70A49" w:rsidRDefault="008B272E" w:rsidP="00E70A49">
      <w:pPr>
        <w:pStyle w:val="paragraph"/>
      </w:pPr>
      <w:r w:rsidRPr="00E70A49">
        <w:tab/>
        <w:t>(g)</w:t>
      </w:r>
      <w:r w:rsidRPr="00E70A49">
        <w:tab/>
      </w:r>
      <w:r w:rsidR="003D49C6" w:rsidRPr="00E70A49">
        <w:t>experts and consultants performing missions or services for the Bank</w:t>
      </w:r>
      <w:r w:rsidRPr="00E70A49">
        <w:t>;</w:t>
      </w:r>
    </w:p>
    <w:p w:rsidR="00B51DD2" w:rsidRPr="00E70A49" w:rsidRDefault="00476F7E" w:rsidP="00E70A49">
      <w:pPr>
        <w:pStyle w:val="subsection2"/>
      </w:pPr>
      <w:r w:rsidRPr="00E70A49">
        <w:t xml:space="preserve">such </w:t>
      </w:r>
      <w:r w:rsidR="00B51DD2" w:rsidRPr="00E70A49">
        <w:t xml:space="preserve">privileges and immunities </w:t>
      </w:r>
      <w:r w:rsidRPr="00E70A49">
        <w:t xml:space="preserve">as are necessary </w:t>
      </w:r>
      <w:r w:rsidR="00F42E83" w:rsidRPr="00E70A49">
        <w:t xml:space="preserve">or desirable </w:t>
      </w:r>
      <w:r w:rsidRPr="00E70A49">
        <w:t xml:space="preserve">to give effect to </w:t>
      </w:r>
      <w:r w:rsidR="00B51DD2" w:rsidRPr="00E70A49">
        <w:t>Article 50</w:t>
      </w:r>
      <w:r w:rsidR="003D49C6" w:rsidRPr="00E70A49">
        <w:t xml:space="preserve"> of the </w:t>
      </w:r>
      <w:r w:rsidR="00F42E83" w:rsidRPr="00E70A49">
        <w:t>Bank Agreement</w:t>
      </w:r>
      <w:r w:rsidR="00B51DD2" w:rsidRPr="00E70A49">
        <w:t>.</w:t>
      </w:r>
    </w:p>
    <w:p w:rsidR="008B272E" w:rsidRPr="00E70A49" w:rsidRDefault="008B272E" w:rsidP="00E70A49">
      <w:pPr>
        <w:pStyle w:val="subsection"/>
      </w:pPr>
      <w:r w:rsidRPr="00E70A49">
        <w:tab/>
        <w:t>(</w:t>
      </w:r>
      <w:r w:rsidR="00DD1C1A" w:rsidRPr="00E70A49">
        <w:t>3</w:t>
      </w:r>
      <w:r w:rsidRPr="00E70A49">
        <w:t>)</w:t>
      </w:r>
      <w:r w:rsidRPr="00E70A49">
        <w:tab/>
      </w:r>
      <w:r w:rsidR="00DD1C1A" w:rsidRPr="00E70A49">
        <w:t>The r</w:t>
      </w:r>
      <w:r w:rsidRPr="00E70A49">
        <w:t>egulations may confer on the following individuals:</w:t>
      </w:r>
    </w:p>
    <w:p w:rsidR="008B272E" w:rsidRPr="00E70A49" w:rsidRDefault="008B272E" w:rsidP="00E70A49">
      <w:pPr>
        <w:pStyle w:val="paragraph"/>
      </w:pPr>
      <w:r w:rsidRPr="00E70A49">
        <w:tab/>
        <w:t>(a)</w:t>
      </w:r>
      <w:r w:rsidRPr="00E70A49">
        <w:tab/>
        <w:t xml:space="preserve">Directors of the </w:t>
      </w:r>
      <w:r w:rsidR="006D78A3" w:rsidRPr="00E70A49">
        <w:t>Bank</w:t>
      </w:r>
      <w:r w:rsidRPr="00E70A49">
        <w:t>;</w:t>
      </w:r>
    </w:p>
    <w:p w:rsidR="008B272E" w:rsidRPr="00E70A49" w:rsidRDefault="008B272E" w:rsidP="00E70A49">
      <w:pPr>
        <w:pStyle w:val="paragraph"/>
      </w:pPr>
      <w:r w:rsidRPr="00E70A49">
        <w:tab/>
        <w:t>(b)</w:t>
      </w:r>
      <w:r w:rsidRPr="00E70A49">
        <w:tab/>
        <w:t xml:space="preserve">Alternate Directors of the </w:t>
      </w:r>
      <w:r w:rsidR="006D78A3" w:rsidRPr="00E70A49">
        <w:t>Bank</w:t>
      </w:r>
      <w:r w:rsidRPr="00E70A49">
        <w:t>;</w:t>
      </w:r>
    </w:p>
    <w:p w:rsidR="008B272E" w:rsidRPr="00E70A49" w:rsidRDefault="008B272E" w:rsidP="00E70A49">
      <w:pPr>
        <w:pStyle w:val="paragraph"/>
      </w:pPr>
      <w:r w:rsidRPr="00E70A49">
        <w:tab/>
        <w:t>(c)</w:t>
      </w:r>
      <w:r w:rsidRPr="00E70A49">
        <w:tab/>
        <w:t xml:space="preserve">the President of the </w:t>
      </w:r>
      <w:r w:rsidR="006D78A3" w:rsidRPr="00E70A49">
        <w:t>Bank</w:t>
      </w:r>
      <w:r w:rsidRPr="00E70A49">
        <w:t>;</w:t>
      </w:r>
    </w:p>
    <w:p w:rsidR="008B272E" w:rsidRPr="00E70A49" w:rsidRDefault="008B272E" w:rsidP="00E70A49">
      <w:pPr>
        <w:pStyle w:val="paragraph"/>
      </w:pPr>
      <w:r w:rsidRPr="00E70A49">
        <w:tab/>
        <w:t>(d)</w:t>
      </w:r>
      <w:r w:rsidRPr="00E70A49">
        <w:tab/>
        <w:t>Vice</w:t>
      </w:r>
      <w:r w:rsidR="00BA67E0">
        <w:noBreakHyphen/>
      </w:r>
      <w:r w:rsidRPr="00E70A49">
        <w:t xml:space="preserve">Presidents of the </w:t>
      </w:r>
      <w:r w:rsidR="006D78A3" w:rsidRPr="00E70A49">
        <w:t>Bank</w:t>
      </w:r>
      <w:r w:rsidRPr="00E70A49">
        <w:t>;</w:t>
      </w:r>
    </w:p>
    <w:p w:rsidR="008B272E" w:rsidRPr="00E70A49" w:rsidRDefault="008B272E" w:rsidP="00E70A49">
      <w:pPr>
        <w:pStyle w:val="paragraph"/>
      </w:pPr>
      <w:r w:rsidRPr="00E70A49">
        <w:tab/>
        <w:t>(e)</w:t>
      </w:r>
      <w:r w:rsidRPr="00E70A49">
        <w:tab/>
        <w:t xml:space="preserve">other officers and employees of the </w:t>
      </w:r>
      <w:r w:rsidR="006D78A3" w:rsidRPr="00E70A49">
        <w:t>Bank</w:t>
      </w:r>
      <w:r w:rsidRPr="00E70A49">
        <w:t>;</w:t>
      </w:r>
    </w:p>
    <w:p w:rsidR="008B272E" w:rsidRPr="00E70A49" w:rsidRDefault="008B272E" w:rsidP="00E70A49">
      <w:pPr>
        <w:pStyle w:val="paragraph"/>
      </w:pPr>
      <w:r w:rsidRPr="00E70A49">
        <w:tab/>
        <w:t>(f)</w:t>
      </w:r>
      <w:r w:rsidRPr="00E70A49">
        <w:tab/>
        <w:t>experts and consultants performing missions or services for the Bank;</w:t>
      </w:r>
    </w:p>
    <w:p w:rsidR="008B272E" w:rsidRPr="00E70A49" w:rsidRDefault="008B272E" w:rsidP="00E70A49">
      <w:pPr>
        <w:pStyle w:val="subsection2"/>
      </w:pPr>
      <w:r w:rsidRPr="00E70A49">
        <w:t>such privileges and immunities as are necessary or desirable to give effect to paragraph</w:t>
      </w:r>
      <w:r w:rsidR="00E70A49" w:rsidRPr="00E70A49">
        <w:t> </w:t>
      </w:r>
      <w:r w:rsidRPr="00E70A49">
        <w:t>2 of Article 51 of the Bank Agreement.</w:t>
      </w:r>
    </w:p>
    <w:p w:rsidR="00DD1C1A" w:rsidRPr="00E70A49" w:rsidRDefault="00DD1C1A" w:rsidP="00E70A49">
      <w:pPr>
        <w:pStyle w:val="subsection"/>
      </w:pPr>
      <w:r w:rsidRPr="00E70A49">
        <w:tab/>
        <w:t>(4)</w:t>
      </w:r>
      <w:r w:rsidRPr="00E70A49">
        <w:tab/>
        <w:t>The privileges and immunities conferred by the regulations are privileges and immunities in relation to the operation of the laws of the Commonwealth and of the laws of the States and Territories.</w:t>
      </w:r>
    </w:p>
    <w:p w:rsidR="00B51DD2" w:rsidRPr="00E70A49" w:rsidRDefault="00B51DD2" w:rsidP="00E70A49">
      <w:pPr>
        <w:pStyle w:val="subsection"/>
      </w:pPr>
      <w:r w:rsidRPr="00E70A49">
        <w:tab/>
        <w:t>(</w:t>
      </w:r>
      <w:r w:rsidR="00DE7A82" w:rsidRPr="00E70A49">
        <w:t>5</w:t>
      </w:r>
      <w:r w:rsidRPr="00E70A49">
        <w:t>)</w:t>
      </w:r>
      <w:r w:rsidRPr="00E70A49">
        <w:tab/>
        <w:t xml:space="preserve">This section does not limit the </w:t>
      </w:r>
      <w:r w:rsidRPr="00E70A49">
        <w:rPr>
          <w:i/>
        </w:rPr>
        <w:t>International Organisations (Privileges and Immunities) Act 1963</w:t>
      </w:r>
      <w:r w:rsidRPr="00E70A49">
        <w:t>.</w:t>
      </w:r>
    </w:p>
    <w:p w:rsidR="00DD1C1A" w:rsidRPr="00E70A49" w:rsidRDefault="00DD1C1A" w:rsidP="00E70A49">
      <w:pPr>
        <w:pStyle w:val="ActHead5"/>
      </w:pPr>
      <w:bookmarkStart w:id="10" w:name="_Toc432684256"/>
      <w:r w:rsidRPr="00E70A49">
        <w:rPr>
          <w:rStyle w:val="CharSectno"/>
        </w:rPr>
        <w:t>9</w:t>
      </w:r>
      <w:r w:rsidRPr="00E70A49">
        <w:t xml:space="preserve">  Regulations</w:t>
      </w:r>
      <w:bookmarkEnd w:id="10"/>
    </w:p>
    <w:p w:rsidR="00DD1C1A" w:rsidRPr="00E70A49" w:rsidRDefault="00DD1C1A" w:rsidP="00E70A49">
      <w:pPr>
        <w:pStyle w:val="subsection"/>
      </w:pPr>
      <w:r w:rsidRPr="00E70A49">
        <w:tab/>
      </w:r>
      <w:r w:rsidRPr="00E70A49">
        <w:tab/>
        <w:t>The Governor</w:t>
      </w:r>
      <w:r w:rsidR="00BA67E0">
        <w:noBreakHyphen/>
      </w:r>
      <w:r w:rsidRPr="00E70A49">
        <w:t>General may make regulations prescribing matters:</w:t>
      </w:r>
    </w:p>
    <w:p w:rsidR="00DD1C1A" w:rsidRPr="00E70A49" w:rsidRDefault="00DD1C1A" w:rsidP="00E70A49">
      <w:pPr>
        <w:pStyle w:val="paragraph"/>
      </w:pPr>
      <w:r w:rsidRPr="00E70A49">
        <w:tab/>
        <w:t>(a)</w:t>
      </w:r>
      <w:r w:rsidRPr="00E70A49">
        <w:tab/>
        <w:t>required or permitted by this Act to be prescribed; or</w:t>
      </w:r>
    </w:p>
    <w:p w:rsidR="00BA67E0" w:rsidRDefault="00DD1C1A" w:rsidP="00E70A49">
      <w:pPr>
        <w:pStyle w:val="paragraph"/>
      </w:pPr>
      <w:r w:rsidRPr="00E70A49">
        <w:tab/>
        <w:t>(b)</w:t>
      </w:r>
      <w:r w:rsidRPr="00E70A49">
        <w:tab/>
        <w:t>necessary or convenient to be prescribed for carrying out or giving effect to this Act.</w:t>
      </w:r>
    </w:p>
    <w:p w:rsidR="00BF6536" w:rsidRDefault="00BF6536" w:rsidP="00BF6536">
      <w:pPr>
        <w:pStyle w:val="AssentBk"/>
        <w:keepNext/>
      </w:pPr>
    </w:p>
    <w:p w:rsidR="00BF6536" w:rsidRDefault="00BF6536" w:rsidP="00BF6536"/>
    <w:p w:rsidR="00BF6536" w:rsidRDefault="00BF6536" w:rsidP="00BF6536">
      <w:pPr>
        <w:pStyle w:val="2ndRd"/>
        <w:keepNext/>
        <w:pBdr>
          <w:top w:val="single" w:sz="2" w:space="1" w:color="auto"/>
        </w:pBdr>
      </w:pPr>
    </w:p>
    <w:p w:rsidR="00BF6536" w:rsidRDefault="00BF6536" w:rsidP="00BF6536">
      <w:pPr>
        <w:pStyle w:val="2ndRd"/>
        <w:keepNext/>
        <w:spacing w:line="260" w:lineRule="atLeast"/>
        <w:rPr>
          <w:i/>
        </w:rPr>
      </w:pPr>
      <w:r>
        <w:t>[</w:t>
      </w:r>
      <w:r>
        <w:rPr>
          <w:i/>
        </w:rPr>
        <w:t>Minister’s second reading speech made in—</w:t>
      </w:r>
    </w:p>
    <w:p w:rsidR="00BF6536" w:rsidRDefault="00BF6536" w:rsidP="00BF6536">
      <w:pPr>
        <w:pStyle w:val="2ndRd"/>
        <w:keepNext/>
        <w:spacing w:line="260" w:lineRule="atLeast"/>
        <w:rPr>
          <w:i/>
        </w:rPr>
      </w:pPr>
      <w:r>
        <w:rPr>
          <w:i/>
        </w:rPr>
        <w:t>House of Representatives on 13 August 2015</w:t>
      </w:r>
    </w:p>
    <w:p w:rsidR="00BF6536" w:rsidRDefault="00BF6536" w:rsidP="00BF6536">
      <w:pPr>
        <w:pStyle w:val="2ndRd"/>
        <w:keepNext/>
        <w:spacing w:line="260" w:lineRule="atLeast"/>
        <w:rPr>
          <w:i/>
        </w:rPr>
      </w:pPr>
      <w:r>
        <w:rPr>
          <w:i/>
        </w:rPr>
        <w:t>Senate on 7 September 2015</w:t>
      </w:r>
      <w:r>
        <w:t>]</w:t>
      </w:r>
    </w:p>
    <w:p w:rsidR="00BF6536" w:rsidRDefault="00BF6536" w:rsidP="00E70A49">
      <w:pPr>
        <w:pStyle w:val="paragraph"/>
        <w:sectPr w:rsidR="00BF6536" w:rsidSect="00A64F9C">
          <w:headerReference w:type="even" r:id="rId20"/>
          <w:headerReference w:type="default" r:id="rId21"/>
          <w:footerReference w:type="even" r:id="rId22"/>
          <w:footerReference w:type="default" r:id="rId23"/>
          <w:headerReference w:type="first" r:id="rId24"/>
          <w:footerReference w:type="first" r:id="rId25"/>
          <w:pgSz w:w="11907" w:h="16839"/>
          <w:pgMar w:top="2381" w:right="2409" w:bottom="4252" w:left="2409" w:header="720" w:footer="3402" w:gutter="0"/>
          <w:pgNumType w:start="1"/>
          <w:cols w:space="708"/>
          <w:titlePg/>
          <w:docGrid w:linePitch="360"/>
        </w:sectPr>
      </w:pPr>
    </w:p>
    <w:p w:rsidR="00BF6536" w:rsidRDefault="00BF6536" w:rsidP="00BF6536">
      <w:pPr>
        <w:framePr w:hSpace="180" w:wrap="around" w:vAnchor="text" w:hAnchor="page" w:x="2401" w:y="578"/>
      </w:pPr>
      <w:r>
        <w:t>(128/15)</w:t>
      </w:r>
    </w:p>
    <w:p w:rsidR="00663C00" w:rsidRDefault="00663C00" w:rsidP="00BF6536">
      <w:pPr>
        <w:pStyle w:val="paragraph"/>
      </w:pPr>
    </w:p>
    <w:sectPr w:rsidR="00663C00" w:rsidSect="00BF6536">
      <w:headerReference w:type="even" r:id="rId26"/>
      <w:headerReference w:type="default" r:id="rId27"/>
      <w:footerReference w:type="even" r:id="rId28"/>
      <w:footerReference w:type="default" r:id="rId29"/>
      <w:headerReference w:type="first" r:id="rId30"/>
      <w:footerReference w:type="first" r:id="rId31"/>
      <w:type w:val="continuous"/>
      <w:pgSz w:w="11907" w:h="16839"/>
      <w:pgMar w:top="2381" w:right="2409" w:bottom="4252" w:left="2409" w:header="720" w:footer="3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1E1" w:rsidRDefault="00A851E1" w:rsidP="00715914">
      <w:pPr>
        <w:spacing w:line="240" w:lineRule="auto"/>
      </w:pPr>
      <w:r>
        <w:separator/>
      </w:r>
    </w:p>
  </w:endnote>
  <w:endnote w:type="continuationSeparator" w:id="0">
    <w:p w:rsidR="00A851E1" w:rsidRDefault="00A851E1"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5F1388" w:rsidRDefault="00715914" w:rsidP="00E70A49">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F9C" w:rsidRDefault="00A64F9C" w:rsidP="00E70A4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64F9C" w:rsidTr="00E70A49">
      <w:tc>
        <w:tcPr>
          <w:tcW w:w="1247" w:type="dxa"/>
        </w:tcPr>
        <w:p w:rsidR="00A64F9C" w:rsidRDefault="00261191" w:rsidP="00601309">
          <w:pPr>
            <w:rPr>
              <w:sz w:val="18"/>
            </w:rPr>
          </w:pPr>
          <w:r>
            <w:rPr>
              <w:i/>
              <w:sz w:val="18"/>
            </w:rPr>
            <w:t>No.      , 2015</w:t>
          </w:r>
        </w:p>
      </w:tc>
      <w:tc>
        <w:tcPr>
          <w:tcW w:w="5387" w:type="dxa"/>
        </w:tcPr>
        <w:p w:rsidR="00A64F9C" w:rsidRDefault="00261191" w:rsidP="00601309">
          <w:pPr>
            <w:jc w:val="center"/>
            <w:rPr>
              <w:sz w:val="18"/>
            </w:rPr>
          </w:pPr>
          <w:r>
            <w:rPr>
              <w:i/>
              <w:sz w:val="18"/>
            </w:rPr>
            <w:t>Asian Infrastructure Investment Bank Act 2015</w:t>
          </w:r>
        </w:p>
      </w:tc>
      <w:tc>
        <w:tcPr>
          <w:tcW w:w="669" w:type="dxa"/>
        </w:tcPr>
        <w:p w:rsidR="00A64F9C" w:rsidRDefault="00A64F9C"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91A79">
            <w:rPr>
              <w:i/>
              <w:noProof/>
              <w:sz w:val="18"/>
            </w:rPr>
            <w:t>5</w:t>
          </w:r>
          <w:r w:rsidRPr="007A1328">
            <w:rPr>
              <w:i/>
              <w:sz w:val="18"/>
            </w:rPr>
            <w:fldChar w:fldCharType="end"/>
          </w:r>
        </w:p>
      </w:tc>
    </w:tr>
  </w:tbl>
  <w:p w:rsidR="00A64F9C" w:rsidRPr="007A1328" w:rsidRDefault="00A64F9C" w:rsidP="00715914">
    <w:pPr>
      <w:rPr>
        <w:i/>
        <w:sz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F9C" w:rsidRDefault="00A64F9C" w:rsidP="00E70A4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A64F9C" w:rsidTr="00E70A49">
      <w:tc>
        <w:tcPr>
          <w:tcW w:w="1247" w:type="dxa"/>
        </w:tcPr>
        <w:p w:rsidR="00A64F9C" w:rsidRDefault="00A64F9C"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C58D7">
            <w:rPr>
              <w:i/>
              <w:sz w:val="18"/>
            </w:rPr>
            <w:t>No. 134, 2015</w:t>
          </w:r>
          <w:r w:rsidRPr="007A1328">
            <w:rPr>
              <w:i/>
              <w:sz w:val="18"/>
            </w:rPr>
            <w:fldChar w:fldCharType="end"/>
          </w:r>
        </w:p>
      </w:tc>
      <w:tc>
        <w:tcPr>
          <w:tcW w:w="5387" w:type="dxa"/>
        </w:tcPr>
        <w:p w:rsidR="00A64F9C" w:rsidRDefault="00A64F9C"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C58D7">
            <w:rPr>
              <w:i/>
              <w:sz w:val="18"/>
            </w:rPr>
            <w:t>Asian Infrastructure Investment Bank Act 2015</w:t>
          </w:r>
          <w:r w:rsidRPr="007A1328">
            <w:rPr>
              <w:i/>
              <w:sz w:val="18"/>
            </w:rPr>
            <w:fldChar w:fldCharType="end"/>
          </w:r>
        </w:p>
      </w:tc>
      <w:tc>
        <w:tcPr>
          <w:tcW w:w="669" w:type="dxa"/>
        </w:tcPr>
        <w:p w:rsidR="00A64F9C" w:rsidRDefault="00A64F9C"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91A79">
            <w:rPr>
              <w:i/>
              <w:noProof/>
              <w:sz w:val="18"/>
            </w:rPr>
            <w:t>5</w:t>
          </w:r>
          <w:r w:rsidRPr="007A1328">
            <w:rPr>
              <w:i/>
              <w:sz w:val="18"/>
            </w:rPr>
            <w:fldChar w:fldCharType="end"/>
          </w:r>
        </w:p>
      </w:tc>
    </w:tr>
  </w:tbl>
  <w:p w:rsidR="00A64F9C" w:rsidRPr="007A1328" w:rsidRDefault="00A64F9C" w:rsidP="00212DDD">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C00" w:rsidRDefault="00663C00" w:rsidP="000C5962">
    <w:pPr>
      <w:pStyle w:val="ScalePlusRef"/>
    </w:pPr>
    <w:r>
      <w:t>Note: An electronic version of this Act is available in ComLaw (</w:t>
    </w:r>
    <w:hyperlink r:id="rId1" w:history="1">
      <w:r>
        <w:t>http://www.comlaw.gov.au/</w:t>
      </w:r>
    </w:hyperlink>
    <w:r>
      <w:t>)</w:t>
    </w:r>
  </w:p>
  <w:p w:rsidR="005D7042" w:rsidRDefault="005D7042" w:rsidP="00E70A49">
    <w:pPr>
      <w:pStyle w:val="Footer"/>
      <w:spacing w:before="120"/>
    </w:pPr>
  </w:p>
  <w:p w:rsidR="00715914" w:rsidRPr="005F1388" w:rsidRDefault="00715914"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ED79B6" w:rsidRDefault="00715914" w:rsidP="00E70A49">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Default="00715914" w:rsidP="00E70A4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C4BB2" w:rsidTr="00AC4BB2">
      <w:tc>
        <w:tcPr>
          <w:tcW w:w="646" w:type="dxa"/>
        </w:tcPr>
        <w:p w:rsidR="00AC4BB2" w:rsidRDefault="00AC4BB2"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91A79">
            <w:rPr>
              <w:i/>
              <w:noProof/>
              <w:sz w:val="18"/>
            </w:rPr>
            <w:t>v</w:t>
          </w:r>
          <w:r w:rsidRPr="00ED79B6">
            <w:rPr>
              <w:i/>
              <w:sz w:val="18"/>
            </w:rPr>
            <w:fldChar w:fldCharType="end"/>
          </w:r>
        </w:p>
      </w:tc>
      <w:tc>
        <w:tcPr>
          <w:tcW w:w="5387" w:type="dxa"/>
        </w:tcPr>
        <w:p w:rsidR="00AC4BB2" w:rsidRDefault="00261191" w:rsidP="00A15C98">
          <w:pPr>
            <w:jc w:val="center"/>
            <w:rPr>
              <w:sz w:val="18"/>
            </w:rPr>
          </w:pPr>
          <w:r>
            <w:rPr>
              <w:i/>
              <w:sz w:val="18"/>
            </w:rPr>
            <w:t>Asian Infrastructure Investment Bank Act 2015</w:t>
          </w:r>
        </w:p>
      </w:tc>
      <w:tc>
        <w:tcPr>
          <w:tcW w:w="1270" w:type="dxa"/>
        </w:tcPr>
        <w:p w:rsidR="00AC4BB2" w:rsidRDefault="00261191" w:rsidP="00A15C98">
          <w:pPr>
            <w:jc w:val="right"/>
            <w:rPr>
              <w:sz w:val="18"/>
            </w:rPr>
          </w:pPr>
          <w:r>
            <w:rPr>
              <w:i/>
              <w:sz w:val="18"/>
            </w:rPr>
            <w:t>No.      , 2015</w:t>
          </w:r>
        </w:p>
      </w:tc>
    </w:tr>
  </w:tbl>
  <w:p w:rsidR="00715914" w:rsidRPr="00ED79B6" w:rsidRDefault="00715914" w:rsidP="00715914">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ED79B6" w:rsidRDefault="00715914" w:rsidP="00E70A4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40F07" w:rsidTr="00340F07">
      <w:tc>
        <w:tcPr>
          <w:tcW w:w="1247" w:type="dxa"/>
        </w:tcPr>
        <w:p w:rsidR="00340F07" w:rsidRDefault="00EC1C26" w:rsidP="00340F07">
          <w:pPr>
            <w:rPr>
              <w:i/>
              <w:sz w:val="18"/>
            </w:rPr>
          </w:pPr>
          <w:r>
            <w:rPr>
              <w:i/>
              <w:sz w:val="18"/>
            </w:rPr>
            <w:t>No. 134, 2015</w:t>
          </w:r>
        </w:p>
      </w:tc>
      <w:tc>
        <w:tcPr>
          <w:tcW w:w="5387" w:type="dxa"/>
        </w:tcPr>
        <w:p w:rsidR="00340F07" w:rsidRDefault="00261191" w:rsidP="005D7042">
          <w:pPr>
            <w:jc w:val="center"/>
            <w:rPr>
              <w:i/>
              <w:sz w:val="18"/>
            </w:rPr>
          </w:pPr>
          <w:r>
            <w:rPr>
              <w:i/>
              <w:sz w:val="18"/>
            </w:rPr>
            <w:t>Asian Infrastructure Investment Bank Act 2015</w:t>
          </w:r>
        </w:p>
      </w:tc>
      <w:tc>
        <w:tcPr>
          <w:tcW w:w="669" w:type="dxa"/>
        </w:tcPr>
        <w:p w:rsidR="00340F07" w:rsidRDefault="00340F07" w:rsidP="0066090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C58D7">
            <w:rPr>
              <w:i/>
              <w:noProof/>
              <w:sz w:val="18"/>
            </w:rPr>
            <w:t>i</w:t>
          </w:r>
          <w:r w:rsidRPr="00ED79B6">
            <w:rPr>
              <w:i/>
              <w:sz w:val="18"/>
            </w:rPr>
            <w:fldChar w:fldCharType="end"/>
          </w:r>
        </w:p>
      </w:tc>
    </w:tr>
  </w:tbl>
  <w:p w:rsidR="00715914" w:rsidRPr="00ED79B6" w:rsidRDefault="00715914" w:rsidP="00715914">
    <w:pPr>
      <w:jc w:val="right"/>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309" w:rsidRDefault="00601309" w:rsidP="00E70A4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01309" w:rsidTr="00E70A49">
      <w:tc>
        <w:tcPr>
          <w:tcW w:w="646" w:type="dxa"/>
        </w:tcPr>
        <w:p w:rsidR="00601309" w:rsidRDefault="00601309"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C58D7">
            <w:rPr>
              <w:i/>
              <w:noProof/>
              <w:sz w:val="18"/>
            </w:rPr>
            <w:t>4</w:t>
          </w:r>
          <w:r w:rsidRPr="007A1328">
            <w:rPr>
              <w:i/>
              <w:sz w:val="18"/>
            </w:rPr>
            <w:fldChar w:fldCharType="end"/>
          </w:r>
        </w:p>
      </w:tc>
      <w:tc>
        <w:tcPr>
          <w:tcW w:w="5387" w:type="dxa"/>
        </w:tcPr>
        <w:p w:rsidR="00601309" w:rsidRDefault="00261191" w:rsidP="00601309">
          <w:pPr>
            <w:jc w:val="center"/>
            <w:rPr>
              <w:sz w:val="18"/>
            </w:rPr>
          </w:pPr>
          <w:r>
            <w:rPr>
              <w:i/>
              <w:sz w:val="18"/>
            </w:rPr>
            <w:t>Asian Infrastructure Investment Bank Act 2015</w:t>
          </w:r>
        </w:p>
      </w:tc>
      <w:tc>
        <w:tcPr>
          <w:tcW w:w="1270" w:type="dxa"/>
        </w:tcPr>
        <w:p w:rsidR="00601309" w:rsidRDefault="00663C00" w:rsidP="00601309">
          <w:pPr>
            <w:jc w:val="right"/>
            <w:rPr>
              <w:sz w:val="18"/>
            </w:rPr>
          </w:pPr>
          <w:r>
            <w:rPr>
              <w:i/>
              <w:sz w:val="18"/>
            </w:rPr>
            <w:t>No. 134, 2015</w:t>
          </w:r>
        </w:p>
      </w:tc>
    </w:tr>
  </w:tbl>
  <w:p w:rsidR="00715914" w:rsidRPr="007A1328" w:rsidRDefault="00715914" w:rsidP="00601309">
    <w:pPr>
      <w:rPr>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Default="00715914" w:rsidP="00E70A4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01309" w:rsidTr="00E70A49">
      <w:tc>
        <w:tcPr>
          <w:tcW w:w="1247" w:type="dxa"/>
        </w:tcPr>
        <w:p w:rsidR="00601309" w:rsidRDefault="00663C00" w:rsidP="00601309">
          <w:pPr>
            <w:rPr>
              <w:sz w:val="18"/>
            </w:rPr>
          </w:pPr>
          <w:r>
            <w:rPr>
              <w:i/>
              <w:sz w:val="18"/>
            </w:rPr>
            <w:t>No. 134, 2015</w:t>
          </w:r>
        </w:p>
      </w:tc>
      <w:tc>
        <w:tcPr>
          <w:tcW w:w="5387" w:type="dxa"/>
        </w:tcPr>
        <w:p w:rsidR="00601309" w:rsidRDefault="00261191" w:rsidP="00601309">
          <w:pPr>
            <w:jc w:val="center"/>
            <w:rPr>
              <w:sz w:val="18"/>
            </w:rPr>
          </w:pPr>
          <w:r>
            <w:rPr>
              <w:i/>
              <w:sz w:val="18"/>
            </w:rPr>
            <w:t>Asian Infrastructure Investment Bank Act 2015</w:t>
          </w:r>
        </w:p>
      </w:tc>
      <w:tc>
        <w:tcPr>
          <w:tcW w:w="669" w:type="dxa"/>
        </w:tcPr>
        <w:p w:rsidR="00601309" w:rsidRDefault="00601309"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C58D7">
            <w:rPr>
              <w:i/>
              <w:noProof/>
              <w:sz w:val="18"/>
            </w:rPr>
            <w:t>5</w:t>
          </w:r>
          <w:r w:rsidRPr="007A1328">
            <w:rPr>
              <w:i/>
              <w:sz w:val="18"/>
            </w:rPr>
            <w:fldChar w:fldCharType="end"/>
          </w:r>
        </w:p>
      </w:tc>
    </w:tr>
  </w:tbl>
  <w:p w:rsidR="00715914" w:rsidRPr="007A1328" w:rsidRDefault="00715914" w:rsidP="00715914">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DDD" w:rsidRDefault="00212DDD" w:rsidP="00E70A4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212DDD" w:rsidTr="00E70A49">
      <w:tc>
        <w:tcPr>
          <w:tcW w:w="1247" w:type="dxa"/>
        </w:tcPr>
        <w:p w:rsidR="00212DDD" w:rsidRDefault="00261191" w:rsidP="00212DDD">
          <w:pPr>
            <w:rPr>
              <w:sz w:val="18"/>
            </w:rPr>
          </w:pPr>
          <w:r>
            <w:rPr>
              <w:i/>
              <w:sz w:val="18"/>
            </w:rPr>
            <w:t xml:space="preserve">No. </w:t>
          </w:r>
          <w:r w:rsidR="00663C00">
            <w:rPr>
              <w:i/>
              <w:sz w:val="18"/>
            </w:rPr>
            <w:t>134</w:t>
          </w:r>
          <w:r>
            <w:rPr>
              <w:i/>
              <w:sz w:val="18"/>
            </w:rPr>
            <w:t>, 2015</w:t>
          </w:r>
        </w:p>
      </w:tc>
      <w:tc>
        <w:tcPr>
          <w:tcW w:w="5387" w:type="dxa"/>
        </w:tcPr>
        <w:p w:rsidR="00212DDD" w:rsidRDefault="00261191" w:rsidP="00C122FF">
          <w:pPr>
            <w:jc w:val="center"/>
            <w:rPr>
              <w:sz w:val="18"/>
            </w:rPr>
          </w:pPr>
          <w:r>
            <w:rPr>
              <w:i/>
              <w:sz w:val="18"/>
            </w:rPr>
            <w:t>Asian Infrastructure Investment Bank Act 2015</w:t>
          </w:r>
        </w:p>
      </w:tc>
      <w:tc>
        <w:tcPr>
          <w:tcW w:w="669" w:type="dxa"/>
        </w:tcPr>
        <w:p w:rsidR="00212DDD" w:rsidRDefault="00212DDD"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C58D7">
            <w:rPr>
              <w:i/>
              <w:noProof/>
              <w:sz w:val="18"/>
            </w:rPr>
            <w:t>1</w:t>
          </w:r>
          <w:r w:rsidRPr="007A1328">
            <w:rPr>
              <w:i/>
              <w:sz w:val="18"/>
            </w:rPr>
            <w:fldChar w:fldCharType="end"/>
          </w:r>
        </w:p>
      </w:tc>
    </w:tr>
  </w:tbl>
  <w:p w:rsidR="00715914" w:rsidRPr="007A1328" w:rsidRDefault="00715914" w:rsidP="00212DDD">
    <w:pPr>
      <w:rPr>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F9C" w:rsidRDefault="00A64F9C" w:rsidP="00E70A4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64F9C" w:rsidTr="00E70A49">
      <w:tc>
        <w:tcPr>
          <w:tcW w:w="646" w:type="dxa"/>
        </w:tcPr>
        <w:p w:rsidR="00A64F9C" w:rsidRDefault="00A64F9C"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91A79">
            <w:rPr>
              <w:i/>
              <w:noProof/>
              <w:sz w:val="18"/>
            </w:rPr>
            <w:t>5</w:t>
          </w:r>
          <w:r w:rsidRPr="007A1328">
            <w:rPr>
              <w:i/>
              <w:sz w:val="18"/>
            </w:rPr>
            <w:fldChar w:fldCharType="end"/>
          </w:r>
        </w:p>
      </w:tc>
      <w:tc>
        <w:tcPr>
          <w:tcW w:w="5387" w:type="dxa"/>
        </w:tcPr>
        <w:p w:rsidR="00A64F9C" w:rsidRDefault="00261191" w:rsidP="00601309">
          <w:pPr>
            <w:jc w:val="center"/>
            <w:rPr>
              <w:sz w:val="18"/>
            </w:rPr>
          </w:pPr>
          <w:r>
            <w:rPr>
              <w:i/>
              <w:sz w:val="18"/>
            </w:rPr>
            <w:t>Asian Infrastructure Investment Bank Act 2015</w:t>
          </w:r>
        </w:p>
      </w:tc>
      <w:tc>
        <w:tcPr>
          <w:tcW w:w="1270" w:type="dxa"/>
        </w:tcPr>
        <w:p w:rsidR="00A64F9C" w:rsidRDefault="00663C00" w:rsidP="00601309">
          <w:pPr>
            <w:jc w:val="right"/>
            <w:rPr>
              <w:sz w:val="18"/>
            </w:rPr>
          </w:pPr>
          <w:r>
            <w:rPr>
              <w:i/>
              <w:sz w:val="18"/>
            </w:rPr>
            <w:t>No. 134, 2015</w:t>
          </w:r>
        </w:p>
      </w:tc>
    </w:tr>
  </w:tbl>
  <w:p w:rsidR="00A64F9C" w:rsidRPr="007A1328" w:rsidRDefault="00A64F9C" w:rsidP="00601309">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1E1" w:rsidRDefault="00A851E1" w:rsidP="00715914">
      <w:pPr>
        <w:spacing w:line="240" w:lineRule="auto"/>
      </w:pPr>
      <w:r>
        <w:separator/>
      </w:r>
    </w:p>
  </w:footnote>
  <w:footnote w:type="continuationSeparator" w:id="0">
    <w:p w:rsidR="00A851E1" w:rsidRDefault="00A851E1"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5F1388" w:rsidRDefault="00715914" w:rsidP="00EB1780">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F9C" w:rsidRDefault="00A64F9C" w:rsidP="00715914">
    <w:pPr>
      <w:rPr>
        <w:sz w:val="20"/>
      </w:rPr>
    </w:pPr>
  </w:p>
  <w:p w:rsidR="00A64F9C" w:rsidRDefault="00A64F9C" w:rsidP="00715914">
    <w:pPr>
      <w:rPr>
        <w:sz w:val="20"/>
      </w:rPr>
    </w:pPr>
  </w:p>
  <w:p w:rsidR="00A64F9C" w:rsidRPr="007A1328" w:rsidRDefault="00A64F9C" w:rsidP="00715914">
    <w:pPr>
      <w:rPr>
        <w:sz w:val="20"/>
      </w:rPr>
    </w:pPr>
  </w:p>
  <w:p w:rsidR="00A64F9C" w:rsidRPr="007A1328" w:rsidRDefault="00A64F9C" w:rsidP="00715914">
    <w:pPr>
      <w:rPr>
        <w:b/>
        <w:sz w:val="24"/>
      </w:rPr>
    </w:pPr>
  </w:p>
  <w:p w:rsidR="00A64F9C" w:rsidRPr="007A1328" w:rsidRDefault="00A64F9C" w:rsidP="00EB1780">
    <w:pPr>
      <w:pBdr>
        <w:bottom w:val="single" w:sz="6" w:space="1" w:color="auto"/>
      </w:pBdr>
      <w:spacing w:after="120"/>
      <w:rPr>
        <w:sz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F9C" w:rsidRPr="007A1328" w:rsidRDefault="00A64F9C" w:rsidP="00715914">
    <w:pPr>
      <w:jc w:val="right"/>
      <w:rPr>
        <w:sz w:val="20"/>
      </w:rPr>
    </w:pPr>
  </w:p>
  <w:p w:rsidR="00A64F9C" w:rsidRPr="007A1328" w:rsidRDefault="00A64F9C" w:rsidP="00715914">
    <w:pPr>
      <w:jc w:val="right"/>
      <w:rPr>
        <w:sz w:val="20"/>
      </w:rPr>
    </w:pPr>
  </w:p>
  <w:p w:rsidR="00A64F9C" w:rsidRPr="007A1328" w:rsidRDefault="00A64F9C" w:rsidP="00715914">
    <w:pPr>
      <w:jc w:val="right"/>
      <w:rPr>
        <w:sz w:val="20"/>
      </w:rPr>
    </w:pPr>
  </w:p>
  <w:p w:rsidR="00A64F9C" w:rsidRPr="007A1328" w:rsidRDefault="00A64F9C" w:rsidP="00715914">
    <w:pPr>
      <w:jc w:val="right"/>
      <w:rPr>
        <w:b/>
        <w:sz w:val="24"/>
      </w:rPr>
    </w:pPr>
  </w:p>
  <w:p w:rsidR="00A64F9C" w:rsidRPr="007A1328" w:rsidRDefault="00A64F9C" w:rsidP="00EB1780">
    <w:pPr>
      <w:pBdr>
        <w:bottom w:val="single" w:sz="6" w:space="1" w:color="auto"/>
      </w:pBdr>
      <w:spacing w:after="120"/>
      <w:jc w:val="right"/>
      <w:rPr>
        <w:sz w:val="2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F9C" w:rsidRPr="007A1328" w:rsidRDefault="00A64F9C"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5F1388" w:rsidRDefault="00715914" w:rsidP="00EB1780">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5F1388" w:rsidRDefault="00715914"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ED79B6" w:rsidRDefault="00715914" w:rsidP="00EB1780">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ED79B6" w:rsidRDefault="00715914" w:rsidP="00EB1780">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ED79B6" w:rsidRDefault="00715914"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Default="00F83989" w:rsidP="00715914">
    <w:pPr>
      <w:rPr>
        <w:sz w:val="20"/>
      </w:rPr>
    </w:pPr>
    <w:r w:rsidRPr="007A1328">
      <w:rPr>
        <w:b/>
        <w:sz w:val="20"/>
      </w:rPr>
      <w:fldChar w:fldCharType="begin"/>
    </w:r>
    <w:r w:rsidR="00715914" w:rsidRPr="007A1328">
      <w:rPr>
        <w:b/>
        <w:sz w:val="20"/>
      </w:rPr>
      <w:instrText xml:space="preserve"> STYLEREF CharChapNo </w:instrText>
    </w:r>
    <w:r w:rsidRPr="007A1328">
      <w:rPr>
        <w:b/>
        <w:sz w:val="20"/>
      </w:rPr>
      <w:fldChar w:fldCharType="end"/>
    </w:r>
    <w:r w:rsidR="00715914" w:rsidRPr="007A1328">
      <w:rPr>
        <w:b/>
        <w:sz w:val="20"/>
      </w:rPr>
      <w:t xml:space="preserve"> </w:t>
    </w:r>
    <w:r w:rsidR="00715914">
      <w:rPr>
        <w:sz w:val="20"/>
      </w:rPr>
      <w:t xml:space="preserve"> </w:t>
    </w:r>
    <w:r>
      <w:rPr>
        <w:sz w:val="20"/>
      </w:rPr>
      <w:fldChar w:fldCharType="begin"/>
    </w:r>
    <w:r w:rsidR="00715914">
      <w:rPr>
        <w:sz w:val="20"/>
      </w:rPr>
      <w:instrText xml:space="preserve"> STYLEREF CharChapText </w:instrText>
    </w:r>
    <w:r>
      <w:rPr>
        <w:sz w:val="20"/>
      </w:rPr>
      <w:fldChar w:fldCharType="end"/>
    </w:r>
  </w:p>
  <w:p w:rsidR="00715914" w:rsidRDefault="00F83989" w:rsidP="00715914">
    <w:pPr>
      <w:rPr>
        <w:sz w:val="20"/>
      </w:rPr>
    </w:pPr>
    <w:r w:rsidRPr="007A1328">
      <w:rPr>
        <w:b/>
        <w:sz w:val="20"/>
      </w:rPr>
      <w:fldChar w:fldCharType="begin"/>
    </w:r>
    <w:r w:rsidR="00715914" w:rsidRPr="007A1328">
      <w:rPr>
        <w:b/>
        <w:sz w:val="20"/>
      </w:rPr>
      <w:instrText xml:space="preserve"> STYLEREF CharPartNo </w:instrText>
    </w:r>
    <w:r w:rsidRPr="007A1328">
      <w:rPr>
        <w:b/>
        <w:sz w:val="20"/>
      </w:rPr>
      <w:fldChar w:fldCharType="end"/>
    </w:r>
    <w:r w:rsidR="00715914" w:rsidRPr="007A1328">
      <w:rPr>
        <w:b/>
        <w:sz w:val="20"/>
      </w:rPr>
      <w:t xml:space="preserve"> </w:t>
    </w:r>
    <w:r w:rsidR="00715914" w:rsidRPr="007A1328">
      <w:rPr>
        <w:sz w:val="20"/>
      </w:rPr>
      <w:t xml:space="preserve"> </w:t>
    </w:r>
    <w:r>
      <w:rPr>
        <w:sz w:val="20"/>
      </w:rPr>
      <w:fldChar w:fldCharType="begin"/>
    </w:r>
    <w:r w:rsidR="00715914">
      <w:rPr>
        <w:sz w:val="20"/>
      </w:rPr>
      <w:instrText xml:space="preserve"> STYLEREF CharPartText </w:instrText>
    </w:r>
    <w:r>
      <w:rPr>
        <w:sz w:val="20"/>
      </w:rPr>
      <w:fldChar w:fldCharType="end"/>
    </w:r>
  </w:p>
  <w:p w:rsidR="00715914" w:rsidRPr="007A1328" w:rsidRDefault="00F83989" w:rsidP="00715914">
    <w:pPr>
      <w:rPr>
        <w:sz w:val="20"/>
      </w:rPr>
    </w:pPr>
    <w:r>
      <w:rPr>
        <w:b/>
        <w:sz w:val="20"/>
      </w:rPr>
      <w:fldChar w:fldCharType="begin"/>
    </w:r>
    <w:r w:rsidR="00715914">
      <w:rPr>
        <w:b/>
        <w:sz w:val="20"/>
      </w:rPr>
      <w:instrText xml:space="preserve"> STYLEREF CharDivNo </w:instrText>
    </w:r>
    <w:r>
      <w:rPr>
        <w:b/>
        <w:sz w:val="20"/>
      </w:rPr>
      <w:fldChar w:fldCharType="end"/>
    </w:r>
    <w:r w:rsidR="00715914">
      <w:rPr>
        <w:b/>
        <w:sz w:val="20"/>
      </w:rPr>
      <w:t xml:space="preserve"> </w:t>
    </w:r>
    <w:r w:rsidR="00715914">
      <w:rPr>
        <w:sz w:val="20"/>
      </w:rPr>
      <w:t xml:space="preserve"> </w:t>
    </w:r>
    <w:r>
      <w:rPr>
        <w:sz w:val="20"/>
      </w:rPr>
      <w:fldChar w:fldCharType="begin"/>
    </w:r>
    <w:r w:rsidR="00715914">
      <w:rPr>
        <w:sz w:val="20"/>
      </w:rPr>
      <w:instrText xml:space="preserve"> STYLEREF CharDivText </w:instrText>
    </w:r>
    <w:r>
      <w:rPr>
        <w:sz w:val="20"/>
      </w:rPr>
      <w:fldChar w:fldCharType="end"/>
    </w:r>
  </w:p>
  <w:p w:rsidR="00715914" w:rsidRPr="007A1328" w:rsidRDefault="00715914" w:rsidP="00715914">
    <w:pPr>
      <w:rPr>
        <w:b/>
        <w:sz w:val="24"/>
      </w:rPr>
    </w:pPr>
  </w:p>
  <w:p w:rsidR="00715914" w:rsidRPr="007A1328" w:rsidRDefault="00715914" w:rsidP="00EB1780">
    <w:pPr>
      <w:pBdr>
        <w:bottom w:val="single" w:sz="6" w:space="1" w:color="auto"/>
      </w:pBdr>
      <w:spacing w:after="120"/>
      <w:rPr>
        <w:sz w:val="24"/>
      </w:rPr>
    </w:pPr>
    <w:r w:rsidRPr="007A1328">
      <w:rPr>
        <w:sz w:val="24"/>
      </w:rPr>
      <w:t xml:space="preserve">Section </w:t>
    </w:r>
    <w:r w:rsidR="00F83989" w:rsidRPr="007A1328">
      <w:rPr>
        <w:sz w:val="24"/>
      </w:rPr>
      <w:fldChar w:fldCharType="begin"/>
    </w:r>
    <w:r w:rsidRPr="007A1328">
      <w:rPr>
        <w:sz w:val="24"/>
      </w:rPr>
      <w:instrText xml:space="preserve"> STYLEREF CharSectno </w:instrText>
    </w:r>
    <w:r w:rsidR="00F83989" w:rsidRPr="007A1328">
      <w:rPr>
        <w:sz w:val="24"/>
      </w:rPr>
      <w:fldChar w:fldCharType="separate"/>
    </w:r>
    <w:r w:rsidR="003C58D7">
      <w:rPr>
        <w:noProof/>
        <w:sz w:val="24"/>
      </w:rPr>
      <w:t>6</w:t>
    </w:r>
    <w:r w:rsidR="00F83989"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CharChapText </w:instrText>
    </w:r>
    <w:r w:rsidRPr="007A1328">
      <w:rPr>
        <w:sz w:val="20"/>
      </w:rPr>
      <w:fldChar w:fldCharType="end"/>
    </w:r>
    <w:r w:rsidR="00715914" w:rsidRPr="007A1328">
      <w:rPr>
        <w:sz w:val="20"/>
      </w:rPr>
      <w:t xml:space="preserve"> </w:t>
    </w:r>
    <w:r w:rsidR="00715914" w:rsidRPr="007A1328">
      <w:rPr>
        <w:b/>
        <w:sz w:val="20"/>
      </w:rPr>
      <w:t xml:space="preserve"> </w:t>
    </w:r>
    <w:r>
      <w:rPr>
        <w:b/>
        <w:sz w:val="20"/>
      </w:rPr>
      <w:fldChar w:fldCharType="begin"/>
    </w:r>
    <w:r w:rsidR="00715914">
      <w:rPr>
        <w:b/>
        <w:sz w:val="20"/>
      </w:rPr>
      <w:instrText xml:space="preserve"> STYLEREF CharChapNo </w:instrText>
    </w:r>
    <w:r>
      <w:rPr>
        <w:b/>
        <w:sz w:val="20"/>
      </w:rPr>
      <w:fldChar w:fldCharType="end"/>
    </w:r>
  </w:p>
  <w:p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CharPartText </w:instrText>
    </w:r>
    <w:r w:rsidRPr="007A1328">
      <w:rPr>
        <w:sz w:val="20"/>
      </w:rPr>
      <w:fldChar w:fldCharType="end"/>
    </w:r>
    <w:r w:rsidR="00715914" w:rsidRPr="007A1328">
      <w:rPr>
        <w:sz w:val="20"/>
      </w:rPr>
      <w:t xml:space="preserve"> </w:t>
    </w:r>
    <w:r w:rsidR="00715914">
      <w:rPr>
        <w:sz w:val="20"/>
      </w:rPr>
      <w:t xml:space="preserve"> </w:t>
    </w:r>
    <w:r>
      <w:rPr>
        <w:b/>
        <w:sz w:val="20"/>
      </w:rPr>
      <w:fldChar w:fldCharType="begin"/>
    </w:r>
    <w:r w:rsidR="00715914">
      <w:rPr>
        <w:b/>
        <w:sz w:val="20"/>
      </w:rPr>
      <w:instrText xml:space="preserve"> STYLEREF CharPartNo </w:instrText>
    </w:r>
    <w:r>
      <w:rPr>
        <w:b/>
        <w:sz w:val="20"/>
      </w:rPr>
      <w:fldChar w:fldCharType="end"/>
    </w:r>
  </w:p>
  <w:p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CharDivText </w:instrText>
    </w:r>
    <w:r w:rsidRPr="007A1328">
      <w:rPr>
        <w:sz w:val="20"/>
      </w:rPr>
      <w:fldChar w:fldCharType="end"/>
    </w:r>
    <w:r w:rsidR="00715914" w:rsidRPr="007A1328">
      <w:rPr>
        <w:sz w:val="20"/>
      </w:rPr>
      <w:t xml:space="preserve"> </w:t>
    </w:r>
    <w:r w:rsidR="00715914">
      <w:rPr>
        <w:b/>
        <w:sz w:val="20"/>
      </w:rPr>
      <w:t xml:space="preserve"> </w:t>
    </w:r>
    <w:r>
      <w:rPr>
        <w:b/>
        <w:sz w:val="20"/>
      </w:rPr>
      <w:fldChar w:fldCharType="begin"/>
    </w:r>
    <w:r w:rsidR="00715914">
      <w:rPr>
        <w:b/>
        <w:sz w:val="20"/>
      </w:rPr>
      <w:instrText xml:space="preserve"> STYLEREF CharDivNo </w:instrText>
    </w:r>
    <w:r>
      <w:rPr>
        <w:b/>
        <w:sz w:val="20"/>
      </w:rPr>
      <w:fldChar w:fldCharType="end"/>
    </w:r>
  </w:p>
  <w:p w:rsidR="00715914" w:rsidRPr="007A1328" w:rsidRDefault="00715914" w:rsidP="00715914">
    <w:pPr>
      <w:jc w:val="right"/>
      <w:rPr>
        <w:b/>
        <w:sz w:val="24"/>
      </w:rPr>
    </w:pPr>
  </w:p>
  <w:p w:rsidR="00715914" w:rsidRPr="007A1328" w:rsidRDefault="00715914" w:rsidP="00EB1780">
    <w:pPr>
      <w:pBdr>
        <w:bottom w:val="single" w:sz="6" w:space="1" w:color="auto"/>
      </w:pBdr>
      <w:spacing w:after="120"/>
      <w:jc w:val="right"/>
      <w:rPr>
        <w:sz w:val="24"/>
      </w:rPr>
    </w:pPr>
    <w:r w:rsidRPr="007A1328">
      <w:rPr>
        <w:sz w:val="24"/>
      </w:rPr>
      <w:t xml:space="preserve">Section </w:t>
    </w:r>
    <w:r w:rsidR="00F83989" w:rsidRPr="007A1328">
      <w:rPr>
        <w:sz w:val="24"/>
      </w:rPr>
      <w:fldChar w:fldCharType="begin"/>
    </w:r>
    <w:r w:rsidRPr="007A1328">
      <w:rPr>
        <w:sz w:val="24"/>
      </w:rPr>
      <w:instrText xml:space="preserve"> STYLEREF CharSectno </w:instrText>
    </w:r>
    <w:r w:rsidR="00F83989" w:rsidRPr="007A1328">
      <w:rPr>
        <w:sz w:val="24"/>
      </w:rPr>
      <w:fldChar w:fldCharType="separate"/>
    </w:r>
    <w:r w:rsidR="003C58D7">
      <w:rPr>
        <w:noProof/>
        <w:sz w:val="24"/>
      </w:rPr>
      <w:t>9</w:t>
    </w:r>
    <w:r w:rsidR="00F83989"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7A1328" w:rsidRDefault="00715914"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8F0DD48"/>
    <w:lvl w:ilvl="0">
      <w:start w:val="1"/>
      <w:numFmt w:val="decimal"/>
      <w:lvlText w:val="%1."/>
      <w:lvlJc w:val="left"/>
      <w:pPr>
        <w:tabs>
          <w:tab w:val="num" w:pos="1492"/>
        </w:tabs>
        <w:ind w:left="1492" w:hanging="360"/>
      </w:pPr>
    </w:lvl>
  </w:abstractNum>
  <w:abstractNum w:abstractNumId="1">
    <w:nsid w:val="FFFFFF7D"/>
    <w:multiLevelType w:val="singleLevel"/>
    <w:tmpl w:val="EEF84656"/>
    <w:lvl w:ilvl="0">
      <w:start w:val="1"/>
      <w:numFmt w:val="decimal"/>
      <w:lvlText w:val="%1."/>
      <w:lvlJc w:val="left"/>
      <w:pPr>
        <w:tabs>
          <w:tab w:val="num" w:pos="1209"/>
        </w:tabs>
        <w:ind w:left="1209" w:hanging="360"/>
      </w:pPr>
    </w:lvl>
  </w:abstractNum>
  <w:abstractNum w:abstractNumId="2">
    <w:nsid w:val="FFFFFF7E"/>
    <w:multiLevelType w:val="singleLevel"/>
    <w:tmpl w:val="7B9C93A6"/>
    <w:lvl w:ilvl="0">
      <w:start w:val="1"/>
      <w:numFmt w:val="decimal"/>
      <w:lvlText w:val="%1."/>
      <w:lvlJc w:val="left"/>
      <w:pPr>
        <w:tabs>
          <w:tab w:val="num" w:pos="926"/>
        </w:tabs>
        <w:ind w:left="926" w:hanging="360"/>
      </w:pPr>
    </w:lvl>
  </w:abstractNum>
  <w:abstractNum w:abstractNumId="3">
    <w:nsid w:val="FFFFFF7F"/>
    <w:multiLevelType w:val="singleLevel"/>
    <w:tmpl w:val="4F46C9F6"/>
    <w:lvl w:ilvl="0">
      <w:start w:val="1"/>
      <w:numFmt w:val="decimal"/>
      <w:lvlText w:val="%1."/>
      <w:lvlJc w:val="left"/>
      <w:pPr>
        <w:tabs>
          <w:tab w:val="num" w:pos="643"/>
        </w:tabs>
        <w:ind w:left="643" w:hanging="360"/>
      </w:pPr>
    </w:lvl>
  </w:abstractNum>
  <w:abstractNum w:abstractNumId="4">
    <w:nsid w:val="FFFFFF80"/>
    <w:multiLevelType w:val="singleLevel"/>
    <w:tmpl w:val="CD04A7C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17041D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D2088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F1A38B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1063E9C"/>
    <w:lvl w:ilvl="0">
      <w:start w:val="1"/>
      <w:numFmt w:val="decimal"/>
      <w:lvlText w:val="%1."/>
      <w:lvlJc w:val="left"/>
      <w:pPr>
        <w:tabs>
          <w:tab w:val="num" w:pos="360"/>
        </w:tabs>
        <w:ind w:left="360" w:hanging="360"/>
      </w:pPr>
    </w:lvl>
  </w:abstractNum>
  <w:abstractNum w:abstractNumId="9">
    <w:nsid w:val="FFFFFF89"/>
    <w:multiLevelType w:val="singleLevel"/>
    <w:tmpl w:val="6106B0FA"/>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57E12BFE"/>
    <w:multiLevelType w:val="hybridMultilevel"/>
    <w:tmpl w:val="D72C51F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1E1"/>
    <w:rsid w:val="000136AF"/>
    <w:rsid w:val="0003377B"/>
    <w:rsid w:val="00035841"/>
    <w:rsid w:val="00052671"/>
    <w:rsid w:val="000614BF"/>
    <w:rsid w:val="00087D46"/>
    <w:rsid w:val="000A375D"/>
    <w:rsid w:val="000A556A"/>
    <w:rsid w:val="000D05EF"/>
    <w:rsid w:val="000D0EB7"/>
    <w:rsid w:val="000E2261"/>
    <w:rsid w:val="000E3F92"/>
    <w:rsid w:val="000F21C1"/>
    <w:rsid w:val="001047D8"/>
    <w:rsid w:val="00105F8D"/>
    <w:rsid w:val="0010745C"/>
    <w:rsid w:val="00122FE1"/>
    <w:rsid w:val="0013072E"/>
    <w:rsid w:val="001327CB"/>
    <w:rsid w:val="00133F50"/>
    <w:rsid w:val="00166C2F"/>
    <w:rsid w:val="001671E9"/>
    <w:rsid w:val="0016725D"/>
    <w:rsid w:val="001824CA"/>
    <w:rsid w:val="0019085D"/>
    <w:rsid w:val="001939E1"/>
    <w:rsid w:val="00195382"/>
    <w:rsid w:val="001A200A"/>
    <w:rsid w:val="001A45D5"/>
    <w:rsid w:val="001B782B"/>
    <w:rsid w:val="001C69C4"/>
    <w:rsid w:val="001D11E9"/>
    <w:rsid w:val="001D37EF"/>
    <w:rsid w:val="001E3590"/>
    <w:rsid w:val="001E7407"/>
    <w:rsid w:val="001E7F6E"/>
    <w:rsid w:val="001F5D5E"/>
    <w:rsid w:val="001F6219"/>
    <w:rsid w:val="00205A0E"/>
    <w:rsid w:val="002065DA"/>
    <w:rsid w:val="00212DDD"/>
    <w:rsid w:val="0024010F"/>
    <w:rsid w:val="00240749"/>
    <w:rsid w:val="00254118"/>
    <w:rsid w:val="002564A4"/>
    <w:rsid w:val="00261191"/>
    <w:rsid w:val="002621C2"/>
    <w:rsid w:val="00277EAE"/>
    <w:rsid w:val="002817FE"/>
    <w:rsid w:val="00285D31"/>
    <w:rsid w:val="00297ECB"/>
    <w:rsid w:val="002D043A"/>
    <w:rsid w:val="002D1446"/>
    <w:rsid w:val="002D6224"/>
    <w:rsid w:val="00306149"/>
    <w:rsid w:val="003213F0"/>
    <w:rsid w:val="00324BDF"/>
    <w:rsid w:val="0032591D"/>
    <w:rsid w:val="003304A9"/>
    <w:rsid w:val="00340F07"/>
    <w:rsid w:val="003415D3"/>
    <w:rsid w:val="0034382B"/>
    <w:rsid w:val="00352B0F"/>
    <w:rsid w:val="00355469"/>
    <w:rsid w:val="00356B3D"/>
    <w:rsid w:val="00360459"/>
    <w:rsid w:val="00364EFF"/>
    <w:rsid w:val="00370CE0"/>
    <w:rsid w:val="00374B0A"/>
    <w:rsid w:val="00384F71"/>
    <w:rsid w:val="003C45C2"/>
    <w:rsid w:val="003C58D7"/>
    <w:rsid w:val="003D0BFE"/>
    <w:rsid w:val="003D49C6"/>
    <w:rsid w:val="003D5700"/>
    <w:rsid w:val="003F079E"/>
    <w:rsid w:val="003F7B4A"/>
    <w:rsid w:val="00410A84"/>
    <w:rsid w:val="004116CD"/>
    <w:rsid w:val="00417EB9"/>
    <w:rsid w:val="00424CA9"/>
    <w:rsid w:val="00431A1F"/>
    <w:rsid w:val="00440FC8"/>
    <w:rsid w:val="0044291A"/>
    <w:rsid w:val="004511D0"/>
    <w:rsid w:val="00463EC0"/>
    <w:rsid w:val="00476F7E"/>
    <w:rsid w:val="00477FB9"/>
    <w:rsid w:val="00481861"/>
    <w:rsid w:val="0048585C"/>
    <w:rsid w:val="00496F97"/>
    <w:rsid w:val="004A3C0B"/>
    <w:rsid w:val="004A3E0C"/>
    <w:rsid w:val="004B2FA1"/>
    <w:rsid w:val="004B38C1"/>
    <w:rsid w:val="004E466C"/>
    <w:rsid w:val="004E7BEC"/>
    <w:rsid w:val="00502192"/>
    <w:rsid w:val="00516B8D"/>
    <w:rsid w:val="00537CD9"/>
    <w:rsid w:val="00537FBC"/>
    <w:rsid w:val="00544776"/>
    <w:rsid w:val="00555B2B"/>
    <w:rsid w:val="00567735"/>
    <w:rsid w:val="00570BFE"/>
    <w:rsid w:val="00580B11"/>
    <w:rsid w:val="005813B6"/>
    <w:rsid w:val="00584811"/>
    <w:rsid w:val="00593AA6"/>
    <w:rsid w:val="00594161"/>
    <w:rsid w:val="00594749"/>
    <w:rsid w:val="005A0E72"/>
    <w:rsid w:val="005A16BB"/>
    <w:rsid w:val="005A6928"/>
    <w:rsid w:val="005B19EB"/>
    <w:rsid w:val="005B4067"/>
    <w:rsid w:val="005C3F41"/>
    <w:rsid w:val="005C5F85"/>
    <w:rsid w:val="005D4663"/>
    <w:rsid w:val="005D7042"/>
    <w:rsid w:val="005D74DB"/>
    <w:rsid w:val="005F0A35"/>
    <w:rsid w:val="005F1031"/>
    <w:rsid w:val="00600219"/>
    <w:rsid w:val="00601309"/>
    <w:rsid w:val="00602388"/>
    <w:rsid w:val="00663C00"/>
    <w:rsid w:val="00677CC2"/>
    <w:rsid w:val="006905DE"/>
    <w:rsid w:val="0069207B"/>
    <w:rsid w:val="0069210F"/>
    <w:rsid w:val="006B61E4"/>
    <w:rsid w:val="006B6E88"/>
    <w:rsid w:val="006C2748"/>
    <w:rsid w:val="006C7F8C"/>
    <w:rsid w:val="006D78A3"/>
    <w:rsid w:val="006F318F"/>
    <w:rsid w:val="006F6D10"/>
    <w:rsid w:val="00700B2C"/>
    <w:rsid w:val="00713084"/>
    <w:rsid w:val="00715914"/>
    <w:rsid w:val="00731E00"/>
    <w:rsid w:val="007440B7"/>
    <w:rsid w:val="0076421C"/>
    <w:rsid w:val="007715C9"/>
    <w:rsid w:val="00774EDD"/>
    <w:rsid w:val="007757EC"/>
    <w:rsid w:val="007924FC"/>
    <w:rsid w:val="007940D2"/>
    <w:rsid w:val="007B75F4"/>
    <w:rsid w:val="007E59A5"/>
    <w:rsid w:val="007F6B96"/>
    <w:rsid w:val="00804FD4"/>
    <w:rsid w:val="008148BE"/>
    <w:rsid w:val="008422C3"/>
    <w:rsid w:val="0084395C"/>
    <w:rsid w:val="0085473A"/>
    <w:rsid w:val="00856A31"/>
    <w:rsid w:val="008754D0"/>
    <w:rsid w:val="00881B8F"/>
    <w:rsid w:val="0089107B"/>
    <w:rsid w:val="008A3E49"/>
    <w:rsid w:val="008B272E"/>
    <w:rsid w:val="008D0EE0"/>
    <w:rsid w:val="008D165D"/>
    <w:rsid w:val="008D2DF7"/>
    <w:rsid w:val="008F54E7"/>
    <w:rsid w:val="00903422"/>
    <w:rsid w:val="00904A28"/>
    <w:rsid w:val="009063FE"/>
    <w:rsid w:val="00913EEB"/>
    <w:rsid w:val="009213B7"/>
    <w:rsid w:val="009234BA"/>
    <w:rsid w:val="009265BF"/>
    <w:rsid w:val="00932377"/>
    <w:rsid w:val="00940885"/>
    <w:rsid w:val="00947D5A"/>
    <w:rsid w:val="009520B4"/>
    <w:rsid w:val="009532A5"/>
    <w:rsid w:val="00954BEC"/>
    <w:rsid w:val="009851AC"/>
    <w:rsid w:val="009868E9"/>
    <w:rsid w:val="00990ED3"/>
    <w:rsid w:val="009A172A"/>
    <w:rsid w:val="009A30DA"/>
    <w:rsid w:val="009A631A"/>
    <w:rsid w:val="009A7626"/>
    <w:rsid w:val="009C6470"/>
    <w:rsid w:val="009D006B"/>
    <w:rsid w:val="009F374D"/>
    <w:rsid w:val="009F6C86"/>
    <w:rsid w:val="00A03DF4"/>
    <w:rsid w:val="00A15C98"/>
    <w:rsid w:val="00A22C98"/>
    <w:rsid w:val="00A231E2"/>
    <w:rsid w:val="00A2474D"/>
    <w:rsid w:val="00A64912"/>
    <w:rsid w:val="00A64924"/>
    <w:rsid w:val="00A64F9C"/>
    <w:rsid w:val="00A70A74"/>
    <w:rsid w:val="00A81C46"/>
    <w:rsid w:val="00A851E1"/>
    <w:rsid w:val="00A930F1"/>
    <w:rsid w:val="00AC45CB"/>
    <w:rsid w:val="00AC4BB2"/>
    <w:rsid w:val="00AC719E"/>
    <w:rsid w:val="00AD21E3"/>
    <w:rsid w:val="00AD5641"/>
    <w:rsid w:val="00AE5CA2"/>
    <w:rsid w:val="00AF06CF"/>
    <w:rsid w:val="00B33B3C"/>
    <w:rsid w:val="00B51DD2"/>
    <w:rsid w:val="00B63834"/>
    <w:rsid w:val="00B646E3"/>
    <w:rsid w:val="00B80199"/>
    <w:rsid w:val="00B86188"/>
    <w:rsid w:val="00B93F3D"/>
    <w:rsid w:val="00B942E8"/>
    <w:rsid w:val="00B9706F"/>
    <w:rsid w:val="00BA220B"/>
    <w:rsid w:val="00BA67E0"/>
    <w:rsid w:val="00BD652A"/>
    <w:rsid w:val="00BE719A"/>
    <w:rsid w:val="00BE720A"/>
    <w:rsid w:val="00BF6536"/>
    <w:rsid w:val="00BF6BCB"/>
    <w:rsid w:val="00C122FF"/>
    <w:rsid w:val="00C161A3"/>
    <w:rsid w:val="00C22D57"/>
    <w:rsid w:val="00C25299"/>
    <w:rsid w:val="00C42BF8"/>
    <w:rsid w:val="00C50043"/>
    <w:rsid w:val="00C74FD3"/>
    <w:rsid w:val="00C7573B"/>
    <w:rsid w:val="00C836DC"/>
    <w:rsid w:val="00C84915"/>
    <w:rsid w:val="00C962CE"/>
    <w:rsid w:val="00CF0BB2"/>
    <w:rsid w:val="00CF3EE8"/>
    <w:rsid w:val="00D00538"/>
    <w:rsid w:val="00D13141"/>
    <w:rsid w:val="00D13441"/>
    <w:rsid w:val="00D256F3"/>
    <w:rsid w:val="00D473B5"/>
    <w:rsid w:val="00D67F12"/>
    <w:rsid w:val="00D70DFB"/>
    <w:rsid w:val="00D74249"/>
    <w:rsid w:val="00D766DF"/>
    <w:rsid w:val="00D8280A"/>
    <w:rsid w:val="00D85BDE"/>
    <w:rsid w:val="00D91A79"/>
    <w:rsid w:val="00DA6185"/>
    <w:rsid w:val="00DC4F88"/>
    <w:rsid w:val="00DD1C1A"/>
    <w:rsid w:val="00DD51EA"/>
    <w:rsid w:val="00DE4AE6"/>
    <w:rsid w:val="00DE7A82"/>
    <w:rsid w:val="00DF2145"/>
    <w:rsid w:val="00E05704"/>
    <w:rsid w:val="00E10E79"/>
    <w:rsid w:val="00E118B9"/>
    <w:rsid w:val="00E159D1"/>
    <w:rsid w:val="00E17108"/>
    <w:rsid w:val="00E30FCA"/>
    <w:rsid w:val="00E338EF"/>
    <w:rsid w:val="00E70A49"/>
    <w:rsid w:val="00E74DC7"/>
    <w:rsid w:val="00E75AEA"/>
    <w:rsid w:val="00E94D5E"/>
    <w:rsid w:val="00EA7100"/>
    <w:rsid w:val="00EB1780"/>
    <w:rsid w:val="00EB7AC1"/>
    <w:rsid w:val="00EC1C26"/>
    <w:rsid w:val="00EC3721"/>
    <w:rsid w:val="00EC4ECE"/>
    <w:rsid w:val="00EC6D2A"/>
    <w:rsid w:val="00EF2E3A"/>
    <w:rsid w:val="00F00F5C"/>
    <w:rsid w:val="00F072A7"/>
    <w:rsid w:val="00F078DC"/>
    <w:rsid w:val="00F12083"/>
    <w:rsid w:val="00F3299C"/>
    <w:rsid w:val="00F42E83"/>
    <w:rsid w:val="00F52330"/>
    <w:rsid w:val="00F71650"/>
    <w:rsid w:val="00F73BD6"/>
    <w:rsid w:val="00F83989"/>
    <w:rsid w:val="00F91403"/>
    <w:rsid w:val="00F95A47"/>
    <w:rsid w:val="00F965A8"/>
    <w:rsid w:val="00FB40BA"/>
    <w:rsid w:val="00FC6E0E"/>
    <w:rsid w:val="00FE6714"/>
    <w:rsid w:val="00FF22C7"/>
    <w:rsid w:val="00FF4EAF"/>
    <w:rsid w:val="00FF721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70A49"/>
    <w:pPr>
      <w:spacing w:line="260" w:lineRule="atLeast"/>
    </w:pPr>
    <w:rPr>
      <w:sz w:val="22"/>
    </w:rPr>
  </w:style>
  <w:style w:type="paragraph" w:styleId="Heading1">
    <w:name w:val="heading 1"/>
    <w:basedOn w:val="Normal"/>
    <w:next w:val="Normal"/>
    <w:link w:val="Heading1Char"/>
    <w:uiPriority w:val="9"/>
    <w:qFormat/>
    <w:rsid w:val="00133F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33F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33F5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33F5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33F5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33F5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33F5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33F5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33F5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70A49"/>
  </w:style>
  <w:style w:type="paragraph" w:customStyle="1" w:styleId="OPCParaBase">
    <w:name w:val="OPCParaBase"/>
    <w:link w:val="OPCParaBaseChar"/>
    <w:qFormat/>
    <w:rsid w:val="00E70A49"/>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E70A49"/>
    <w:pPr>
      <w:spacing w:line="240" w:lineRule="auto"/>
    </w:pPr>
    <w:rPr>
      <w:b/>
      <w:sz w:val="40"/>
    </w:rPr>
  </w:style>
  <w:style w:type="paragraph" w:customStyle="1" w:styleId="ActHead1">
    <w:name w:val="ActHead 1"/>
    <w:aliases w:val="c"/>
    <w:basedOn w:val="OPCParaBase"/>
    <w:next w:val="Normal"/>
    <w:qFormat/>
    <w:rsid w:val="00E70A4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70A4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70A4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70A4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70A4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70A4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70A4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70A4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70A49"/>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E70A49"/>
  </w:style>
  <w:style w:type="paragraph" w:customStyle="1" w:styleId="Blocks">
    <w:name w:val="Blocks"/>
    <w:aliases w:val="bb"/>
    <w:basedOn w:val="OPCParaBase"/>
    <w:qFormat/>
    <w:rsid w:val="00E70A49"/>
    <w:pPr>
      <w:spacing w:line="240" w:lineRule="auto"/>
    </w:pPr>
    <w:rPr>
      <w:sz w:val="24"/>
    </w:rPr>
  </w:style>
  <w:style w:type="paragraph" w:customStyle="1" w:styleId="BoxText">
    <w:name w:val="BoxText"/>
    <w:aliases w:val="bt"/>
    <w:basedOn w:val="OPCParaBase"/>
    <w:qFormat/>
    <w:rsid w:val="00E70A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70A49"/>
    <w:rPr>
      <w:b/>
    </w:rPr>
  </w:style>
  <w:style w:type="paragraph" w:customStyle="1" w:styleId="BoxHeadItalic">
    <w:name w:val="BoxHeadItalic"/>
    <w:aliases w:val="bhi"/>
    <w:basedOn w:val="BoxText"/>
    <w:next w:val="BoxStep"/>
    <w:qFormat/>
    <w:rsid w:val="00E70A49"/>
    <w:rPr>
      <w:i/>
    </w:rPr>
  </w:style>
  <w:style w:type="paragraph" w:customStyle="1" w:styleId="BoxList">
    <w:name w:val="BoxList"/>
    <w:aliases w:val="bl"/>
    <w:basedOn w:val="BoxText"/>
    <w:qFormat/>
    <w:rsid w:val="00E70A49"/>
    <w:pPr>
      <w:ind w:left="1559" w:hanging="425"/>
    </w:pPr>
  </w:style>
  <w:style w:type="paragraph" w:customStyle="1" w:styleId="BoxNote">
    <w:name w:val="BoxNote"/>
    <w:aliases w:val="bn"/>
    <w:basedOn w:val="BoxText"/>
    <w:qFormat/>
    <w:rsid w:val="00E70A49"/>
    <w:pPr>
      <w:tabs>
        <w:tab w:val="left" w:pos="1985"/>
      </w:tabs>
      <w:spacing w:before="122" w:line="198" w:lineRule="exact"/>
      <w:ind w:left="2948" w:hanging="1814"/>
    </w:pPr>
    <w:rPr>
      <w:sz w:val="18"/>
    </w:rPr>
  </w:style>
  <w:style w:type="paragraph" w:customStyle="1" w:styleId="BoxPara">
    <w:name w:val="BoxPara"/>
    <w:aliases w:val="bp"/>
    <w:basedOn w:val="BoxText"/>
    <w:qFormat/>
    <w:rsid w:val="00E70A49"/>
    <w:pPr>
      <w:tabs>
        <w:tab w:val="right" w:pos="2268"/>
      </w:tabs>
      <w:ind w:left="2552" w:hanging="1418"/>
    </w:pPr>
  </w:style>
  <w:style w:type="paragraph" w:customStyle="1" w:styleId="BoxStep">
    <w:name w:val="BoxStep"/>
    <w:aliases w:val="bs"/>
    <w:basedOn w:val="BoxText"/>
    <w:qFormat/>
    <w:rsid w:val="00E70A49"/>
    <w:pPr>
      <w:ind w:left="1985" w:hanging="851"/>
    </w:pPr>
  </w:style>
  <w:style w:type="character" w:customStyle="1" w:styleId="CharAmPartNo">
    <w:name w:val="CharAmPartNo"/>
    <w:basedOn w:val="OPCCharBase"/>
    <w:uiPriority w:val="1"/>
    <w:qFormat/>
    <w:rsid w:val="00E70A49"/>
  </w:style>
  <w:style w:type="character" w:customStyle="1" w:styleId="CharAmPartText">
    <w:name w:val="CharAmPartText"/>
    <w:basedOn w:val="OPCCharBase"/>
    <w:uiPriority w:val="1"/>
    <w:qFormat/>
    <w:rsid w:val="00E70A49"/>
  </w:style>
  <w:style w:type="character" w:customStyle="1" w:styleId="CharAmSchNo">
    <w:name w:val="CharAmSchNo"/>
    <w:basedOn w:val="OPCCharBase"/>
    <w:uiPriority w:val="1"/>
    <w:qFormat/>
    <w:rsid w:val="00E70A49"/>
  </w:style>
  <w:style w:type="character" w:customStyle="1" w:styleId="CharAmSchText">
    <w:name w:val="CharAmSchText"/>
    <w:basedOn w:val="OPCCharBase"/>
    <w:uiPriority w:val="1"/>
    <w:qFormat/>
    <w:rsid w:val="00E70A49"/>
  </w:style>
  <w:style w:type="character" w:customStyle="1" w:styleId="CharBoldItalic">
    <w:name w:val="CharBoldItalic"/>
    <w:basedOn w:val="OPCCharBase"/>
    <w:uiPriority w:val="1"/>
    <w:qFormat/>
    <w:rsid w:val="00E70A49"/>
    <w:rPr>
      <w:b/>
      <w:i/>
    </w:rPr>
  </w:style>
  <w:style w:type="character" w:customStyle="1" w:styleId="CharChapNo">
    <w:name w:val="CharChapNo"/>
    <w:basedOn w:val="OPCCharBase"/>
    <w:qFormat/>
    <w:rsid w:val="00E70A49"/>
  </w:style>
  <w:style w:type="character" w:customStyle="1" w:styleId="CharChapText">
    <w:name w:val="CharChapText"/>
    <w:basedOn w:val="OPCCharBase"/>
    <w:qFormat/>
    <w:rsid w:val="00E70A49"/>
  </w:style>
  <w:style w:type="character" w:customStyle="1" w:styleId="CharDivNo">
    <w:name w:val="CharDivNo"/>
    <w:basedOn w:val="OPCCharBase"/>
    <w:qFormat/>
    <w:rsid w:val="00E70A49"/>
  </w:style>
  <w:style w:type="character" w:customStyle="1" w:styleId="CharDivText">
    <w:name w:val="CharDivText"/>
    <w:basedOn w:val="OPCCharBase"/>
    <w:qFormat/>
    <w:rsid w:val="00E70A49"/>
  </w:style>
  <w:style w:type="character" w:customStyle="1" w:styleId="CharItalic">
    <w:name w:val="CharItalic"/>
    <w:basedOn w:val="OPCCharBase"/>
    <w:uiPriority w:val="1"/>
    <w:qFormat/>
    <w:rsid w:val="00E70A49"/>
    <w:rPr>
      <w:i/>
    </w:rPr>
  </w:style>
  <w:style w:type="character" w:customStyle="1" w:styleId="CharPartNo">
    <w:name w:val="CharPartNo"/>
    <w:basedOn w:val="OPCCharBase"/>
    <w:qFormat/>
    <w:rsid w:val="00E70A49"/>
  </w:style>
  <w:style w:type="character" w:customStyle="1" w:styleId="CharPartText">
    <w:name w:val="CharPartText"/>
    <w:basedOn w:val="OPCCharBase"/>
    <w:qFormat/>
    <w:rsid w:val="00E70A49"/>
  </w:style>
  <w:style w:type="character" w:customStyle="1" w:styleId="CharSectno">
    <w:name w:val="CharSectno"/>
    <w:basedOn w:val="OPCCharBase"/>
    <w:qFormat/>
    <w:rsid w:val="00E70A49"/>
  </w:style>
  <w:style w:type="character" w:customStyle="1" w:styleId="CharSubdNo">
    <w:name w:val="CharSubdNo"/>
    <w:basedOn w:val="OPCCharBase"/>
    <w:uiPriority w:val="1"/>
    <w:qFormat/>
    <w:rsid w:val="00E70A49"/>
  </w:style>
  <w:style w:type="character" w:customStyle="1" w:styleId="CharSubdText">
    <w:name w:val="CharSubdText"/>
    <w:basedOn w:val="OPCCharBase"/>
    <w:uiPriority w:val="1"/>
    <w:qFormat/>
    <w:rsid w:val="00E70A49"/>
  </w:style>
  <w:style w:type="paragraph" w:customStyle="1" w:styleId="CTA--">
    <w:name w:val="CTA --"/>
    <w:basedOn w:val="OPCParaBase"/>
    <w:next w:val="Normal"/>
    <w:rsid w:val="00E70A49"/>
    <w:pPr>
      <w:spacing w:before="60" w:line="240" w:lineRule="atLeast"/>
      <w:ind w:left="142" w:hanging="142"/>
    </w:pPr>
    <w:rPr>
      <w:sz w:val="20"/>
    </w:rPr>
  </w:style>
  <w:style w:type="paragraph" w:customStyle="1" w:styleId="CTA-">
    <w:name w:val="CTA -"/>
    <w:basedOn w:val="OPCParaBase"/>
    <w:rsid w:val="00E70A49"/>
    <w:pPr>
      <w:spacing w:before="60" w:line="240" w:lineRule="atLeast"/>
      <w:ind w:left="85" w:hanging="85"/>
    </w:pPr>
    <w:rPr>
      <w:sz w:val="20"/>
    </w:rPr>
  </w:style>
  <w:style w:type="paragraph" w:customStyle="1" w:styleId="CTA---">
    <w:name w:val="CTA ---"/>
    <w:basedOn w:val="OPCParaBase"/>
    <w:next w:val="Normal"/>
    <w:rsid w:val="00E70A49"/>
    <w:pPr>
      <w:spacing w:before="60" w:line="240" w:lineRule="atLeast"/>
      <w:ind w:left="198" w:hanging="198"/>
    </w:pPr>
    <w:rPr>
      <w:sz w:val="20"/>
    </w:rPr>
  </w:style>
  <w:style w:type="paragraph" w:customStyle="1" w:styleId="CTA----">
    <w:name w:val="CTA ----"/>
    <w:basedOn w:val="OPCParaBase"/>
    <w:next w:val="Normal"/>
    <w:rsid w:val="00E70A49"/>
    <w:pPr>
      <w:spacing w:before="60" w:line="240" w:lineRule="atLeast"/>
      <w:ind w:left="255" w:hanging="255"/>
    </w:pPr>
    <w:rPr>
      <w:sz w:val="20"/>
    </w:rPr>
  </w:style>
  <w:style w:type="paragraph" w:customStyle="1" w:styleId="CTA1a">
    <w:name w:val="CTA 1(a)"/>
    <w:basedOn w:val="OPCParaBase"/>
    <w:rsid w:val="00E70A49"/>
    <w:pPr>
      <w:tabs>
        <w:tab w:val="right" w:pos="414"/>
      </w:tabs>
      <w:spacing w:before="40" w:line="240" w:lineRule="atLeast"/>
      <w:ind w:left="675" w:hanging="675"/>
    </w:pPr>
    <w:rPr>
      <w:sz w:val="20"/>
    </w:rPr>
  </w:style>
  <w:style w:type="paragraph" w:customStyle="1" w:styleId="CTA1ai">
    <w:name w:val="CTA 1(a)(i)"/>
    <w:basedOn w:val="OPCParaBase"/>
    <w:rsid w:val="00E70A49"/>
    <w:pPr>
      <w:tabs>
        <w:tab w:val="right" w:pos="1004"/>
      </w:tabs>
      <w:spacing w:before="40" w:line="240" w:lineRule="atLeast"/>
      <w:ind w:left="1253" w:hanging="1253"/>
    </w:pPr>
    <w:rPr>
      <w:sz w:val="20"/>
    </w:rPr>
  </w:style>
  <w:style w:type="paragraph" w:customStyle="1" w:styleId="CTA2a">
    <w:name w:val="CTA 2(a)"/>
    <w:basedOn w:val="OPCParaBase"/>
    <w:rsid w:val="00E70A49"/>
    <w:pPr>
      <w:tabs>
        <w:tab w:val="right" w:pos="482"/>
      </w:tabs>
      <w:spacing w:before="40" w:line="240" w:lineRule="atLeast"/>
      <w:ind w:left="748" w:hanging="748"/>
    </w:pPr>
    <w:rPr>
      <w:sz w:val="20"/>
    </w:rPr>
  </w:style>
  <w:style w:type="paragraph" w:customStyle="1" w:styleId="CTA2ai">
    <w:name w:val="CTA 2(a)(i)"/>
    <w:basedOn w:val="OPCParaBase"/>
    <w:rsid w:val="00E70A49"/>
    <w:pPr>
      <w:tabs>
        <w:tab w:val="right" w:pos="1089"/>
      </w:tabs>
      <w:spacing w:before="40" w:line="240" w:lineRule="atLeast"/>
      <w:ind w:left="1327" w:hanging="1327"/>
    </w:pPr>
    <w:rPr>
      <w:sz w:val="20"/>
    </w:rPr>
  </w:style>
  <w:style w:type="paragraph" w:customStyle="1" w:styleId="CTA3a">
    <w:name w:val="CTA 3(a)"/>
    <w:basedOn w:val="OPCParaBase"/>
    <w:rsid w:val="00E70A49"/>
    <w:pPr>
      <w:tabs>
        <w:tab w:val="right" w:pos="556"/>
      </w:tabs>
      <w:spacing w:before="40" w:line="240" w:lineRule="atLeast"/>
      <w:ind w:left="805" w:hanging="805"/>
    </w:pPr>
    <w:rPr>
      <w:sz w:val="20"/>
    </w:rPr>
  </w:style>
  <w:style w:type="paragraph" w:customStyle="1" w:styleId="CTA3ai">
    <w:name w:val="CTA 3(a)(i)"/>
    <w:basedOn w:val="OPCParaBase"/>
    <w:rsid w:val="00E70A49"/>
    <w:pPr>
      <w:tabs>
        <w:tab w:val="right" w:pos="1140"/>
      </w:tabs>
      <w:spacing w:before="40" w:line="240" w:lineRule="atLeast"/>
      <w:ind w:left="1361" w:hanging="1361"/>
    </w:pPr>
    <w:rPr>
      <w:sz w:val="20"/>
    </w:rPr>
  </w:style>
  <w:style w:type="paragraph" w:customStyle="1" w:styleId="CTA4a">
    <w:name w:val="CTA 4(a)"/>
    <w:basedOn w:val="OPCParaBase"/>
    <w:rsid w:val="00E70A49"/>
    <w:pPr>
      <w:tabs>
        <w:tab w:val="right" w:pos="624"/>
      </w:tabs>
      <w:spacing w:before="40" w:line="240" w:lineRule="atLeast"/>
      <w:ind w:left="873" w:hanging="873"/>
    </w:pPr>
    <w:rPr>
      <w:sz w:val="20"/>
    </w:rPr>
  </w:style>
  <w:style w:type="paragraph" w:customStyle="1" w:styleId="CTA4ai">
    <w:name w:val="CTA 4(a)(i)"/>
    <w:basedOn w:val="OPCParaBase"/>
    <w:rsid w:val="00E70A49"/>
    <w:pPr>
      <w:tabs>
        <w:tab w:val="right" w:pos="1213"/>
      </w:tabs>
      <w:spacing w:before="40" w:line="240" w:lineRule="atLeast"/>
      <w:ind w:left="1452" w:hanging="1452"/>
    </w:pPr>
    <w:rPr>
      <w:sz w:val="20"/>
    </w:rPr>
  </w:style>
  <w:style w:type="paragraph" w:customStyle="1" w:styleId="CTACAPS">
    <w:name w:val="CTA CAPS"/>
    <w:basedOn w:val="OPCParaBase"/>
    <w:rsid w:val="00E70A49"/>
    <w:pPr>
      <w:spacing w:before="60" w:line="240" w:lineRule="atLeast"/>
    </w:pPr>
    <w:rPr>
      <w:sz w:val="20"/>
    </w:rPr>
  </w:style>
  <w:style w:type="paragraph" w:customStyle="1" w:styleId="CTAright">
    <w:name w:val="CTA right"/>
    <w:basedOn w:val="OPCParaBase"/>
    <w:rsid w:val="00E70A49"/>
    <w:pPr>
      <w:spacing w:before="60" w:line="240" w:lineRule="auto"/>
      <w:jc w:val="right"/>
    </w:pPr>
    <w:rPr>
      <w:sz w:val="20"/>
    </w:rPr>
  </w:style>
  <w:style w:type="paragraph" w:customStyle="1" w:styleId="subsection">
    <w:name w:val="subsection"/>
    <w:aliases w:val="ss"/>
    <w:basedOn w:val="OPCParaBase"/>
    <w:rsid w:val="00E70A49"/>
    <w:pPr>
      <w:tabs>
        <w:tab w:val="right" w:pos="1021"/>
      </w:tabs>
      <w:spacing w:before="180" w:line="240" w:lineRule="auto"/>
      <w:ind w:left="1134" w:hanging="1134"/>
    </w:pPr>
  </w:style>
  <w:style w:type="paragraph" w:customStyle="1" w:styleId="Definition">
    <w:name w:val="Definition"/>
    <w:aliases w:val="dd"/>
    <w:basedOn w:val="OPCParaBase"/>
    <w:rsid w:val="00E70A49"/>
    <w:pPr>
      <w:spacing w:before="180" w:line="240" w:lineRule="auto"/>
      <w:ind w:left="1134"/>
    </w:pPr>
  </w:style>
  <w:style w:type="paragraph" w:customStyle="1" w:styleId="Formula">
    <w:name w:val="Formula"/>
    <w:basedOn w:val="OPCParaBase"/>
    <w:rsid w:val="00E70A49"/>
    <w:pPr>
      <w:spacing w:line="240" w:lineRule="auto"/>
      <w:ind w:left="1134"/>
    </w:pPr>
    <w:rPr>
      <w:sz w:val="20"/>
    </w:rPr>
  </w:style>
  <w:style w:type="paragraph" w:styleId="Header">
    <w:name w:val="header"/>
    <w:basedOn w:val="OPCParaBase"/>
    <w:link w:val="HeaderChar"/>
    <w:unhideWhenUsed/>
    <w:rsid w:val="00E70A4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70A49"/>
    <w:rPr>
      <w:rFonts w:eastAsia="Times New Roman" w:cs="Times New Roman"/>
      <w:sz w:val="16"/>
      <w:lang w:eastAsia="en-AU"/>
    </w:rPr>
  </w:style>
  <w:style w:type="paragraph" w:customStyle="1" w:styleId="House">
    <w:name w:val="House"/>
    <w:basedOn w:val="OPCParaBase"/>
    <w:rsid w:val="00E70A49"/>
    <w:pPr>
      <w:spacing w:line="240" w:lineRule="auto"/>
    </w:pPr>
    <w:rPr>
      <w:sz w:val="28"/>
    </w:rPr>
  </w:style>
  <w:style w:type="paragraph" w:customStyle="1" w:styleId="Item">
    <w:name w:val="Item"/>
    <w:aliases w:val="i"/>
    <w:basedOn w:val="OPCParaBase"/>
    <w:next w:val="ItemHead"/>
    <w:rsid w:val="00E70A49"/>
    <w:pPr>
      <w:keepLines/>
      <w:spacing w:before="80" w:line="240" w:lineRule="auto"/>
      <w:ind w:left="709"/>
    </w:pPr>
  </w:style>
  <w:style w:type="paragraph" w:customStyle="1" w:styleId="ItemHead">
    <w:name w:val="ItemHead"/>
    <w:aliases w:val="ih"/>
    <w:basedOn w:val="OPCParaBase"/>
    <w:next w:val="Item"/>
    <w:rsid w:val="00E70A49"/>
    <w:pPr>
      <w:keepLines/>
      <w:spacing w:before="220" w:line="240" w:lineRule="auto"/>
      <w:ind w:left="709" w:hanging="709"/>
    </w:pPr>
    <w:rPr>
      <w:rFonts w:ascii="Arial" w:hAnsi="Arial"/>
      <w:b/>
      <w:kern w:val="28"/>
      <w:sz w:val="24"/>
    </w:rPr>
  </w:style>
  <w:style w:type="paragraph" w:customStyle="1" w:styleId="LongT">
    <w:name w:val="LongT"/>
    <w:basedOn w:val="OPCParaBase"/>
    <w:rsid w:val="00E70A49"/>
    <w:pPr>
      <w:spacing w:line="240" w:lineRule="auto"/>
    </w:pPr>
    <w:rPr>
      <w:b/>
      <w:sz w:val="32"/>
    </w:rPr>
  </w:style>
  <w:style w:type="paragraph" w:customStyle="1" w:styleId="notedraft">
    <w:name w:val="note(draft)"/>
    <w:aliases w:val="nd"/>
    <w:basedOn w:val="OPCParaBase"/>
    <w:rsid w:val="00E70A49"/>
    <w:pPr>
      <w:spacing w:before="240" w:line="240" w:lineRule="auto"/>
      <w:ind w:left="284" w:hanging="284"/>
    </w:pPr>
    <w:rPr>
      <w:i/>
      <w:sz w:val="24"/>
    </w:rPr>
  </w:style>
  <w:style w:type="paragraph" w:customStyle="1" w:styleId="notemargin">
    <w:name w:val="note(margin)"/>
    <w:aliases w:val="nm"/>
    <w:basedOn w:val="OPCParaBase"/>
    <w:rsid w:val="00E70A49"/>
    <w:pPr>
      <w:tabs>
        <w:tab w:val="left" w:pos="709"/>
      </w:tabs>
      <w:spacing w:before="122" w:line="198" w:lineRule="exact"/>
      <w:ind w:left="709" w:hanging="709"/>
    </w:pPr>
    <w:rPr>
      <w:sz w:val="18"/>
    </w:rPr>
  </w:style>
  <w:style w:type="paragraph" w:customStyle="1" w:styleId="noteToPara">
    <w:name w:val="noteToPara"/>
    <w:aliases w:val="ntp"/>
    <w:basedOn w:val="OPCParaBase"/>
    <w:rsid w:val="00E70A49"/>
    <w:pPr>
      <w:spacing w:before="122" w:line="198" w:lineRule="exact"/>
      <w:ind w:left="2353" w:hanging="709"/>
    </w:pPr>
    <w:rPr>
      <w:sz w:val="18"/>
    </w:rPr>
  </w:style>
  <w:style w:type="paragraph" w:customStyle="1" w:styleId="noteParlAmend">
    <w:name w:val="note(ParlAmend)"/>
    <w:aliases w:val="npp"/>
    <w:basedOn w:val="OPCParaBase"/>
    <w:next w:val="ParlAmend"/>
    <w:rsid w:val="00E70A49"/>
    <w:pPr>
      <w:spacing w:line="240" w:lineRule="auto"/>
      <w:jc w:val="right"/>
    </w:pPr>
    <w:rPr>
      <w:rFonts w:ascii="Arial" w:hAnsi="Arial"/>
      <w:b/>
      <w:i/>
    </w:rPr>
  </w:style>
  <w:style w:type="paragraph" w:customStyle="1" w:styleId="Page1">
    <w:name w:val="Page1"/>
    <w:basedOn w:val="OPCParaBase"/>
    <w:rsid w:val="00E70A49"/>
    <w:pPr>
      <w:spacing w:before="400" w:line="240" w:lineRule="auto"/>
    </w:pPr>
    <w:rPr>
      <w:b/>
      <w:sz w:val="32"/>
    </w:rPr>
  </w:style>
  <w:style w:type="paragraph" w:customStyle="1" w:styleId="PageBreak">
    <w:name w:val="PageBreak"/>
    <w:aliases w:val="pb"/>
    <w:basedOn w:val="OPCParaBase"/>
    <w:rsid w:val="00E70A49"/>
    <w:pPr>
      <w:spacing w:line="240" w:lineRule="auto"/>
    </w:pPr>
    <w:rPr>
      <w:sz w:val="20"/>
    </w:rPr>
  </w:style>
  <w:style w:type="paragraph" w:customStyle="1" w:styleId="paragraphsub">
    <w:name w:val="paragraph(sub)"/>
    <w:aliases w:val="aa"/>
    <w:basedOn w:val="OPCParaBase"/>
    <w:rsid w:val="00E70A49"/>
    <w:pPr>
      <w:tabs>
        <w:tab w:val="right" w:pos="1985"/>
      </w:tabs>
      <w:spacing w:before="40" w:line="240" w:lineRule="auto"/>
      <w:ind w:left="2098" w:hanging="2098"/>
    </w:pPr>
  </w:style>
  <w:style w:type="paragraph" w:customStyle="1" w:styleId="paragraphsub-sub">
    <w:name w:val="paragraph(sub-sub)"/>
    <w:aliases w:val="aaa"/>
    <w:basedOn w:val="OPCParaBase"/>
    <w:rsid w:val="00E70A49"/>
    <w:pPr>
      <w:tabs>
        <w:tab w:val="right" w:pos="2722"/>
      </w:tabs>
      <w:spacing w:before="40" w:line="240" w:lineRule="auto"/>
      <w:ind w:left="2835" w:hanging="2835"/>
    </w:pPr>
  </w:style>
  <w:style w:type="paragraph" w:customStyle="1" w:styleId="paragraph">
    <w:name w:val="paragraph"/>
    <w:aliases w:val="a"/>
    <w:basedOn w:val="OPCParaBase"/>
    <w:rsid w:val="00E70A49"/>
    <w:pPr>
      <w:tabs>
        <w:tab w:val="right" w:pos="1531"/>
      </w:tabs>
      <w:spacing w:before="40" w:line="240" w:lineRule="auto"/>
      <w:ind w:left="1644" w:hanging="1644"/>
    </w:pPr>
  </w:style>
  <w:style w:type="paragraph" w:customStyle="1" w:styleId="ParlAmend">
    <w:name w:val="ParlAmend"/>
    <w:aliases w:val="pp"/>
    <w:basedOn w:val="OPCParaBase"/>
    <w:rsid w:val="00E70A49"/>
    <w:pPr>
      <w:spacing w:before="240" w:line="240" w:lineRule="atLeast"/>
      <w:ind w:hanging="567"/>
    </w:pPr>
    <w:rPr>
      <w:sz w:val="24"/>
    </w:rPr>
  </w:style>
  <w:style w:type="paragraph" w:customStyle="1" w:styleId="Penalty">
    <w:name w:val="Penalty"/>
    <w:basedOn w:val="OPCParaBase"/>
    <w:rsid w:val="00E70A49"/>
    <w:pPr>
      <w:tabs>
        <w:tab w:val="left" w:pos="2977"/>
      </w:tabs>
      <w:spacing w:before="180" w:line="240" w:lineRule="auto"/>
      <w:ind w:left="1985" w:hanging="851"/>
    </w:pPr>
  </w:style>
  <w:style w:type="paragraph" w:customStyle="1" w:styleId="Portfolio">
    <w:name w:val="Portfolio"/>
    <w:basedOn w:val="OPCParaBase"/>
    <w:rsid w:val="00E70A49"/>
    <w:pPr>
      <w:spacing w:line="240" w:lineRule="auto"/>
    </w:pPr>
    <w:rPr>
      <w:i/>
      <w:sz w:val="20"/>
    </w:rPr>
  </w:style>
  <w:style w:type="paragraph" w:customStyle="1" w:styleId="Preamble">
    <w:name w:val="Preamble"/>
    <w:basedOn w:val="OPCParaBase"/>
    <w:next w:val="Normal"/>
    <w:rsid w:val="00E70A4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70A49"/>
    <w:pPr>
      <w:spacing w:line="240" w:lineRule="auto"/>
    </w:pPr>
    <w:rPr>
      <w:i/>
      <w:sz w:val="20"/>
    </w:rPr>
  </w:style>
  <w:style w:type="paragraph" w:customStyle="1" w:styleId="Session">
    <w:name w:val="Session"/>
    <w:basedOn w:val="OPCParaBase"/>
    <w:rsid w:val="00E70A49"/>
    <w:pPr>
      <w:spacing w:line="240" w:lineRule="auto"/>
    </w:pPr>
    <w:rPr>
      <w:sz w:val="28"/>
    </w:rPr>
  </w:style>
  <w:style w:type="paragraph" w:customStyle="1" w:styleId="Sponsor">
    <w:name w:val="Sponsor"/>
    <w:basedOn w:val="OPCParaBase"/>
    <w:rsid w:val="00E70A49"/>
    <w:pPr>
      <w:spacing w:line="240" w:lineRule="auto"/>
    </w:pPr>
    <w:rPr>
      <w:i/>
    </w:rPr>
  </w:style>
  <w:style w:type="paragraph" w:customStyle="1" w:styleId="Subitem">
    <w:name w:val="Subitem"/>
    <w:aliases w:val="iss"/>
    <w:basedOn w:val="OPCParaBase"/>
    <w:rsid w:val="00E70A49"/>
    <w:pPr>
      <w:spacing w:before="180" w:line="240" w:lineRule="auto"/>
      <w:ind w:left="709" w:hanging="709"/>
    </w:pPr>
  </w:style>
  <w:style w:type="paragraph" w:customStyle="1" w:styleId="SubitemHead">
    <w:name w:val="SubitemHead"/>
    <w:aliases w:val="issh"/>
    <w:basedOn w:val="OPCParaBase"/>
    <w:rsid w:val="00E70A4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70A49"/>
    <w:pPr>
      <w:spacing w:before="40" w:line="240" w:lineRule="auto"/>
      <w:ind w:left="1134"/>
    </w:pPr>
  </w:style>
  <w:style w:type="paragraph" w:customStyle="1" w:styleId="SubsectionHead">
    <w:name w:val="SubsectionHead"/>
    <w:aliases w:val="ssh"/>
    <w:basedOn w:val="OPCParaBase"/>
    <w:next w:val="subsection"/>
    <w:rsid w:val="00E70A49"/>
    <w:pPr>
      <w:keepNext/>
      <w:keepLines/>
      <w:spacing w:before="240" w:line="240" w:lineRule="auto"/>
      <w:ind w:left="1134"/>
    </w:pPr>
    <w:rPr>
      <w:i/>
    </w:rPr>
  </w:style>
  <w:style w:type="paragraph" w:customStyle="1" w:styleId="Tablea">
    <w:name w:val="Table(a)"/>
    <w:aliases w:val="ta"/>
    <w:basedOn w:val="OPCParaBase"/>
    <w:rsid w:val="00E70A49"/>
    <w:pPr>
      <w:spacing w:before="60" w:line="240" w:lineRule="auto"/>
      <w:ind w:left="284" w:hanging="284"/>
    </w:pPr>
    <w:rPr>
      <w:sz w:val="20"/>
    </w:rPr>
  </w:style>
  <w:style w:type="paragraph" w:customStyle="1" w:styleId="TableAA">
    <w:name w:val="Table(AA)"/>
    <w:aliases w:val="taaa"/>
    <w:basedOn w:val="OPCParaBase"/>
    <w:rsid w:val="00E70A4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70A4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70A49"/>
    <w:pPr>
      <w:spacing w:before="60" w:line="240" w:lineRule="atLeast"/>
    </w:pPr>
    <w:rPr>
      <w:sz w:val="20"/>
    </w:rPr>
  </w:style>
  <w:style w:type="paragraph" w:customStyle="1" w:styleId="TLPBoxTextnote">
    <w:name w:val="TLPBoxText(note"/>
    <w:aliases w:val="right)"/>
    <w:basedOn w:val="OPCParaBase"/>
    <w:rsid w:val="00E70A4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70A4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70A49"/>
    <w:pPr>
      <w:spacing w:before="122" w:line="198" w:lineRule="exact"/>
      <w:ind w:left="1985" w:hanging="851"/>
      <w:jc w:val="right"/>
    </w:pPr>
    <w:rPr>
      <w:sz w:val="18"/>
    </w:rPr>
  </w:style>
  <w:style w:type="paragraph" w:customStyle="1" w:styleId="TLPTableBullet">
    <w:name w:val="TLPTableBullet"/>
    <w:aliases w:val="ttb"/>
    <w:basedOn w:val="OPCParaBase"/>
    <w:rsid w:val="00E70A49"/>
    <w:pPr>
      <w:spacing w:line="240" w:lineRule="exact"/>
      <w:ind w:left="284" w:hanging="284"/>
    </w:pPr>
    <w:rPr>
      <w:sz w:val="20"/>
    </w:rPr>
  </w:style>
  <w:style w:type="paragraph" w:styleId="TOC1">
    <w:name w:val="toc 1"/>
    <w:basedOn w:val="OPCParaBase"/>
    <w:next w:val="Normal"/>
    <w:uiPriority w:val="39"/>
    <w:semiHidden/>
    <w:unhideWhenUsed/>
    <w:rsid w:val="00E70A4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70A4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E70A4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E70A4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70A4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E70A4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70A4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70A4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E70A4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70A49"/>
    <w:pPr>
      <w:keepLines/>
      <w:spacing w:before="240" w:after="120" w:line="240" w:lineRule="auto"/>
      <w:ind w:left="794"/>
    </w:pPr>
    <w:rPr>
      <w:b/>
      <w:kern w:val="28"/>
      <w:sz w:val="20"/>
    </w:rPr>
  </w:style>
  <w:style w:type="paragraph" w:customStyle="1" w:styleId="TofSectsHeading">
    <w:name w:val="TofSects(Heading)"/>
    <w:basedOn w:val="OPCParaBase"/>
    <w:rsid w:val="00E70A49"/>
    <w:pPr>
      <w:spacing w:before="240" w:after="120" w:line="240" w:lineRule="auto"/>
    </w:pPr>
    <w:rPr>
      <w:b/>
      <w:sz w:val="24"/>
    </w:rPr>
  </w:style>
  <w:style w:type="paragraph" w:customStyle="1" w:styleId="TofSectsSection">
    <w:name w:val="TofSects(Section)"/>
    <w:basedOn w:val="OPCParaBase"/>
    <w:rsid w:val="00E70A49"/>
    <w:pPr>
      <w:keepLines/>
      <w:spacing w:before="40" w:line="240" w:lineRule="auto"/>
      <w:ind w:left="1588" w:hanging="794"/>
    </w:pPr>
    <w:rPr>
      <w:kern w:val="28"/>
      <w:sz w:val="18"/>
    </w:rPr>
  </w:style>
  <w:style w:type="paragraph" w:customStyle="1" w:styleId="TofSectsSubdiv">
    <w:name w:val="TofSects(Subdiv)"/>
    <w:basedOn w:val="OPCParaBase"/>
    <w:rsid w:val="00E70A49"/>
    <w:pPr>
      <w:keepLines/>
      <w:spacing w:before="80" w:line="240" w:lineRule="auto"/>
      <w:ind w:left="1588" w:hanging="794"/>
    </w:pPr>
    <w:rPr>
      <w:kern w:val="28"/>
    </w:rPr>
  </w:style>
  <w:style w:type="paragraph" w:customStyle="1" w:styleId="WRStyle">
    <w:name w:val="WR Style"/>
    <w:aliases w:val="WR"/>
    <w:basedOn w:val="OPCParaBase"/>
    <w:rsid w:val="00E70A49"/>
    <w:pPr>
      <w:spacing w:before="240" w:line="240" w:lineRule="auto"/>
      <w:ind w:left="284" w:hanging="284"/>
    </w:pPr>
    <w:rPr>
      <w:b/>
      <w:i/>
      <w:kern w:val="28"/>
      <w:sz w:val="24"/>
    </w:rPr>
  </w:style>
  <w:style w:type="paragraph" w:customStyle="1" w:styleId="notepara">
    <w:name w:val="note(para)"/>
    <w:aliases w:val="na"/>
    <w:basedOn w:val="OPCParaBase"/>
    <w:rsid w:val="00E70A49"/>
    <w:pPr>
      <w:spacing w:before="40" w:line="198" w:lineRule="exact"/>
      <w:ind w:left="2354" w:hanging="369"/>
    </w:pPr>
    <w:rPr>
      <w:sz w:val="18"/>
    </w:rPr>
  </w:style>
  <w:style w:type="paragraph" w:styleId="Footer">
    <w:name w:val="footer"/>
    <w:link w:val="FooterChar"/>
    <w:rsid w:val="00E70A4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70A49"/>
    <w:rPr>
      <w:rFonts w:eastAsia="Times New Roman" w:cs="Times New Roman"/>
      <w:sz w:val="22"/>
      <w:szCs w:val="24"/>
      <w:lang w:eastAsia="en-AU"/>
    </w:rPr>
  </w:style>
  <w:style w:type="character" w:styleId="LineNumber">
    <w:name w:val="line number"/>
    <w:basedOn w:val="OPCCharBase"/>
    <w:uiPriority w:val="99"/>
    <w:semiHidden/>
    <w:unhideWhenUsed/>
    <w:rsid w:val="00E70A49"/>
    <w:rPr>
      <w:sz w:val="16"/>
    </w:rPr>
  </w:style>
  <w:style w:type="table" w:customStyle="1" w:styleId="CFlag">
    <w:name w:val="CFlag"/>
    <w:basedOn w:val="TableNormal"/>
    <w:uiPriority w:val="99"/>
    <w:rsid w:val="00E70A49"/>
    <w:rPr>
      <w:rFonts w:eastAsia="Times New Roman" w:cs="Times New Roman"/>
      <w:lang w:eastAsia="en-AU"/>
    </w:rPr>
    <w:tblPr/>
  </w:style>
  <w:style w:type="paragraph" w:customStyle="1" w:styleId="SignCoverPageEnd">
    <w:name w:val="SignCoverPageEnd"/>
    <w:basedOn w:val="OPCParaBase"/>
    <w:next w:val="Normal"/>
    <w:rsid w:val="00E70A4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70A49"/>
    <w:pPr>
      <w:pBdr>
        <w:top w:val="single" w:sz="4" w:space="1" w:color="auto"/>
      </w:pBdr>
      <w:spacing w:before="360"/>
      <w:ind w:right="397"/>
      <w:jc w:val="both"/>
    </w:pPr>
  </w:style>
  <w:style w:type="paragraph" w:customStyle="1" w:styleId="CompiledActNo">
    <w:name w:val="CompiledActNo"/>
    <w:basedOn w:val="OPCParaBase"/>
    <w:next w:val="Normal"/>
    <w:rsid w:val="00E70A49"/>
    <w:rPr>
      <w:b/>
      <w:sz w:val="24"/>
      <w:szCs w:val="24"/>
    </w:rPr>
  </w:style>
  <w:style w:type="paragraph" w:customStyle="1" w:styleId="ENotesText">
    <w:name w:val="ENotesText"/>
    <w:aliases w:val="Ent"/>
    <w:basedOn w:val="OPCParaBase"/>
    <w:next w:val="Normal"/>
    <w:rsid w:val="00E70A49"/>
    <w:pPr>
      <w:spacing w:before="120"/>
    </w:pPr>
  </w:style>
  <w:style w:type="paragraph" w:customStyle="1" w:styleId="CompiledMadeUnder">
    <w:name w:val="CompiledMadeUnder"/>
    <w:basedOn w:val="OPCParaBase"/>
    <w:next w:val="Normal"/>
    <w:rsid w:val="00E70A49"/>
    <w:rPr>
      <w:i/>
      <w:sz w:val="24"/>
      <w:szCs w:val="24"/>
    </w:rPr>
  </w:style>
  <w:style w:type="paragraph" w:customStyle="1" w:styleId="Paragraphsub-sub-sub">
    <w:name w:val="Paragraph(sub-sub-sub)"/>
    <w:aliases w:val="aaaa"/>
    <w:basedOn w:val="OPCParaBase"/>
    <w:rsid w:val="00E70A4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70A4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70A4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70A4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70A4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70A49"/>
    <w:pPr>
      <w:spacing w:before="60" w:line="240" w:lineRule="auto"/>
    </w:pPr>
    <w:rPr>
      <w:rFonts w:cs="Arial"/>
      <w:sz w:val="20"/>
      <w:szCs w:val="22"/>
    </w:rPr>
  </w:style>
  <w:style w:type="paragraph" w:customStyle="1" w:styleId="TableHeading">
    <w:name w:val="TableHeading"/>
    <w:aliases w:val="th"/>
    <w:basedOn w:val="OPCParaBase"/>
    <w:next w:val="Tabletext"/>
    <w:rsid w:val="00E70A49"/>
    <w:pPr>
      <w:keepNext/>
      <w:spacing w:before="60" w:line="240" w:lineRule="atLeast"/>
    </w:pPr>
    <w:rPr>
      <w:b/>
      <w:sz w:val="20"/>
    </w:rPr>
  </w:style>
  <w:style w:type="paragraph" w:customStyle="1" w:styleId="NoteToSubpara">
    <w:name w:val="NoteToSubpara"/>
    <w:aliases w:val="nts"/>
    <w:basedOn w:val="OPCParaBase"/>
    <w:rsid w:val="00E70A49"/>
    <w:pPr>
      <w:spacing w:before="40" w:line="198" w:lineRule="exact"/>
      <w:ind w:left="2835" w:hanging="709"/>
    </w:pPr>
    <w:rPr>
      <w:sz w:val="18"/>
    </w:rPr>
  </w:style>
  <w:style w:type="paragraph" w:customStyle="1" w:styleId="ENoteTableHeading">
    <w:name w:val="ENoteTableHeading"/>
    <w:aliases w:val="enth"/>
    <w:basedOn w:val="OPCParaBase"/>
    <w:rsid w:val="00E70A49"/>
    <w:pPr>
      <w:keepNext/>
      <w:spacing w:before="60" w:line="240" w:lineRule="atLeast"/>
    </w:pPr>
    <w:rPr>
      <w:rFonts w:ascii="Arial" w:hAnsi="Arial"/>
      <w:b/>
      <w:sz w:val="16"/>
    </w:rPr>
  </w:style>
  <w:style w:type="paragraph" w:customStyle="1" w:styleId="ENoteTableText">
    <w:name w:val="ENoteTableText"/>
    <w:aliases w:val="entt"/>
    <w:basedOn w:val="OPCParaBase"/>
    <w:rsid w:val="00E70A49"/>
    <w:pPr>
      <w:spacing w:before="60" w:line="240" w:lineRule="atLeast"/>
    </w:pPr>
    <w:rPr>
      <w:sz w:val="16"/>
    </w:rPr>
  </w:style>
  <w:style w:type="paragraph" w:customStyle="1" w:styleId="ENoteTTi">
    <w:name w:val="ENoteTTi"/>
    <w:aliases w:val="entti"/>
    <w:basedOn w:val="OPCParaBase"/>
    <w:rsid w:val="00E70A49"/>
    <w:pPr>
      <w:keepNext/>
      <w:spacing w:before="60" w:line="240" w:lineRule="atLeast"/>
      <w:ind w:left="170"/>
    </w:pPr>
    <w:rPr>
      <w:sz w:val="16"/>
    </w:rPr>
  </w:style>
  <w:style w:type="paragraph" w:customStyle="1" w:styleId="ENoteTTIndentHeading">
    <w:name w:val="ENoteTTIndentHeading"/>
    <w:aliases w:val="enTTHi"/>
    <w:basedOn w:val="OPCParaBase"/>
    <w:rsid w:val="00E70A49"/>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E70A49"/>
    <w:pPr>
      <w:spacing w:before="120"/>
      <w:outlineLvl w:val="1"/>
    </w:pPr>
    <w:rPr>
      <w:b/>
      <w:sz w:val="28"/>
      <w:szCs w:val="28"/>
    </w:rPr>
  </w:style>
  <w:style w:type="paragraph" w:customStyle="1" w:styleId="ENotesHeading2">
    <w:name w:val="ENotesHeading 2"/>
    <w:aliases w:val="Enh2"/>
    <w:basedOn w:val="OPCParaBase"/>
    <w:next w:val="Normal"/>
    <w:rsid w:val="00E70A49"/>
    <w:pPr>
      <w:spacing w:before="120" w:after="120"/>
      <w:outlineLvl w:val="2"/>
    </w:pPr>
    <w:rPr>
      <w:b/>
      <w:sz w:val="24"/>
      <w:szCs w:val="28"/>
    </w:rPr>
  </w:style>
  <w:style w:type="paragraph" w:customStyle="1" w:styleId="MadeunderText">
    <w:name w:val="MadeunderText"/>
    <w:basedOn w:val="OPCParaBase"/>
    <w:next w:val="CompiledMadeUnder"/>
    <w:rsid w:val="00E70A49"/>
    <w:pPr>
      <w:spacing w:before="240"/>
    </w:pPr>
    <w:rPr>
      <w:sz w:val="24"/>
      <w:szCs w:val="24"/>
    </w:rPr>
  </w:style>
  <w:style w:type="paragraph" w:customStyle="1" w:styleId="ENotesHeading3">
    <w:name w:val="ENotesHeading 3"/>
    <w:aliases w:val="Enh3"/>
    <w:basedOn w:val="OPCParaBase"/>
    <w:next w:val="Normal"/>
    <w:rsid w:val="00E70A49"/>
    <w:pPr>
      <w:keepNext/>
      <w:spacing w:before="120" w:line="240" w:lineRule="auto"/>
      <w:outlineLvl w:val="4"/>
    </w:pPr>
    <w:rPr>
      <w:b/>
      <w:szCs w:val="24"/>
    </w:rPr>
  </w:style>
  <w:style w:type="character" w:customStyle="1" w:styleId="CharSubPartNoCASA">
    <w:name w:val="CharSubPartNo(CASA)"/>
    <w:basedOn w:val="OPCCharBase"/>
    <w:uiPriority w:val="1"/>
    <w:rsid w:val="00E70A49"/>
  </w:style>
  <w:style w:type="character" w:customStyle="1" w:styleId="CharSubPartTextCASA">
    <w:name w:val="CharSubPartText(CASA)"/>
    <w:basedOn w:val="OPCCharBase"/>
    <w:uiPriority w:val="1"/>
    <w:rsid w:val="00E70A49"/>
  </w:style>
  <w:style w:type="paragraph" w:customStyle="1" w:styleId="SubPartCASA">
    <w:name w:val="SubPart(CASA)"/>
    <w:aliases w:val="csp"/>
    <w:basedOn w:val="OPCParaBase"/>
    <w:next w:val="ActHead3"/>
    <w:rsid w:val="00E70A49"/>
    <w:pPr>
      <w:keepNext/>
      <w:keepLines/>
      <w:spacing w:before="280"/>
      <w:outlineLvl w:val="1"/>
    </w:pPr>
    <w:rPr>
      <w:b/>
      <w:kern w:val="28"/>
      <w:sz w:val="32"/>
    </w:rPr>
  </w:style>
  <w:style w:type="paragraph" w:customStyle="1" w:styleId="ENoteTTIndentHeadingSub">
    <w:name w:val="ENoteTTIndentHeadingSub"/>
    <w:aliases w:val="enTTHis"/>
    <w:basedOn w:val="OPCParaBase"/>
    <w:rsid w:val="00E70A49"/>
    <w:pPr>
      <w:keepNext/>
      <w:spacing w:before="60" w:line="240" w:lineRule="atLeast"/>
      <w:ind w:left="340"/>
    </w:pPr>
    <w:rPr>
      <w:b/>
      <w:sz w:val="16"/>
    </w:rPr>
  </w:style>
  <w:style w:type="paragraph" w:customStyle="1" w:styleId="ENoteTTiSub">
    <w:name w:val="ENoteTTiSub"/>
    <w:aliases w:val="enttis"/>
    <w:basedOn w:val="OPCParaBase"/>
    <w:rsid w:val="00E70A49"/>
    <w:pPr>
      <w:keepNext/>
      <w:spacing w:before="60" w:line="240" w:lineRule="atLeast"/>
      <w:ind w:left="340"/>
    </w:pPr>
    <w:rPr>
      <w:sz w:val="16"/>
    </w:rPr>
  </w:style>
  <w:style w:type="paragraph" w:customStyle="1" w:styleId="SubDivisionMigration">
    <w:name w:val="SubDivisionMigration"/>
    <w:aliases w:val="sdm"/>
    <w:basedOn w:val="OPCParaBase"/>
    <w:rsid w:val="00E70A4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70A49"/>
    <w:pPr>
      <w:keepNext/>
      <w:keepLines/>
      <w:spacing w:before="240" w:line="240" w:lineRule="auto"/>
      <w:ind w:left="1134" w:hanging="1134"/>
    </w:pPr>
    <w:rPr>
      <w:b/>
      <w:sz w:val="28"/>
    </w:rPr>
  </w:style>
  <w:style w:type="table" w:styleId="TableGrid">
    <w:name w:val="Table Grid"/>
    <w:basedOn w:val="TableNormal"/>
    <w:uiPriority w:val="59"/>
    <w:rsid w:val="00E70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E70A49"/>
    <w:pPr>
      <w:spacing w:before="122" w:line="240" w:lineRule="auto"/>
      <w:ind w:left="1985" w:hanging="851"/>
    </w:pPr>
    <w:rPr>
      <w:sz w:val="18"/>
    </w:rPr>
  </w:style>
  <w:style w:type="paragraph" w:customStyle="1" w:styleId="FreeForm">
    <w:name w:val="FreeForm"/>
    <w:rsid w:val="008422C3"/>
    <w:rPr>
      <w:rFonts w:ascii="Arial" w:hAnsi="Arial"/>
      <w:sz w:val="22"/>
    </w:rPr>
  </w:style>
  <w:style w:type="paragraph" w:customStyle="1" w:styleId="SOText">
    <w:name w:val="SO Text"/>
    <w:aliases w:val="sot"/>
    <w:link w:val="SOTextChar"/>
    <w:rsid w:val="00E70A4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70A49"/>
    <w:rPr>
      <w:sz w:val="22"/>
    </w:rPr>
  </w:style>
  <w:style w:type="paragraph" w:customStyle="1" w:styleId="SOTextNote">
    <w:name w:val="SO TextNote"/>
    <w:aliases w:val="sont"/>
    <w:basedOn w:val="SOText"/>
    <w:qFormat/>
    <w:rsid w:val="00E70A49"/>
    <w:pPr>
      <w:spacing w:before="122" w:line="198" w:lineRule="exact"/>
      <w:ind w:left="1843" w:hanging="709"/>
    </w:pPr>
    <w:rPr>
      <w:sz w:val="18"/>
    </w:rPr>
  </w:style>
  <w:style w:type="paragraph" w:customStyle="1" w:styleId="SOPara">
    <w:name w:val="SO Para"/>
    <w:aliases w:val="soa"/>
    <w:basedOn w:val="SOText"/>
    <w:link w:val="SOParaChar"/>
    <w:qFormat/>
    <w:rsid w:val="00E70A49"/>
    <w:pPr>
      <w:tabs>
        <w:tab w:val="right" w:pos="1786"/>
      </w:tabs>
      <w:spacing w:before="40"/>
      <w:ind w:left="2070" w:hanging="936"/>
    </w:pPr>
  </w:style>
  <w:style w:type="character" w:customStyle="1" w:styleId="SOParaChar">
    <w:name w:val="SO Para Char"/>
    <w:aliases w:val="soa Char"/>
    <w:basedOn w:val="DefaultParagraphFont"/>
    <w:link w:val="SOPara"/>
    <w:rsid w:val="00E70A49"/>
    <w:rPr>
      <w:sz w:val="22"/>
    </w:rPr>
  </w:style>
  <w:style w:type="paragraph" w:customStyle="1" w:styleId="SOBullet">
    <w:name w:val="SO Bullet"/>
    <w:aliases w:val="sotb"/>
    <w:basedOn w:val="Normal"/>
    <w:link w:val="SOBulletChar"/>
    <w:qFormat/>
    <w:rsid w:val="00E70A49"/>
    <w:pPr>
      <w:pBdr>
        <w:top w:val="single" w:sz="6" w:space="5" w:color="auto"/>
        <w:left w:val="single" w:sz="6" w:space="5" w:color="auto"/>
        <w:bottom w:val="single" w:sz="6" w:space="5" w:color="auto"/>
        <w:right w:val="single" w:sz="6" w:space="5" w:color="auto"/>
      </w:pBdr>
      <w:spacing w:before="240" w:line="240" w:lineRule="auto"/>
      <w:ind w:left="1559" w:hanging="425"/>
    </w:pPr>
  </w:style>
  <w:style w:type="character" w:customStyle="1" w:styleId="SOBulletChar">
    <w:name w:val="SO Bullet Char"/>
    <w:aliases w:val="sotb Char"/>
    <w:basedOn w:val="DefaultParagraphFont"/>
    <w:link w:val="SOBullet"/>
    <w:rsid w:val="00E70A49"/>
    <w:rPr>
      <w:sz w:val="22"/>
    </w:rPr>
  </w:style>
  <w:style w:type="paragraph" w:customStyle="1" w:styleId="SOBulletNote">
    <w:name w:val="SO BulletNote"/>
    <w:aliases w:val="sonb"/>
    <w:basedOn w:val="SOTextNote"/>
    <w:link w:val="SOBulletNoteChar"/>
    <w:qFormat/>
    <w:rsid w:val="00E70A49"/>
    <w:pPr>
      <w:tabs>
        <w:tab w:val="left" w:pos="1560"/>
      </w:tabs>
      <w:ind w:left="2268" w:hanging="1134"/>
    </w:pPr>
  </w:style>
  <w:style w:type="character" w:customStyle="1" w:styleId="SOBulletNoteChar">
    <w:name w:val="SO BulletNote Char"/>
    <w:aliases w:val="sonb Char"/>
    <w:basedOn w:val="DefaultParagraphFont"/>
    <w:link w:val="SOBulletNote"/>
    <w:rsid w:val="00E70A49"/>
    <w:rPr>
      <w:sz w:val="18"/>
    </w:rPr>
  </w:style>
  <w:style w:type="paragraph" w:customStyle="1" w:styleId="FileName">
    <w:name w:val="FileName"/>
    <w:basedOn w:val="Normal"/>
    <w:rsid w:val="00E70A49"/>
  </w:style>
  <w:style w:type="paragraph" w:customStyle="1" w:styleId="SOHeadBold">
    <w:name w:val="SO HeadBold"/>
    <w:aliases w:val="sohb"/>
    <w:basedOn w:val="SOText"/>
    <w:next w:val="SOText"/>
    <w:link w:val="SOHeadBoldChar"/>
    <w:qFormat/>
    <w:rsid w:val="00E70A49"/>
    <w:rPr>
      <w:b/>
    </w:rPr>
  </w:style>
  <w:style w:type="character" w:customStyle="1" w:styleId="SOHeadBoldChar">
    <w:name w:val="SO HeadBold Char"/>
    <w:aliases w:val="sohb Char"/>
    <w:basedOn w:val="DefaultParagraphFont"/>
    <w:link w:val="SOHeadBold"/>
    <w:rsid w:val="00E70A49"/>
    <w:rPr>
      <w:b/>
      <w:sz w:val="22"/>
    </w:rPr>
  </w:style>
  <w:style w:type="paragraph" w:customStyle="1" w:styleId="SOHeadItalic">
    <w:name w:val="SO HeadItalic"/>
    <w:aliases w:val="sohi"/>
    <w:basedOn w:val="SOText"/>
    <w:next w:val="SOText"/>
    <w:link w:val="SOHeadItalicChar"/>
    <w:qFormat/>
    <w:rsid w:val="00E70A49"/>
    <w:rPr>
      <w:i/>
    </w:rPr>
  </w:style>
  <w:style w:type="character" w:customStyle="1" w:styleId="SOHeadItalicChar">
    <w:name w:val="SO HeadItalic Char"/>
    <w:aliases w:val="sohi Char"/>
    <w:basedOn w:val="DefaultParagraphFont"/>
    <w:link w:val="SOHeadItalic"/>
    <w:rsid w:val="00E70A49"/>
    <w:rPr>
      <w:i/>
      <w:sz w:val="22"/>
    </w:rPr>
  </w:style>
  <w:style w:type="paragraph" w:customStyle="1" w:styleId="SOText2">
    <w:name w:val="SO Text2"/>
    <w:aliases w:val="sot2"/>
    <w:basedOn w:val="Normal"/>
    <w:next w:val="SOText"/>
    <w:link w:val="SOText2Char"/>
    <w:rsid w:val="00E70A4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70A49"/>
    <w:rPr>
      <w:sz w:val="22"/>
    </w:rPr>
  </w:style>
  <w:style w:type="paragraph" w:styleId="BalloonText">
    <w:name w:val="Balloon Text"/>
    <w:basedOn w:val="Normal"/>
    <w:link w:val="BalloonTextChar"/>
    <w:uiPriority w:val="99"/>
    <w:semiHidden/>
    <w:unhideWhenUsed/>
    <w:rsid w:val="009A631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31A"/>
    <w:rPr>
      <w:rFonts w:ascii="Tahoma" w:hAnsi="Tahoma" w:cs="Tahoma"/>
      <w:sz w:val="16"/>
      <w:szCs w:val="16"/>
    </w:rPr>
  </w:style>
  <w:style w:type="character" w:customStyle="1" w:styleId="notetextChar">
    <w:name w:val="note(text) Char"/>
    <w:aliases w:val="n Char"/>
    <w:basedOn w:val="DefaultParagraphFont"/>
    <w:link w:val="notetext"/>
    <w:rsid w:val="00133F50"/>
    <w:rPr>
      <w:rFonts w:eastAsia="Times New Roman" w:cs="Times New Roman"/>
      <w:sz w:val="18"/>
      <w:lang w:eastAsia="en-AU"/>
    </w:rPr>
  </w:style>
  <w:style w:type="character" w:customStyle="1" w:styleId="Heading1Char">
    <w:name w:val="Heading 1 Char"/>
    <w:basedOn w:val="DefaultParagraphFont"/>
    <w:link w:val="Heading1"/>
    <w:uiPriority w:val="9"/>
    <w:rsid w:val="00133F5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33F5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33F5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33F5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33F5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33F5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33F5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33F5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33F50"/>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A64F9C"/>
    <w:pPr>
      <w:spacing w:before="800"/>
    </w:pPr>
  </w:style>
  <w:style w:type="character" w:customStyle="1" w:styleId="OPCParaBaseChar">
    <w:name w:val="OPCParaBase Char"/>
    <w:basedOn w:val="DefaultParagraphFont"/>
    <w:link w:val="OPCParaBase"/>
    <w:rsid w:val="00A64F9C"/>
    <w:rPr>
      <w:rFonts w:eastAsia="Times New Roman" w:cs="Times New Roman"/>
      <w:sz w:val="22"/>
      <w:lang w:eastAsia="en-AU"/>
    </w:rPr>
  </w:style>
  <w:style w:type="character" w:customStyle="1" w:styleId="ShortTChar">
    <w:name w:val="ShortT Char"/>
    <w:basedOn w:val="OPCParaBaseChar"/>
    <w:link w:val="ShortT"/>
    <w:rsid w:val="00A64F9C"/>
    <w:rPr>
      <w:rFonts w:eastAsia="Times New Roman" w:cs="Times New Roman"/>
      <w:b/>
      <w:sz w:val="40"/>
      <w:lang w:eastAsia="en-AU"/>
    </w:rPr>
  </w:style>
  <w:style w:type="character" w:customStyle="1" w:styleId="ShortTP1Char">
    <w:name w:val="ShortTP1 Char"/>
    <w:basedOn w:val="ShortTChar"/>
    <w:link w:val="ShortTP1"/>
    <w:rsid w:val="00A64F9C"/>
    <w:rPr>
      <w:rFonts w:eastAsia="Times New Roman" w:cs="Times New Roman"/>
      <w:b/>
      <w:sz w:val="40"/>
      <w:lang w:eastAsia="en-AU"/>
    </w:rPr>
  </w:style>
  <w:style w:type="paragraph" w:customStyle="1" w:styleId="ActNoP1">
    <w:name w:val="ActNoP1"/>
    <w:basedOn w:val="Actno"/>
    <w:link w:val="ActNoP1Char"/>
    <w:rsid w:val="00A64F9C"/>
    <w:pPr>
      <w:spacing w:before="800"/>
    </w:pPr>
    <w:rPr>
      <w:sz w:val="28"/>
    </w:rPr>
  </w:style>
  <w:style w:type="character" w:customStyle="1" w:styleId="ActnoChar">
    <w:name w:val="Actno Char"/>
    <w:basedOn w:val="ShortTChar"/>
    <w:link w:val="Actno"/>
    <w:rsid w:val="00A64F9C"/>
    <w:rPr>
      <w:rFonts w:eastAsia="Times New Roman" w:cs="Times New Roman"/>
      <w:b/>
      <w:sz w:val="40"/>
      <w:lang w:eastAsia="en-AU"/>
    </w:rPr>
  </w:style>
  <w:style w:type="character" w:customStyle="1" w:styleId="ActNoP1Char">
    <w:name w:val="ActNoP1 Char"/>
    <w:basedOn w:val="ActnoChar"/>
    <w:link w:val="ActNoP1"/>
    <w:rsid w:val="00A64F9C"/>
    <w:rPr>
      <w:rFonts w:eastAsia="Times New Roman" w:cs="Times New Roman"/>
      <w:b/>
      <w:sz w:val="28"/>
      <w:lang w:eastAsia="en-AU"/>
    </w:rPr>
  </w:style>
  <w:style w:type="paragraph" w:customStyle="1" w:styleId="ShortTCP">
    <w:name w:val="ShortTCP"/>
    <w:basedOn w:val="ShortT"/>
    <w:link w:val="ShortTCPChar"/>
    <w:rsid w:val="00A64F9C"/>
  </w:style>
  <w:style w:type="character" w:customStyle="1" w:styleId="ShortTCPChar">
    <w:name w:val="ShortTCP Char"/>
    <w:basedOn w:val="ShortTChar"/>
    <w:link w:val="ShortTCP"/>
    <w:rsid w:val="00A64F9C"/>
    <w:rPr>
      <w:rFonts w:eastAsia="Times New Roman" w:cs="Times New Roman"/>
      <w:b/>
      <w:sz w:val="40"/>
      <w:lang w:eastAsia="en-AU"/>
    </w:rPr>
  </w:style>
  <w:style w:type="paragraph" w:customStyle="1" w:styleId="ActNoCP">
    <w:name w:val="ActNoCP"/>
    <w:basedOn w:val="Actno"/>
    <w:link w:val="ActNoCPChar"/>
    <w:rsid w:val="00A64F9C"/>
    <w:pPr>
      <w:spacing w:before="400"/>
    </w:pPr>
  </w:style>
  <w:style w:type="character" w:customStyle="1" w:styleId="ActNoCPChar">
    <w:name w:val="ActNoCP Char"/>
    <w:basedOn w:val="ActnoChar"/>
    <w:link w:val="ActNoCP"/>
    <w:rsid w:val="00A64F9C"/>
    <w:rPr>
      <w:rFonts w:eastAsia="Times New Roman" w:cs="Times New Roman"/>
      <w:b/>
      <w:sz w:val="40"/>
      <w:lang w:eastAsia="en-AU"/>
    </w:rPr>
  </w:style>
  <w:style w:type="paragraph" w:customStyle="1" w:styleId="AssentBk">
    <w:name w:val="AssentBk"/>
    <w:basedOn w:val="Normal"/>
    <w:rsid w:val="00A64F9C"/>
    <w:pPr>
      <w:spacing w:line="240" w:lineRule="auto"/>
    </w:pPr>
    <w:rPr>
      <w:rFonts w:eastAsia="Times New Roman" w:cs="Times New Roman"/>
      <w:sz w:val="20"/>
      <w:lang w:eastAsia="en-AU"/>
    </w:rPr>
  </w:style>
  <w:style w:type="paragraph" w:customStyle="1" w:styleId="AssentDt">
    <w:name w:val="AssentDt"/>
    <w:basedOn w:val="Normal"/>
    <w:rsid w:val="00663C00"/>
    <w:pPr>
      <w:spacing w:line="240" w:lineRule="auto"/>
    </w:pPr>
    <w:rPr>
      <w:rFonts w:eastAsia="Times New Roman" w:cs="Times New Roman"/>
      <w:sz w:val="20"/>
      <w:lang w:eastAsia="en-AU"/>
    </w:rPr>
  </w:style>
  <w:style w:type="paragraph" w:customStyle="1" w:styleId="2ndRd">
    <w:name w:val="2ndRd"/>
    <w:basedOn w:val="Normal"/>
    <w:rsid w:val="00663C00"/>
    <w:pPr>
      <w:spacing w:line="240" w:lineRule="auto"/>
    </w:pPr>
    <w:rPr>
      <w:rFonts w:eastAsia="Times New Roman" w:cs="Times New Roman"/>
      <w:sz w:val="20"/>
      <w:lang w:eastAsia="en-AU"/>
    </w:rPr>
  </w:style>
  <w:style w:type="paragraph" w:customStyle="1" w:styleId="ScalePlusRef">
    <w:name w:val="ScalePlusRef"/>
    <w:basedOn w:val="Normal"/>
    <w:rsid w:val="00663C00"/>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70A49"/>
    <w:pPr>
      <w:spacing w:line="260" w:lineRule="atLeast"/>
    </w:pPr>
    <w:rPr>
      <w:sz w:val="22"/>
    </w:rPr>
  </w:style>
  <w:style w:type="paragraph" w:styleId="Heading1">
    <w:name w:val="heading 1"/>
    <w:basedOn w:val="Normal"/>
    <w:next w:val="Normal"/>
    <w:link w:val="Heading1Char"/>
    <w:uiPriority w:val="9"/>
    <w:qFormat/>
    <w:rsid w:val="00133F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33F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33F5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33F5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33F5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33F5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33F5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33F5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33F5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70A49"/>
  </w:style>
  <w:style w:type="paragraph" w:customStyle="1" w:styleId="OPCParaBase">
    <w:name w:val="OPCParaBase"/>
    <w:link w:val="OPCParaBaseChar"/>
    <w:qFormat/>
    <w:rsid w:val="00E70A49"/>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E70A49"/>
    <w:pPr>
      <w:spacing w:line="240" w:lineRule="auto"/>
    </w:pPr>
    <w:rPr>
      <w:b/>
      <w:sz w:val="40"/>
    </w:rPr>
  </w:style>
  <w:style w:type="paragraph" w:customStyle="1" w:styleId="ActHead1">
    <w:name w:val="ActHead 1"/>
    <w:aliases w:val="c"/>
    <w:basedOn w:val="OPCParaBase"/>
    <w:next w:val="Normal"/>
    <w:qFormat/>
    <w:rsid w:val="00E70A4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70A4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70A4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70A4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70A4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70A4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70A4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70A4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70A49"/>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E70A49"/>
  </w:style>
  <w:style w:type="paragraph" w:customStyle="1" w:styleId="Blocks">
    <w:name w:val="Blocks"/>
    <w:aliases w:val="bb"/>
    <w:basedOn w:val="OPCParaBase"/>
    <w:qFormat/>
    <w:rsid w:val="00E70A49"/>
    <w:pPr>
      <w:spacing w:line="240" w:lineRule="auto"/>
    </w:pPr>
    <w:rPr>
      <w:sz w:val="24"/>
    </w:rPr>
  </w:style>
  <w:style w:type="paragraph" w:customStyle="1" w:styleId="BoxText">
    <w:name w:val="BoxText"/>
    <w:aliases w:val="bt"/>
    <w:basedOn w:val="OPCParaBase"/>
    <w:qFormat/>
    <w:rsid w:val="00E70A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70A49"/>
    <w:rPr>
      <w:b/>
    </w:rPr>
  </w:style>
  <w:style w:type="paragraph" w:customStyle="1" w:styleId="BoxHeadItalic">
    <w:name w:val="BoxHeadItalic"/>
    <w:aliases w:val="bhi"/>
    <w:basedOn w:val="BoxText"/>
    <w:next w:val="BoxStep"/>
    <w:qFormat/>
    <w:rsid w:val="00E70A49"/>
    <w:rPr>
      <w:i/>
    </w:rPr>
  </w:style>
  <w:style w:type="paragraph" w:customStyle="1" w:styleId="BoxList">
    <w:name w:val="BoxList"/>
    <w:aliases w:val="bl"/>
    <w:basedOn w:val="BoxText"/>
    <w:qFormat/>
    <w:rsid w:val="00E70A49"/>
    <w:pPr>
      <w:ind w:left="1559" w:hanging="425"/>
    </w:pPr>
  </w:style>
  <w:style w:type="paragraph" w:customStyle="1" w:styleId="BoxNote">
    <w:name w:val="BoxNote"/>
    <w:aliases w:val="bn"/>
    <w:basedOn w:val="BoxText"/>
    <w:qFormat/>
    <w:rsid w:val="00E70A49"/>
    <w:pPr>
      <w:tabs>
        <w:tab w:val="left" w:pos="1985"/>
      </w:tabs>
      <w:spacing w:before="122" w:line="198" w:lineRule="exact"/>
      <w:ind w:left="2948" w:hanging="1814"/>
    </w:pPr>
    <w:rPr>
      <w:sz w:val="18"/>
    </w:rPr>
  </w:style>
  <w:style w:type="paragraph" w:customStyle="1" w:styleId="BoxPara">
    <w:name w:val="BoxPara"/>
    <w:aliases w:val="bp"/>
    <w:basedOn w:val="BoxText"/>
    <w:qFormat/>
    <w:rsid w:val="00E70A49"/>
    <w:pPr>
      <w:tabs>
        <w:tab w:val="right" w:pos="2268"/>
      </w:tabs>
      <w:ind w:left="2552" w:hanging="1418"/>
    </w:pPr>
  </w:style>
  <w:style w:type="paragraph" w:customStyle="1" w:styleId="BoxStep">
    <w:name w:val="BoxStep"/>
    <w:aliases w:val="bs"/>
    <w:basedOn w:val="BoxText"/>
    <w:qFormat/>
    <w:rsid w:val="00E70A49"/>
    <w:pPr>
      <w:ind w:left="1985" w:hanging="851"/>
    </w:pPr>
  </w:style>
  <w:style w:type="character" w:customStyle="1" w:styleId="CharAmPartNo">
    <w:name w:val="CharAmPartNo"/>
    <w:basedOn w:val="OPCCharBase"/>
    <w:uiPriority w:val="1"/>
    <w:qFormat/>
    <w:rsid w:val="00E70A49"/>
  </w:style>
  <w:style w:type="character" w:customStyle="1" w:styleId="CharAmPartText">
    <w:name w:val="CharAmPartText"/>
    <w:basedOn w:val="OPCCharBase"/>
    <w:uiPriority w:val="1"/>
    <w:qFormat/>
    <w:rsid w:val="00E70A49"/>
  </w:style>
  <w:style w:type="character" w:customStyle="1" w:styleId="CharAmSchNo">
    <w:name w:val="CharAmSchNo"/>
    <w:basedOn w:val="OPCCharBase"/>
    <w:uiPriority w:val="1"/>
    <w:qFormat/>
    <w:rsid w:val="00E70A49"/>
  </w:style>
  <w:style w:type="character" w:customStyle="1" w:styleId="CharAmSchText">
    <w:name w:val="CharAmSchText"/>
    <w:basedOn w:val="OPCCharBase"/>
    <w:uiPriority w:val="1"/>
    <w:qFormat/>
    <w:rsid w:val="00E70A49"/>
  </w:style>
  <w:style w:type="character" w:customStyle="1" w:styleId="CharBoldItalic">
    <w:name w:val="CharBoldItalic"/>
    <w:basedOn w:val="OPCCharBase"/>
    <w:uiPriority w:val="1"/>
    <w:qFormat/>
    <w:rsid w:val="00E70A49"/>
    <w:rPr>
      <w:b/>
      <w:i/>
    </w:rPr>
  </w:style>
  <w:style w:type="character" w:customStyle="1" w:styleId="CharChapNo">
    <w:name w:val="CharChapNo"/>
    <w:basedOn w:val="OPCCharBase"/>
    <w:qFormat/>
    <w:rsid w:val="00E70A49"/>
  </w:style>
  <w:style w:type="character" w:customStyle="1" w:styleId="CharChapText">
    <w:name w:val="CharChapText"/>
    <w:basedOn w:val="OPCCharBase"/>
    <w:qFormat/>
    <w:rsid w:val="00E70A49"/>
  </w:style>
  <w:style w:type="character" w:customStyle="1" w:styleId="CharDivNo">
    <w:name w:val="CharDivNo"/>
    <w:basedOn w:val="OPCCharBase"/>
    <w:qFormat/>
    <w:rsid w:val="00E70A49"/>
  </w:style>
  <w:style w:type="character" w:customStyle="1" w:styleId="CharDivText">
    <w:name w:val="CharDivText"/>
    <w:basedOn w:val="OPCCharBase"/>
    <w:qFormat/>
    <w:rsid w:val="00E70A49"/>
  </w:style>
  <w:style w:type="character" w:customStyle="1" w:styleId="CharItalic">
    <w:name w:val="CharItalic"/>
    <w:basedOn w:val="OPCCharBase"/>
    <w:uiPriority w:val="1"/>
    <w:qFormat/>
    <w:rsid w:val="00E70A49"/>
    <w:rPr>
      <w:i/>
    </w:rPr>
  </w:style>
  <w:style w:type="character" w:customStyle="1" w:styleId="CharPartNo">
    <w:name w:val="CharPartNo"/>
    <w:basedOn w:val="OPCCharBase"/>
    <w:qFormat/>
    <w:rsid w:val="00E70A49"/>
  </w:style>
  <w:style w:type="character" w:customStyle="1" w:styleId="CharPartText">
    <w:name w:val="CharPartText"/>
    <w:basedOn w:val="OPCCharBase"/>
    <w:qFormat/>
    <w:rsid w:val="00E70A49"/>
  </w:style>
  <w:style w:type="character" w:customStyle="1" w:styleId="CharSectno">
    <w:name w:val="CharSectno"/>
    <w:basedOn w:val="OPCCharBase"/>
    <w:qFormat/>
    <w:rsid w:val="00E70A49"/>
  </w:style>
  <w:style w:type="character" w:customStyle="1" w:styleId="CharSubdNo">
    <w:name w:val="CharSubdNo"/>
    <w:basedOn w:val="OPCCharBase"/>
    <w:uiPriority w:val="1"/>
    <w:qFormat/>
    <w:rsid w:val="00E70A49"/>
  </w:style>
  <w:style w:type="character" w:customStyle="1" w:styleId="CharSubdText">
    <w:name w:val="CharSubdText"/>
    <w:basedOn w:val="OPCCharBase"/>
    <w:uiPriority w:val="1"/>
    <w:qFormat/>
    <w:rsid w:val="00E70A49"/>
  </w:style>
  <w:style w:type="paragraph" w:customStyle="1" w:styleId="CTA--">
    <w:name w:val="CTA --"/>
    <w:basedOn w:val="OPCParaBase"/>
    <w:next w:val="Normal"/>
    <w:rsid w:val="00E70A49"/>
    <w:pPr>
      <w:spacing w:before="60" w:line="240" w:lineRule="atLeast"/>
      <w:ind w:left="142" w:hanging="142"/>
    </w:pPr>
    <w:rPr>
      <w:sz w:val="20"/>
    </w:rPr>
  </w:style>
  <w:style w:type="paragraph" w:customStyle="1" w:styleId="CTA-">
    <w:name w:val="CTA -"/>
    <w:basedOn w:val="OPCParaBase"/>
    <w:rsid w:val="00E70A49"/>
    <w:pPr>
      <w:spacing w:before="60" w:line="240" w:lineRule="atLeast"/>
      <w:ind w:left="85" w:hanging="85"/>
    </w:pPr>
    <w:rPr>
      <w:sz w:val="20"/>
    </w:rPr>
  </w:style>
  <w:style w:type="paragraph" w:customStyle="1" w:styleId="CTA---">
    <w:name w:val="CTA ---"/>
    <w:basedOn w:val="OPCParaBase"/>
    <w:next w:val="Normal"/>
    <w:rsid w:val="00E70A49"/>
    <w:pPr>
      <w:spacing w:before="60" w:line="240" w:lineRule="atLeast"/>
      <w:ind w:left="198" w:hanging="198"/>
    </w:pPr>
    <w:rPr>
      <w:sz w:val="20"/>
    </w:rPr>
  </w:style>
  <w:style w:type="paragraph" w:customStyle="1" w:styleId="CTA----">
    <w:name w:val="CTA ----"/>
    <w:basedOn w:val="OPCParaBase"/>
    <w:next w:val="Normal"/>
    <w:rsid w:val="00E70A49"/>
    <w:pPr>
      <w:spacing w:before="60" w:line="240" w:lineRule="atLeast"/>
      <w:ind w:left="255" w:hanging="255"/>
    </w:pPr>
    <w:rPr>
      <w:sz w:val="20"/>
    </w:rPr>
  </w:style>
  <w:style w:type="paragraph" w:customStyle="1" w:styleId="CTA1a">
    <w:name w:val="CTA 1(a)"/>
    <w:basedOn w:val="OPCParaBase"/>
    <w:rsid w:val="00E70A49"/>
    <w:pPr>
      <w:tabs>
        <w:tab w:val="right" w:pos="414"/>
      </w:tabs>
      <w:spacing w:before="40" w:line="240" w:lineRule="atLeast"/>
      <w:ind w:left="675" w:hanging="675"/>
    </w:pPr>
    <w:rPr>
      <w:sz w:val="20"/>
    </w:rPr>
  </w:style>
  <w:style w:type="paragraph" w:customStyle="1" w:styleId="CTA1ai">
    <w:name w:val="CTA 1(a)(i)"/>
    <w:basedOn w:val="OPCParaBase"/>
    <w:rsid w:val="00E70A49"/>
    <w:pPr>
      <w:tabs>
        <w:tab w:val="right" w:pos="1004"/>
      </w:tabs>
      <w:spacing w:before="40" w:line="240" w:lineRule="atLeast"/>
      <w:ind w:left="1253" w:hanging="1253"/>
    </w:pPr>
    <w:rPr>
      <w:sz w:val="20"/>
    </w:rPr>
  </w:style>
  <w:style w:type="paragraph" w:customStyle="1" w:styleId="CTA2a">
    <w:name w:val="CTA 2(a)"/>
    <w:basedOn w:val="OPCParaBase"/>
    <w:rsid w:val="00E70A49"/>
    <w:pPr>
      <w:tabs>
        <w:tab w:val="right" w:pos="482"/>
      </w:tabs>
      <w:spacing w:before="40" w:line="240" w:lineRule="atLeast"/>
      <w:ind w:left="748" w:hanging="748"/>
    </w:pPr>
    <w:rPr>
      <w:sz w:val="20"/>
    </w:rPr>
  </w:style>
  <w:style w:type="paragraph" w:customStyle="1" w:styleId="CTA2ai">
    <w:name w:val="CTA 2(a)(i)"/>
    <w:basedOn w:val="OPCParaBase"/>
    <w:rsid w:val="00E70A49"/>
    <w:pPr>
      <w:tabs>
        <w:tab w:val="right" w:pos="1089"/>
      </w:tabs>
      <w:spacing w:before="40" w:line="240" w:lineRule="atLeast"/>
      <w:ind w:left="1327" w:hanging="1327"/>
    </w:pPr>
    <w:rPr>
      <w:sz w:val="20"/>
    </w:rPr>
  </w:style>
  <w:style w:type="paragraph" w:customStyle="1" w:styleId="CTA3a">
    <w:name w:val="CTA 3(a)"/>
    <w:basedOn w:val="OPCParaBase"/>
    <w:rsid w:val="00E70A49"/>
    <w:pPr>
      <w:tabs>
        <w:tab w:val="right" w:pos="556"/>
      </w:tabs>
      <w:spacing w:before="40" w:line="240" w:lineRule="atLeast"/>
      <w:ind w:left="805" w:hanging="805"/>
    </w:pPr>
    <w:rPr>
      <w:sz w:val="20"/>
    </w:rPr>
  </w:style>
  <w:style w:type="paragraph" w:customStyle="1" w:styleId="CTA3ai">
    <w:name w:val="CTA 3(a)(i)"/>
    <w:basedOn w:val="OPCParaBase"/>
    <w:rsid w:val="00E70A49"/>
    <w:pPr>
      <w:tabs>
        <w:tab w:val="right" w:pos="1140"/>
      </w:tabs>
      <w:spacing w:before="40" w:line="240" w:lineRule="atLeast"/>
      <w:ind w:left="1361" w:hanging="1361"/>
    </w:pPr>
    <w:rPr>
      <w:sz w:val="20"/>
    </w:rPr>
  </w:style>
  <w:style w:type="paragraph" w:customStyle="1" w:styleId="CTA4a">
    <w:name w:val="CTA 4(a)"/>
    <w:basedOn w:val="OPCParaBase"/>
    <w:rsid w:val="00E70A49"/>
    <w:pPr>
      <w:tabs>
        <w:tab w:val="right" w:pos="624"/>
      </w:tabs>
      <w:spacing w:before="40" w:line="240" w:lineRule="atLeast"/>
      <w:ind w:left="873" w:hanging="873"/>
    </w:pPr>
    <w:rPr>
      <w:sz w:val="20"/>
    </w:rPr>
  </w:style>
  <w:style w:type="paragraph" w:customStyle="1" w:styleId="CTA4ai">
    <w:name w:val="CTA 4(a)(i)"/>
    <w:basedOn w:val="OPCParaBase"/>
    <w:rsid w:val="00E70A49"/>
    <w:pPr>
      <w:tabs>
        <w:tab w:val="right" w:pos="1213"/>
      </w:tabs>
      <w:spacing w:before="40" w:line="240" w:lineRule="atLeast"/>
      <w:ind w:left="1452" w:hanging="1452"/>
    </w:pPr>
    <w:rPr>
      <w:sz w:val="20"/>
    </w:rPr>
  </w:style>
  <w:style w:type="paragraph" w:customStyle="1" w:styleId="CTACAPS">
    <w:name w:val="CTA CAPS"/>
    <w:basedOn w:val="OPCParaBase"/>
    <w:rsid w:val="00E70A49"/>
    <w:pPr>
      <w:spacing w:before="60" w:line="240" w:lineRule="atLeast"/>
    </w:pPr>
    <w:rPr>
      <w:sz w:val="20"/>
    </w:rPr>
  </w:style>
  <w:style w:type="paragraph" w:customStyle="1" w:styleId="CTAright">
    <w:name w:val="CTA right"/>
    <w:basedOn w:val="OPCParaBase"/>
    <w:rsid w:val="00E70A49"/>
    <w:pPr>
      <w:spacing w:before="60" w:line="240" w:lineRule="auto"/>
      <w:jc w:val="right"/>
    </w:pPr>
    <w:rPr>
      <w:sz w:val="20"/>
    </w:rPr>
  </w:style>
  <w:style w:type="paragraph" w:customStyle="1" w:styleId="subsection">
    <w:name w:val="subsection"/>
    <w:aliases w:val="ss"/>
    <w:basedOn w:val="OPCParaBase"/>
    <w:rsid w:val="00E70A49"/>
    <w:pPr>
      <w:tabs>
        <w:tab w:val="right" w:pos="1021"/>
      </w:tabs>
      <w:spacing w:before="180" w:line="240" w:lineRule="auto"/>
      <w:ind w:left="1134" w:hanging="1134"/>
    </w:pPr>
  </w:style>
  <w:style w:type="paragraph" w:customStyle="1" w:styleId="Definition">
    <w:name w:val="Definition"/>
    <w:aliases w:val="dd"/>
    <w:basedOn w:val="OPCParaBase"/>
    <w:rsid w:val="00E70A49"/>
    <w:pPr>
      <w:spacing w:before="180" w:line="240" w:lineRule="auto"/>
      <w:ind w:left="1134"/>
    </w:pPr>
  </w:style>
  <w:style w:type="paragraph" w:customStyle="1" w:styleId="Formula">
    <w:name w:val="Formula"/>
    <w:basedOn w:val="OPCParaBase"/>
    <w:rsid w:val="00E70A49"/>
    <w:pPr>
      <w:spacing w:line="240" w:lineRule="auto"/>
      <w:ind w:left="1134"/>
    </w:pPr>
    <w:rPr>
      <w:sz w:val="20"/>
    </w:rPr>
  </w:style>
  <w:style w:type="paragraph" w:styleId="Header">
    <w:name w:val="header"/>
    <w:basedOn w:val="OPCParaBase"/>
    <w:link w:val="HeaderChar"/>
    <w:unhideWhenUsed/>
    <w:rsid w:val="00E70A4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70A49"/>
    <w:rPr>
      <w:rFonts w:eastAsia="Times New Roman" w:cs="Times New Roman"/>
      <w:sz w:val="16"/>
      <w:lang w:eastAsia="en-AU"/>
    </w:rPr>
  </w:style>
  <w:style w:type="paragraph" w:customStyle="1" w:styleId="House">
    <w:name w:val="House"/>
    <w:basedOn w:val="OPCParaBase"/>
    <w:rsid w:val="00E70A49"/>
    <w:pPr>
      <w:spacing w:line="240" w:lineRule="auto"/>
    </w:pPr>
    <w:rPr>
      <w:sz w:val="28"/>
    </w:rPr>
  </w:style>
  <w:style w:type="paragraph" w:customStyle="1" w:styleId="Item">
    <w:name w:val="Item"/>
    <w:aliases w:val="i"/>
    <w:basedOn w:val="OPCParaBase"/>
    <w:next w:val="ItemHead"/>
    <w:rsid w:val="00E70A49"/>
    <w:pPr>
      <w:keepLines/>
      <w:spacing w:before="80" w:line="240" w:lineRule="auto"/>
      <w:ind w:left="709"/>
    </w:pPr>
  </w:style>
  <w:style w:type="paragraph" w:customStyle="1" w:styleId="ItemHead">
    <w:name w:val="ItemHead"/>
    <w:aliases w:val="ih"/>
    <w:basedOn w:val="OPCParaBase"/>
    <w:next w:val="Item"/>
    <w:rsid w:val="00E70A49"/>
    <w:pPr>
      <w:keepLines/>
      <w:spacing w:before="220" w:line="240" w:lineRule="auto"/>
      <w:ind w:left="709" w:hanging="709"/>
    </w:pPr>
    <w:rPr>
      <w:rFonts w:ascii="Arial" w:hAnsi="Arial"/>
      <w:b/>
      <w:kern w:val="28"/>
      <w:sz w:val="24"/>
    </w:rPr>
  </w:style>
  <w:style w:type="paragraph" w:customStyle="1" w:styleId="LongT">
    <w:name w:val="LongT"/>
    <w:basedOn w:val="OPCParaBase"/>
    <w:rsid w:val="00E70A49"/>
    <w:pPr>
      <w:spacing w:line="240" w:lineRule="auto"/>
    </w:pPr>
    <w:rPr>
      <w:b/>
      <w:sz w:val="32"/>
    </w:rPr>
  </w:style>
  <w:style w:type="paragraph" w:customStyle="1" w:styleId="notedraft">
    <w:name w:val="note(draft)"/>
    <w:aliases w:val="nd"/>
    <w:basedOn w:val="OPCParaBase"/>
    <w:rsid w:val="00E70A49"/>
    <w:pPr>
      <w:spacing w:before="240" w:line="240" w:lineRule="auto"/>
      <w:ind w:left="284" w:hanging="284"/>
    </w:pPr>
    <w:rPr>
      <w:i/>
      <w:sz w:val="24"/>
    </w:rPr>
  </w:style>
  <w:style w:type="paragraph" w:customStyle="1" w:styleId="notemargin">
    <w:name w:val="note(margin)"/>
    <w:aliases w:val="nm"/>
    <w:basedOn w:val="OPCParaBase"/>
    <w:rsid w:val="00E70A49"/>
    <w:pPr>
      <w:tabs>
        <w:tab w:val="left" w:pos="709"/>
      </w:tabs>
      <w:spacing w:before="122" w:line="198" w:lineRule="exact"/>
      <w:ind w:left="709" w:hanging="709"/>
    </w:pPr>
    <w:rPr>
      <w:sz w:val="18"/>
    </w:rPr>
  </w:style>
  <w:style w:type="paragraph" w:customStyle="1" w:styleId="noteToPara">
    <w:name w:val="noteToPara"/>
    <w:aliases w:val="ntp"/>
    <w:basedOn w:val="OPCParaBase"/>
    <w:rsid w:val="00E70A49"/>
    <w:pPr>
      <w:spacing w:before="122" w:line="198" w:lineRule="exact"/>
      <w:ind w:left="2353" w:hanging="709"/>
    </w:pPr>
    <w:rPr>
      <w:sz w:val="18"/>
    </w:rPr>
  </w:style>
  <w:style w:type="paragraph" w:customStyle="1" w:styleId="noteParlAmend">
    <w:name w:val="note(ParlAmend)"/>
    <w:aliases w:val="npp"/>
    <w:basedOn w:val="OPCParaBase"/>
    <w:next w:val="ParlAmend"/>
    <w:rsid w:val="00E70A49"/>
    <w:pPr>
      <w:spacing w:line="240" w:lineRule="auto"/>
      <w:jc w:val="right"/>
    </w:pPr>
    <w:rPr>
      <w:rFonts w:ascii="Arial" w:hAnsi="Arial"/>
      <w:b/>
      <w:i/>
    </w:rPr>
  </w:style>
  <w:style w:type="paragraph" w:customStyle="1" w:styleId="Page1">
    <w:name w:val="Page1"/>
    <w:basedOn w:val="OPCParaBase"/>
    <w:rsid w:val="00E70A49"/>
    <w:pPr>
      <w:spacing w:before="400" w:line="240" w:lineRule="auto"/>
    </w:pPr>
    <w:rPr>
      <w:b/>
      <w:sz w:val="32"/>
    </w:rPr>
  </w:style>
  <w:style w:type="paragraph" w:customStyle="1" w:styleId="PageBreak">
    <w:name w:val="PageBreak"/>
    <w:aliases w:val="pb"/>
    <w:basedOn w:val="OPCParaBase"/>
    <w:rsid w:val="00E70A49"/>
    <w:pPr>
      <w:spacing w:line="240" w:lineRule="auto"/>
    </w:pPr>
    <w:rPr>
      <w:sz w:val="20"/>
    </w:rPr>
  </w:style>
  <w:style w:type="paragraph" w:customStyle="1" w:styleId="paragraphsub">
    <w:name w:val="paragraph(sub)"/>
    <w:aliases w:val="aa"/>
    <w:basedOn w:val="OPCParaBase"/>
    <w:rsid w:val="00E70A49"/>
    <w:pPr>
      <w:tabs>
        <w:tab w:val="right" w:pos="1985"/>
      </w:tabs>
      <w:spacing w:before="40" w:line="240" w:lineRule="auto"/>
      <w:ind w:left="2098" w:hanging="2098"/>
    </w:pPr>
  </w:style>
  <w:style w:type="paragraph" w:customStyle="1" w:styleId="paragraphsub-sub">
    <w:name w:val="paragraph(sub-sub)"/>
    <w:aliases w:val="aaa"/>
    <w:basedOn w:val="OPCParaBase"/>
    <w:rsid w:val="00E70A49"/>
    <w:pPr>
      <w:tabs>
        <w:tab w:val="right" w:pos="2722"/>
      </w:tabs>
      <w:spacing w:before="40" w:line="240" w:lineRule="auto"/>
      <w:ind w:left="2835" w:hanging="2835"/>
    </w:pPr>
  </w:style>
  <w:style w:type="paragraph" w:customStyle="1" w:styleId="paragraph">
    <w:name w:val="paragraph"/>
    <w:aliases w:val="a"/>
    <w:basedOn w:val="OPCParaBase"/>
    <w:rsid w:val="00E70A49"/>
    <w:pPr>
      <w:tabs>
        <w:tab w:val="right" w:pos="1531"/>
      </w:tabs>
      <w:spacing w:before="40" w:line="240" w:lineRule="auto"/>
      <w:ind w:left="1644" w:hanging="1644"/>
    </w:pPr>
  </w:style>
  <w:style w:type="paragraph" w:customStyle="1" w:styleId="ParlAmend">
    <w:name w:val="ParlAmend"/>
    <w:aliases w:val="pp"/>
    <w:basedOn w:val="OPCParaBase"/>
    <w:rsid w:val="00E70A49"/>
    <w:pPr>
      <w:spacing w:before="240" w:line="240" w:lineRule="atLeast"/>
      <w:ind w:hanging="567"/>
    </w:pPr>
    <w:rPr>
      <w:sz w:val="24"/>
    </w:rPr>
  </w:style>
  <w:style w:type="paragraph" w:customStyle="1" w:styleId="Penalty">
    <w:name w:val="Penalty"/>
    <w:basedOn w:val="OPCParaBase"/>
    <w:rsid w:val="00E70A49"/>
    <w:pPr>
      <w:tabs>
        <w:tab w:val="left" w:pos="2977"/>
      </w:tabs>
      <w:spacing w:before="180" w:line="240" w:lineRule="auto"/>
      <w:ind w:left="1985" w:hanging="851"/>
    </w:pPr>
  </w:style>
  <w:style w:type="paragraph" w:customStyle="1" w:styleId="Portfolio">
    <w:name w:val="Portfolio"/>
    <w:basedOn w:val="OPCParaBase"/>
    <w:rsid w:val="00E70A49"/>
    <w:pPr>
      <w:spacing w:line="240" w:lineRule="auto"/>
    </w:pPr>
    <w:rPr>
      <w:i/>
      <w:sz w:val="20"/>
    </w:rPr>
  </w:style>
  <w:style w:type="paragraph" w:customStyle="1" w:styleId="Preamble">
    <w:name w:val="Preamble"/>
    <w:basedOn w:val="OPCParaBase"/>
    <w:next w:val="Normal"/>
    <w:rsid w:val="00E70A4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70A49"/>
    <w:pPr>
      <w:spacing w:line="240" w:lineRule="auto"/>
    </w:pPr>
    <w:rPr>
      <w:i/>
      <w:sz w:val="20"/>
    </w:rPr>
  </w:style>
  <w:style w:type="paragraph" w:customStyle="1" w:styleId="Session">
    <w:name w:val="Session"/>
    <w:basedOn w:val="OPCParaBase"/>
    <w:rsid w:val="00E70A49"/>
    <w:pPr>
      <w:spacing w:line="240" w:lineRule="auto"/>
    </w:pPr>
    <w:rPr>
      <w:sz w:val="28"/>
    </w:rPr>
  </w:style>
  <w:style w:type="paragraph" w:customStyle="1" w:styleId="Sponsor">
    <w:name w:val="Sponsor"/>
    <w:basedOn w:val="OPCParaBase"/>
    <w:rsid w:val="00E70A49"/>
    <w:pPr>
      <w:spacing w:line="240" w:lineRule="auto"/>
    </w:pPr>
    <w:rPr>
      <w:i/>
    </w:rPr>
  </w:style>
  <w:style w:type="paragraph" w:customStyle="1" w:styleId="Subitem">
    <w:name w:val="Subitem"/>
    <w:aliases w:val="iss"/>
    <w:basedOn w:val="OPCParaBase"/>
    <w:rsid w:val="00E70A49"/>
    <w:pPr>
      <w:spacing w:before="180" w:line="240" w:lineRule="auto"/>
      <w:ind w:left="709" w:hanging="709"/>
    </w:pPr>
  </w:style>
  <w:style w:type="paragraph" w:customStyle="1" w:styleId="SubitemHead">
    <w:name w:val="SubitemHead"/>
    <w:aliases w:val="issh"/>
    <w:basedOn w:val="OPCParaBase"/>
    <w:rsid w:val="00E70A4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70A49"/>
    <w:pPr>
      <w:spacing w:before="40" w:line="240" w:lineRule="auto"/>
      <w:ind w:left="1134"/>
    </w:pPr>
  </w:style>
  <w:style w:type="paragraph" w:customStyle="1" w:styleId="SubsectionHead">
    <w:name w:val="SubsectionHead"/>
    <w:aliases w:val="ssh"/>
    <w:basedOn w:val="OPCParaBase"/>
    <w:next w:val="subsection"/>
    <w:rsid w:val="00E70A49"/>
    <w:pPr>
      <w:keepNext/>
      <w:keepLines/>
      <w:spacing w:before="240" w:line="240" w:lineRule="auto"/>
      <w:ind w:left="1134"/>
    </w:pPr>
    <w:rPr>
      <w:i/>
    </w:rPr>
  </w:style>
  <w:style w:type="paragraph" w:customStyle="1" w:styleId="Tablea">
    <w:name w:val="Table(a)"/>
    <w:aliases w:val="ta"/>
    <w:basedOn w:val="OPCParaBase"/>
    <w:rsid w:val="00E70A49"/>
    <w:pPr>
      <w:spacing w:before="60" w:line="240" w:lineRule="auto"/>
      <w:ind w:left="284" w:hanging="284"/>
    </w:pPr>
    <w:rPr>
      <w:sz w:val="20"/>
    </w:rPr>
  </w:style>
  <w:style w:type="paragraph" w:customStyle="1" w:styleId="TableAA">
    <w:name w:val="Table(AA)"/>
    <w:aliases w:val="taaa"/>
    <w:basedOn w:val="OPCParaBase"/>
    <w:rsid w:val="00E70A4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70A4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70A49"/>
    <w:pPr>
      <w:spacing w:before="60" w:line="240" w:lineRule="atLeast"/>
    </w:pPr>
    <w:rPr>
      <w:sz w:val="20"/>
    </w:rPr>
  </w:style>
  <w:style w:type="paragraph" w:customStyle="1" w:styleId="TLPBoxTextnote">
    <w:name w:val="TLPBoxText(note"/>
    <w:aliases w:val="right)"/>
    <w:basedOn w:val="OPCParaBase"/>
    <w:rsid w:val="00E70A4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70A4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70A49"/>
    <w:pPr>
      <w:spacing w:before="122" w:line="198" w:lineRule="exact"/>
      <w:ind w:left="1985" w:hanging="851"/>
      <w:jc w:val="right"/>
    </w:pPr>
    <w:rPr>
      <w:sz w:val="18"/>
    </w:rPr>
  </w:style>
  <w:style w:type="paragraph" w:customStyle="1" w:styleId="TLPTableBullet">
    <w:name w:val="TLPTableBullet"/>
    <w:aliases w:val="ttb"/>
    <w:basedOn w:val="OPCParaBase"/>
    <w:rsid w:val="00E70A49"/>
    <w:pPr>
      <w:spacing w:line="240" w:lineRule="exact"/>
      <w:ind w:left="284" w:hanging="284"/>
    </w:pPr>
    <w:rPr>
      <w:sz w:val="20"/>
    </w:rPr>
  </w:style>
  <w:style w:type="paragraph" w:styleId="TOC1">
    <w:name w:val="toc 1"/>
    <w:basedOn w:val="OPCParaBase"/>
    <w:next w:val="Normal"/>
    <w:uiPriority w:val="39"/>
    <w:semiHidden/>
    <w:unhideWhenUsed/>
    <w:rsid w:val="00E70A4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70A4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E70A4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E70A4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70A4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E70A4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70A4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70A4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E70A4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70A49"/>
    <w:pPr>
      <w:keepLines/>
      <w:spacing w:before="240" w:after="120" w:line="240" w:lineRule="auto"/>
      <w:ind w:left="794"/>
    </w:pPr>
    <w:rPr>
      <w:b/>
      <w:kern w:val="28"/>
      <w:sz w:val="20"/>
    </w:rPr>
  </w:style>
  <w:style w:type="paragraph" w:customStyle="1" w:styleId="TofSectsHeading">
    <w:name w:val="TofSects(Heading)"/>
    <w:basedOn w:val="OPCParaBase"/>
    <w:rsid w:val="00E70A49"/>
    <w:pPr>
      <w:spacing w:before="240" w:after="120" w:line="240" w:lineRule="auto"/>
    </w:pPr>
    <w:rPr>
      <w:b/>
      <w:sz w:val="24"/>
    </w:rPr>
  </w:style>
  <w:style w:type="paragraph" w:customStyle="1" w:styleId="TofSectsSection">
    <w:name w:val="TofSects(Section)"/>
    <w:basedOn w:val="OPCParaBase"/>
    <w:rsid w:val="00E70A49"/>
    <w:pPr>
      <w:keepLines/>
      <w:spacing w:before="40" w:line="240" w:lineRule="auto"/>
      <w:ind w:left="1588" w:hanging="794"/>
    </w:pPr>
    <w:rPr>
      <w:kern w:val="28"/>
      <w:sz w:val="18"/>
    </w:rPr>
  </w:style>
  <w:style w:type="paragraph" w:customStyle="1" w:styleId="TofSectsSubdiv">
    <w:name w:val="TofSects(Subdiv)"/>
    <w:basedOn w:val="OPCParaBase"/>
    <w:rsid w:val="00E70A49"/>
    <w:pPr>
      <w:keepLines/>
      <w:spacing w:before="80" w:line="240" w:lineRule="auto"/>
      <w:ind w:left="1588" w:hanging="794"/>
    </w:pPr>
    <w:rPr>
      <w:kern w:val="28"/>
    </w:rPr>
  </w:style>
  <w:style w:type="paragraph" w:customStyle="1" w:styleId="WRStyle">
    <w:name w:val="WR Style"/>
    <w:aliases w:val="WR"/>
    <w:basedOn w:val="OPCParaBase"/>
    <w:rsid w:val="00E70A49"/>
    <w:pPr>
      <w:spacing w:before="240" w:line="240" w:lineRule="auto"/>
      <w:ind w:left="284" w:hanging="284"/>
    </w:pPr>
    <w:rPr>
      <w:b/>
      <w:i/>
      <w:kern w:val="28"/>
      <w:sz w:val="24"/>
    </w:rPr>
  </w:style>
  <w:style w:type="paragraph" w:customStyle="1" w:styleId="notepara">
    <w:name w:val="note(para)"/>
    <w:aliases w:val="na"/>
    <w:basedOn w:val="OPCParaBase"/>
    <w:rsid w:val="00E70A49"/>
    <w:pPr>
      <w:spacing w:before="40" w:line="198" w:lineRule="exact"/>
      <w:ind w:left="2354" w:hanging="369"/>
    </w:pPr>
    <w:rPr>
      <w:sz w:val="18"/>
    </w:rPr>
  </w:style>
  <w:style w:type="paragraph" w:styleId="Footer">
    <w:name w:val="footer"/>
    <w:link w:val="FooterChar"/>
    <w:rsid w:val="00E70A4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70A49"/>
    <w:rPr>
      <w:rFonts w:eastAsia="Times New Roman" w:cs="Times New Roman"/>
      <w:sz w:val="22"/>
      <w:szCs w:val="24"/>
      <w:lang w:eastAsia="en-AU"/>
    </w:rPr>
  </w:style>
  <w:style w:type="character" w:styleId="LineNumber">
    <w:name w:val="line number"/>
    <w:basedOn w:val="OPCCharBase"/>
    <w:uiPriority w:val="99"/>
    <w:semiHidden/>
    <w:unhideWhenUsed/>
    <w:rsid w:val="00E70A49"/>
    <w:rPr>
      <w:sz w:val="16"/>
    </w:rPr>
  </w:style>
  <w:style w:type="table" w:customStyle="1" w:styleId="CFlag">
    <w:name w:val="CFlag"/>
    <w:basedOn w:val="TableNormal"/>
    <w:uiPriority w:val="99"/>
    <w:rsid w:val="00E70A49"/>
    <w:rPr>
      <w:rFonts w:eastAsia="Times New Roman" w:cs="Times New Roman"/>
      <w:lang w:eastAsia="en-AU"/>
    </w:rPr>
    <w:tblPr/>
  </w:style>
  <w:style w:type="paragraph" w:customStyle="1" w:styleId="SignCoverPageEnd">
    <w:name w:val="SignCoverPageEnd"/>
    <w:basedOn w:val="OPCParaBase"/>
    <w:next w:val="Normal"/>
    <w:rsid w:val="00E70A4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70A49"/>
    <w:pPr>
      <w:pBdr>
        <w:top w:val="single" w:sz="4" w:space="1" w:color="auto"/>
      </w:pBdr>
      <w:spacing w:before="360"/>
      <w:ind w:right="397"/>
      <w:jc w:val="both"/>
    </w:pPr>
  </w:style>
  <w:style w:type="paragraph" w:customStyle="1" w:styleId="CompiledActNo">
    <w:name w:val="CompiledActNo"/>
    <w:basedOn w:val="OPCParaBase"/>
    <w:next w:val="Normal"/>
    <w:rsid w:val="00E70A49"/>
    <w:rPr>
      <w:b/>
      <w:sz w:val="24"/>
      <w:szCs w:val="24"/>
    </w:rPr>
  </w:style>
  <w:style w:type="paragraph" w:customStyle="1" w:styleId="ENotesText">
    <w:name w:val="ENotesText"/>
    <w:aliases w:val="Ent"/>
    <w:basedOn w:val="OPCParaBase"/>
    <w:next w:val="Normal"/>
    <w:rsid w:val="00E70A49"/>
    <w:pPr>
      <w:spacing w:before="120"/>
    </w:pPr>
  </w:style>
  <w:style w:type="paragraph" w:customStyle="1" w:styleId="CompiledMadeUnder">
    <w:name w:val="CompiledMadeUnder"/>
    <w:basedOn w:val="OPCParaBase"/>
    <w:next w:val="Normal"/>
    <w:rsid w:val="00E70A49"/>
    <w:rPr>
      <w:i/>
      <w:sz w:val="24"/>
      <w:szCs w:val="24"/>
    </w:rPr>
  </w:style>
  <w:style w:type="paragraph" w:customStyle="1" w:styleId="Paragraphsub-sub-sub">
    <w:name w:val="Paragraph(sub-sub-sub)"/>
    <w:aliases w:val="aaaa"/>
    <w:basedOn w:val="OPCParaBase"/>
    <w:rsid w:val="00E70A4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70A4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70A4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70A4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70A4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70A49"/>
    <w:pPr>
      <w:spacing w:before="60" w:line="240" w:lineRule="auto"/>
    </w:pPr>
    <w:rPr>
      <w:rFonts w:cs="Arial"/>
      <w:sz w:val="20"/>
      <w:szCs w:val="22"/>
    </w:rPr>
  </w:style>
  <w:style w:type="paragraph" w:customStyle="1" w:styleId="TableHeading">
    <w:name w:val="TableHeading"/>
    <w:aliases w:val="th"/>
    <w:basedOn w:val="OPCParaBase"/>
    <w:next w:val="Tabletext"/>
    <w:rsid w:val="00E70A49"/>
    <w:pPr>
      <w:keepNext/>
      <w:spacing w:before="60" w:line="240" w:lineRule="atLeast"/>
    </w:pPr>
    <w:rPr>
      <w:b/>
      <w:sz w:val="20"/>
    </w:rPr>
  </w:style>
  <w:style w:type="paragraph" w:customStyle="1" w:styleId="NoteToSubpara">
    <w:name w:val="NoteToSubpara"/>
    <w:aliases w:val="nts"/>
    <w:basedOn w:val="OPCParaBase"/>
    <w:rsid w:val="00E70A49"/>
    <w:pPr>
      <w:spacing w:before="40" w:line="198" w:lineRule="exact"/>
      <w:ind w:left="2835" w:hanging="709"/>
    </w:pPr>
    <w:rPr>
      <w:sz w:val="18"/>
    </w:rPr>
  </w:style>
  <w:style w:type="paragraph" w:customStyle="1" w:styleId="ENoteTableHeading">
    <w:name w:val="ENoteTableHeading"/>
    <w:aliases w:val="enth"/>
    <w:basedOn w:val="OPCParaBase"/>
    <w:rsid w:val="00E70A49"/>
    <w:pPr>
      <w:keepNext/>
      <w:spacing w:before="60" w:line="240" w:lineRule="atLeast"/>
    </w:pPr>
    <w:rPr>
      <w:rFonts w:ascii="Arial" w:hAnsi="Arial"/>
      <w:b/>
      <w:sz w:val="16"/>
    </w:rPr>
  </w:style>
  <w:style w:type="paragraph" w:customStyle="1" w:styleId="ENoteTableText">
    <w:name w:val="ENoteTableText"/>
    <w:aliases w:val="entt"/>
    <w:basedOn w:val="OPCParaBase"/>
    <w:rsid w:val="00E70A49"/>
    <w:pPr>
      <w:spacing w:before="60" w:line="240" w:lineRule="atLeast"/>
    </w:pPr>
    <w:rPr>
      <w:sz w:val="16"/>
    </w:rPr>
  </w:style>
  <w:style w:type="paragraph" w:customStyle="1" w:styleId="ENoteTTi">
    <w:name w:val="ENoteTTi"/>
    <w:aliases w:val="entti"/>
    <w:basedOn w:val="OPCParaBase"/>
    <w:rsid w:val="00E70A49"/>
    <w:pPr>
      <w:keepNext/>
      <w:spacing w:before="60" w:line="240" w:lineRule="atLeast"/>
      <w:ind w:left="170"/>
    </w:pPr>
    <w:rPr>
      <w:sz w:val="16"/>
    </w:rPr>
  </w:style>
  <w:style w:type="paragraph" w:customStyle="1" w:styleId="ENoteTTIndentHeading">
    <w:name w:val="ENoteTTIndentHeading"/>
    <w:aliases w:val="enTTHi"/>
    <w:basedOn w:val="OPCParaBase"/>
    <w:rsid w:val="00E70A49"/>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E70A49"/>
    <w:pPr>
      <w:spacing w:before="120"/>
      <w:outlineLvl w:val="1"/>
    </w:pPr>
    <w:rPr>
      <w:b/>
      <w:sz w:val="28"/>
      <w:szCs w:val="28"/>
    </w:rPr>
  </w:style>
  <w:style w:type="paragraph" w:customStyle="1" w:styleId="ENotesHeading2">
    <w:name w:val="ENotesHeading 2"/>
    <w:aliases w:val="Enh2"/>
    <w:basedOn w:val="OPCParaBase"/>
    <w:next w:val="Normal"/>
    <w:rsid w:val="00E70A49"/>
    <w:pPr>
      <w:spacing w:before="120" w:after="120"/>
      <w:outlineLvl w:val="2"/>
    </w:pPr>
    <w:rPr>
      <w:b/>
      <w:sz w:val="24"/>
      <w:szCs w:val="28"/>
    </w:rPr>
  </w:style>
  <w:style w:type="paragraph" w:customStyle="1" w:styleId="MadeunderText">
    <w:name w:val="MadeunderText"/>
    <w:basedOn w:val="OPCParaBase"/>
    <w:next w:val="CompiledMadeUnder"/>
    <w:rsid w:val="00E70A49"/>
    <w:pPr>
      <w:spacing w:before="240"/>
    </w:pPr>
    <w:rPr>
      <w:sz w:val="24"/>
      <w:szCs w:val="24"/>
    </w:rPr>
  </w:style>
  <w:style w:type="paragraph" w:customStyle="1" w:styleId="ENotesHeading3">
    <w:name w:val="ENotesHeading 3"/>
    <w:aliases w:val="Enh3"/>
    <w:basedOn w:val="OPCParaBase"/>
    <w:next w:val="Normal"/>
    <w:rsid w:val="00E70A49"/>
    <w:pPr>
      <w:keepNext/>
      <w:spacing w:before="120" w:line="240" w:lineRule="auto"/>
      <w:outlineLvl w:val="4"/>
    </w:pPr>
    <w:rPr>
      <w:b/>
      <w:szCs w:val="24"/>
    </w:rPr>
  </w:style>
  <w:style w:type="character" w:customStyle="1" w:styleId="CharSubPartNoCASA">
    <w:name w:val="CharSubPartNo(CASA)"/>
    <w:basedOn w:val="OPCCharBase"/>
    <w:uiPriority w:val="1"/>
    <w:rsid w:val="00E70A49"/>
  </w:style>
  <w:style w:type="character" w:customStyle="1" w:styleId="CharSubPartTextCASA">
    <w:name w:val="CharSubPartText(CASA)"/>
    <w:basedOn w:val="OPCCharBase"/>
    <w:uiPriority w:val="1"/>
    <w:rsid w:val="00E70A49"/>
  </w:style>
  <w:style w:type="paragraph" w:customStyle="1" w:styleId="SubPartCASA">
    <w:name w:val="SubPart(CASA)"/>
    <w:aliases w:val="csp"/>
    <w:basedOn w:val="OPCParaBase"/>
    <w:next w:val="ActHead3"/>
    <w:rsid w:val="00E70A49"/>
    <w:pPr>
      <w:keepNext/>
      <w:keepLines/>
      <w:spacing w:before="280"/>
      <w:outlineLvl w:val="1"/>
    </w:pPr>
    <w:rPr>
      <w:b/>
      <w:kern w:val="28"/>
      <w:sz w:val="32"/>
    </w:rPr>
  </w:style>
  <w:style w:type="paragraph" w:customStyle="1" w:styleId="ENoteTTIndentHeadingSub">
    <w:name w:val="ENoteTTIndentHeadingSub"/>
    <w:aliases w:val="enTTHis"/>
    <w:basedOn w:val="OPCParaBase"/>
    <w:rsid w:val="00E70A49"/>
    <w:pPr>
      <w:keepNext/>
      <w:spacing w:before="60" w:line="240" w:lineRule="atLeast"/>
      <w:ind w:left="340"/>
    </w:pPr>
    <w:rPr>
      <w:b/>
      <w:sz w:val="16"/>
    </w:rPr>
  </w:style>
  <w:style w:type="paragraph" w:customStyle="1" w:styleId="ENoteTTiSub">
    <w:name w:val="ENoteTTiSub"/>
    <w:aliases w:val="enttis"/>
    <w:basedOn w:val="OPCParaBase"/>
    <w:rsid w:val="00E70A49"/>
    <w:pPr>
      <w:keepNext/>
      <w:spacing w:before="60" w:line="240" w:lineRule="atLeast"/>
      <w:ind w:left="340"/>
    </w:pPr>
    <w:rPr>
      <w:sz w:val="16"/>
    </w:rPr>
  </w:style>
  <w:style w:type="paragraph" w:customStyle="1" w:styleId="SubDivisionMigration">
    <w:name w:val="SubDivisionMigration"/>
    <w:aliases w:val="sdm"/>
    <w:basedOn w:val="OPCParaBase"/>
    <w:rsid w:val="00E70A4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70A49"/>
    <w:pPr>
      <w:keepNext/>
      <w:keepLines/>
      <w:spacing w:before="240" w:line="240" w:lineRule="auto"/>
      <w:ind w:left="1134" w:hanging="1134"/>
    </w:pPr>
    <w:rPr>
      <w:b/>
      <w:sz w:val="28"/>
    </w:rPr>
  </w:style>
  <w:style w:type="table" w:styleId="TableGrid">
    <w:name w:val="Table Grid"/>
    <w:basedOn w:val="TableNormal"/>
    <w:uiPriority w:val="59"/>
    <w:rsid w:val="00E70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E70A49"/>
    <w:pPr>
      <w:spacing w:before="122" w:line="240" w:lineRule="auto"/>
      <w:ind w:left="1985" w:hanging="851"/>
    </w:pPr>
    <w:rPr>
      <w:sz w:val="18"/>
    </w:rPr>
  </w:style>
  <w:style w:type="paragraph" w:customStyle="1" w:styleId="FreeForm">
    <w:name w:val="FreeForm"/>
    <w:rsid w:val="008422C3"/>
    <w:rPr>
      <w:rFonts w:ascii="Arial" w:hAnsi="Arial"/>
      <w:sz w:val="22"/>
    </w:rPr>
  </w:style>
  <w:style w:type="paragraph" w:customStyle="1" w:styleId="SOText">
    <w:name w:val="SO Text"/>
    <w:aliases w:val="sot"/>
    <w:link w:val="SOTextChar"/>
    <w:rsid w:val="00E70A4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70A49"/>
    <w:rPr>
      <w:sz w:val="22"/>
    </w:rPr>
  </w:style>
  <w:style w:type="paragraph" w:customStyle="1" w:styleId="SOTextNote">
    <w:name w:val="SO TextNote"/>
    <w:aliases w:val="sont"/>
    <w:basedOn w:val="SOText"/>
    <w:qFormat/>
    <w:rsid w:val="00E70A49"/>
    <w:pPr>
      <w:spacing w:before="122" w:line="198" w:lineRule="exact"/>
      <w:ind w:left="1843" w:hanging="709"/>
    </w:pPr>
    <w:rPr>
      <w:sz w:val="18"/>
    </w:rPr>
  </w:style>
  <w:style w:type="paragraph" w:customStyle="1" w:styleId="SOPara">
    <w:name w:val="SO Para"/>
    <w:aliases w:val="soa"/>
    <w:basedOn w:val="SOText"/>
    <w:link w:val="SOParaChar"/>
    <w:qFormat/>
    <w:rsid w:val="00E70A49"/>
    <w:pPr>
      <w:tabs>
        <w:tab w:val="right" w:pos="1786"/>
      </w:tabs>
      <w:spacing w:before="40"/>
      <w:ind w:left="2070" w:hanging="936"/>
    </w:pPr>
  </w:style>
  <w:style w:type="character" w:customStyle="1" w:styleId="SOParaChar">
    <w:name w:val="SO Para Char"/>
    <w:aliases w:val="soa Char"/>
    <w:basedOn w:val="DefaultParagraphFont"/>
    <w:link w:val="SOPara"/>
    <w:rsid w:val="00E70A49"/>
    <w:rPr>
      <w:sz w:val="22"/>
    </w:rPr>
  </w:style>
  <w:style w:type="paragraph" w:customStyle="1" w:styleId="SOBullet">
    <w:name w:val="SO Bullet"/>
    <w:aliases w:val="sotb"/>
    <w:basedOn w:val="Normal"/>
    <w:link w:val="SOBulletChar"/>
    <w:qFormat/>
    <w:rsid w:val="00E70A49"/>
    <w:pPr>
      <w:pBdr>
        <w:top w:val="single" w:sz="6" w:space="5" w:color="auto"/>
        <w:left w:val="single" w:sz="6" w:space="5" w:color="auto"/>
        <w:bottom w:val="single" w:sz="6" w:space="5" w:color="auto"/>
        <w:right w:val="single" w:sz="6" w:space="5" w:color="auto"/>
      </w:pBdr>
      <w:spacing w:before="240" w:line="240" w:lineRule="auto"/>
      <w:ind w:left="1559" w:hanging="425"/>
    </w:pPr>
  </w:style>
  <w:style w:type="character" w:customStyle="1" w:styleId="SOBulletChar">
    <w:name w:val="SO Bullet Char"/>
    <w:aliases w:val="sotb Char"/>
    <w:basedOn w:val="DefaultParagraphFont"/>
    <w:link w:val="SOBullet"/>
    <w:rsid w:val="00E70A49"/>
    <w:rPr>
      <w:sz w:val="22"/>
    </w:rPr>
  </w:style>
  <w:style w:type="paragraph" w:customStyle="1" w:styleId="SOBulletNote">
    <w:name w:val="SO BulletNote"/>
    <w:aliases w:val="sonb"/>
    <w:basedOn w:val="SOTextNote"/>
    <w:link w:val="SOBulletNoteChar"/>
    <w:qFormat/>
    <w:rsid w:val="00E70A49"/>
    <w:pPr>
      <w:tabs>
        <w:tab w:val="left" w:pos="1560"/>
      </w:tabs>
      <w:ind w:left="2268" w:hanging="1134"/>
    </w:pPr>
  </w:style>
  <w:style w:type="character" w:customStyle="1" w:styleId="SOBulletNoteChar">
    <w:name w:val="SO BulletNote Char"/>
    <w:aliases w:val="sonb Char"/>
    <w:basedOn w:val="DefaultParagraphFont"/>
    <w:link w:val="SOBulletNote"/>
    <w:rsid w:val="00E70A49"/>
    <w:rPr>
      <w:sz w:val="18"/>
    </w:rPr>
  </w:style>
  <w:style w:type="paragraph" w:customStyle="1" w:styleId="FileName">
    <w:name w:val="FileName"/>
    <w:basedOn w:val="Normal"/>
    <w:rsid w:val="00E70A49"/>
  </w:style>
  <w:style w:type="paragraph" w:customStyle="1" w:styleId="SOHeadBold">
    <w:name w:val="SO HeadBold"/>
    <w:aliases w:val="sohb"/>
    <w:basedOn w:val="SOText"/>
    <w:next w:val="SOText"/>
    <w:link w:val="SOHeadBoldChar"/>
    <w:qFormat/>
    <w:rsid w:val="00E70A49"/>
    <w:rPr>
      <w:b/>
    </w:rPr>
  </w:style>
  <w:style w:type="character" w:customStyle="1" w:styleId="SOHeadBoldChar">
    <w:name w:val="SO HeadBold Char"/>
    <w:aliases w:val="sohb Char"/>
    <w:basedOn w:val="DefaultParagraphFont"/>
    <w:link w:val="SOHeadBold"/>
    <w:rsid w:val="00E70A49"/>
    <w:rPr>
      <w:b/>
      <w:sz w:val="22"/>
    </w:rPr>
  </w:style>
  <w:style w:type="paragraph" w:customStyle="1" w:styleId="SOHeadItalic">
    <w:name w:val="SO HeadItalic"/>
    <w:aliases w:val="sohi"/>
    <w:basedOn w:val="SOText"/>
    <w:next w:val="SOText"/>
    <w:link w:val="SOHeadItalicChar"/>
    <w:qFormat/>
    <w:rsid w:val="00E70A49"/>
    <w:rPr>
      <w:i/>
    </w:rPr>
  </w:style>
  <w:style w:type="character" w:customStyle="1" w:styleId="SOHeadItalicChar">
    <w:name w:val="SO HeadItalic Char"/>
    <w:aliases w:val="sohi Char"/>
    <w:basedOn w:val="DefaultParagraphFont"/>
    <w:link w:val="SOHeadItalic"/>
    <w:rsid w:val="00E70A49"/>
    <w:rPr>
      <w:i/>
      <w:sz w:val="22"/>
    </w:rPr>
  </w:style>
  <w:style w:type="paragraph" w:customStyle="1" w:styleId="SOText2">
    <w:name w:val="SO Text2"/>
    <w:aliases w:val="sot2"/>
    <w:basedOn w:val="Normal"/>
    <w:next w:val="SOText"/>
    <w:link w:val="SOText2Char"/>
    <w:rsid w:val="00E70A4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70A49"/>
    <w:rPr>
      <w:sz w:val="22"/>
    </w:rPr>
  </w:style>
  <w:style w:type="paragraph" w:styleId="BalloonText">
    <w:name w:val="Balloon Text"/>
    <w:basedOn w:val="Normal"/>
    <w:link w:val="BalloonTextChar"/>
    <w:uiPriority w:val="99"/>
    <w:semiHidden/>
    <w:unhideWhenUsed/>
    <w:rsid w:val="009A631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31A"/>
    <w:rPr>
      <w:rFonts w:ascii="Tahoma" w:hAnsi="Tahoma" w:cs="Tahoma"/>
      <w:sz w:val="16"/>
      <w:szCs w:val="16"/>
    </w:rPr>
  </w:style>
  <w:style w:type="character" w:customStyle="1" w:styleId="notetextChar">
    <w:name w:val="note(text) Char"/>
    <w:aliases w:val="n Char"/>
    <w:basedOn w:val="DefaultParagraphFont"/>
    <w:link w:val="notetext"/>
    <w:rsid w:val="00133F50"/>
    <w:rPr>
      <w:rFonts w:eastAsia="Times New Roman" w:cs="Times New Roman"/>
      <w:sz w:val="18"/>
      <w:lang w:eastAsia="en-AU"/>
    </w:rPr>
  </w:style>
  <w:style w:type="character" w:customStyle="1" w:styleId="Heading1Char">
    <w:name w:val="Heading 1 Char"/>
    <w:basedOn w:val="DefaultParagraphFont"/>
    <w:link w:val="Heading1"/>
    <w:uiPriority w:val="9"/>
    <w:rsid w:val="00133F5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33F5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33F5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33F5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33F5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133F5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133F5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33F5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33F50"/>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A64F9C"/>
    <w:pPr>
      <w:spacing w:before="800"/>
    </w:pPr>
  </w:style>
  <w:style w:type="character" w:customStyle="1" w:styleId="OPCParaBaseChar">
    <w:name w:val="OPCParaBase Char"/>
    <w:basedOn w:val="DefaultParagraphFont"/>
    <w:link w:val="OPCParaBase"/>
    <w:rsid w:val="00A64F9C"/>
    <w:rPr>
      <w:rFonts w:eastAsia="Times New Roman" w:cs="Times New Roman"/>
      <w:sz w:val="22"/>
      <w:lang w:eastAsia="en-AU"/>
    </w:rPr>
  </w:style>
  <w:style w:type="character" w:customStyle="1" w:styleId="ShortTChar">
    <w:name w:val="ShortT Char"/>
    <w:basedOn w:val="OPCParaBaseChar"/>
    <w:link w:val="ShortT"/>
    <w:rsid w:val="00A64F9C"/>
    <w:rPr>
      <w:rFonts w:eastAsia="Times New Roman" w:cs="Times New Roman"/>
      <w:b/>
      <w:sz w:val="40"/>
      <w:lang w:eastAsia="en-AU"/>
    </w:rPr>
  </w:style>
  <w:style w:type="character" w:customStyle="1" w:styleId="ShortTP1Char">
    <w:name w:val="ShortTP1 Char"/>
    <w:basedOn w:val="ShortTChar"/>
    <w:link w:val="ShortTP1"/>
    <w:rsid w:val="00A64F9C"/>
    <w:rPr>
      <w:rFonts w:eastAsia="Times New Roman" w:cs="Times New Roman"/>
      <w:b/>
      <w:sz w:val="40"/>
      <w:lang w:eastAsia="en-AU"/>
    </w:rPr>
  </w:style>
  <w:style w:type="paragraph" w:customStyle="1" w:styleId="ActNoP1">
    <w:name w:val="ActNoP1"/>
    <w:basedOn w:val="Actno"/>
    <w:link w:val="ActNoP1Char"/>
    <w:rsid w:val="00A64F9C"/>
    <w:pPr>
      <w:spacing w:before="800"/>
    </w:pPr>
    <w:rPr>
      <w:sz w:val="28"/>
    </w:rPr>
  </w:style>
  <w:style w:type="character" w:customStyle="1" w:styleId="ActnoChar">
    <w:name w:val="Actno Char"/>
    <w:basedOn w:val="ShortTChar"/>
    <w:link w:val="Actno"/>
    <w:rsid w:val="00A64F9C"/>
    <w:rPr>
      <w:rFonts w:eastAsia="Times New Roman" w:cs="Times New Roman"/>
      <w:b/>
      <w:sz w:val="40"/>
      <w:lang w:eastAsia="en-AU"/>
    </w:rPr>
  </w:style>
  <w:style w:type="character" w:customStyle="1" w:styleId="ActNoP1Char">
    <w:name w:val="ActNoP1 Char"/>
    <w:basedOn w:val="ActnoChar"/>
    <w:link w:val="ActNoP1"/>
    <w:rsid w:val="00A64F9C"/>
    <w:rPr>
      <w:rFonts w:eastAsia="Times New Roman" w:cs="Times New Roman"/>
      <w:b/>
      <w:sz w:val="28"/>
      <w:lang w:eastAsia="en-AU"/>
    </w:rPr>
  </w:style>
  <w:style w:type="paragraph" w:customStyle="1" w:styleId="ShortTCP">
    <w:name w:val="ShortTCP"/>
    <w:basedOn w:val="ShortT"/>
    <w:link w:val="ShortTCPChar"/>
    <w:rsid w:val="00A64F9C"/>
  </w:style>
  <w:style w:type="character" w:customStyle="1" w:styleId="ShortTCPChar">
    <w:name w:val="ShortTCP Char"/>
    <w:basedOn w:val="ShortTChar"/>
    <w:link w:val="ShortTCP"/>
    <w:rsid w:val="00A64F9C"/>
    <w:rPr>
      <w:rFonts w:eastAsia="Times New Roman" w:cs="Times New Roman"/>
      <w:b/>
      <w:sz w:val="40"/>
      <w:lang w:eastAsia="en-AU"/>
    </w:rPr>
  </w:style>
  <w:style w:type="paragraph" w:customStyle="1" w:styleId="ActNoCP">
    <w:name w:val="ActNoCP"/>
    <w:basedOn w:val="Actno"/>
    <w:link w:val="ActNoCPChar"/>
    <w:rsid w:val="00A64F9C"/>
    <w:pPr>
      <w:spacing w:before="400"/>
    </w:pPr>
  </w:style>
  <w:style w:type="character" w:customStyle="1" w:styleId="ActNoCPChar">
    <w:name w:val="ActNoCP Char"/>
    <w:basedOn w:val="ActnoChar"/>
    <w:link w:val="ActNoCP"/>
    <w:rsid w:val="00A64F9C"/>
    <w:rPr>
      <w:rFonts w:eastAsia="Times New Roman" w:cs="Times New Roman"/>
      <w:b/>
      <w:sz w:val="40"/>
      <w:lang w:eastAsia="en-AU"/>
    </w:rPr>
  </w:style>
  <w:style w:type="paragraph" w:customStyle="1" w:styleId="AssentBk">
    <w:name w:val="AssentBk"/>
    <w:basedOn w:val="Normal"/>
    <w:rsid w:val="00A64F9C"/>
    <w:pPr>
      <w:spacing w:line="240" w:lineRule="auto"/>
    </w:pPr>
    <w:rPr>
      <w:rFonts w:eastAsia="Times New Roman" w:cs="Times New Roman"/>
      <w:sz w:val="20"/>
      <w:lang w:eastAsia="en-AU"/>
    </w:rPr>
  </w:style>
  <w:style w:type="paragraph" w:customStyle="1" w:styleId="AssentDt">
    <w:name w:val="AssentDt"/>
    <w:basedOn w:val="Normal"/>
    <w:rsid w:val="00663C00"/>
    <w:pPr>
      <w:spacing w:line="240" w:lineRule="auto"/>
    </w:pPr>
    <w:rPr>
      <w:rFonts w:eastAsia="Times New Roman" w:cs="Times New Roman"/>
      <w:sz w:val="20"/>
      <w:lang w:eastAsia="en-AU"/>
    </w:rPr>
  </w:style>
  <w:style w:type="paragraph" w:customStyle="1" w:styleId="2ndRd">
    <w:name w:val="2ndRd"/>
    <w:basedOn w:val="Normal"/>
    <w:rsid w:val="00663C00"/>
    <w:pPr>
      <w:spacing w:line="240" w:lineRule="auto"/>
    </w:pPr>
    <w:rPr>
      <w:rFonts w:eastAsia="Times New Roman" w:cs="Times New Roman"/>
      <w:sz w:val="20"/>
      <w:lang w:eastAsia="en-AU"/>
    </w:rPr>
  </w:style>
  <w:style w:type="paragraph" w:customStyle="1" w:styleId="ScalePlusRef">
    <w:name w:val="ScalePlusRef"/>
    <w:basedOn w:val="Normal"/>
    <w:rsid w:val="00663C00"/>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965</Words>
  <Characters>5265</Characters>
  <Application>Microsoft Office Word</Application>
  <DocSecurity>0</DocSecurity>
  <PresentationFormat/>
  <Lines>90</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6172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2016-01-18T23:56:00Z</dcterms:created>
  <dcterms:modified xsi:type="dcterms:W3CDTF">2016-01-19T00:05:00Z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Asian Infrastructure Investment Bank Act 2015</vt:lpwstr>
  </property>
  <property fmtid="{D5CDD505-2E9C-101B-9397-08002B2CF9AE}" pid="3" name="Actno">
    <vt:lpwstr>No. 134, 2015</vt:lpwstr>
  </property>
</Properties>
</file>