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17" w:rsidRDefault="00E17E5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9D1517" w:rsidRDefault="009D1517"/>
    <w:p w:rsidR="009D1517" w:rsidRDefault="009D1517" w:rsidP="009D1517">
      <w:pPr>
        <w:spacing w:line="240" w:lineRule="auto"/>
      </w:pPr>
    </w:p>
    <w:p w:rsidR="009D1517" w:rsidRDefault="009D1517" w:rsidP="009D1517"/>
    <w:p w:rsidR="009D1517" w:rsidRDefault="009D1517" w:rsidP="009D1517"/>
    <w:p w:rsidR="009D1517" w:rsidRDefault="009D1517" w:rsidP="009D1517"/>
    <w:p w:rsidR="009D1517" w:rsidRDefault="009D1517" w:rsidP="009D1517"/>
    <w:p w:rsidR="00A14A03" w:rsidRPr="005D2C37" w:rsidRDefault="00A14A03" w:rsidP="00A14A03">
      <w:pPr>
        <w:pStyle w:val="ShortT"/>
      </w:pPr>
      <w:r w:rsidRPr="005D2C37">
        <w:t xml:space="preserve">Tax and Superannuation Laws Amendment (Norfolk Island Reforms) </w:t>
      </w:r>
      <w:r w:rsidR="009D1517">
        <w:t>Act</w:t>
      </w:r>
      <w:r w:rsidRPr="005D2C37">
        <w:t xml:space="preserve"> 2015</w:t>
      </w:r>
    </w:p>
    <w:p w:rsidR="00A14A03" w:rsidRPr="005D2C37" w:rsidRDefault="00A14A03" w:rsidP="00A14A03"/>
    <w:p w:rsidR="00A14A03" w:rsidRPr="005D2C37" w:rsidRDefault="00A14A03" w:rsidP="009D1517">
      <w:pPr>
        <w:pStyle w:val="Actno"/>
        <w:spacing w:before="400"/>
      </w:pPr>
      <w:r w:rsidRPr="005D2C37">
        <w:t>No.</w:t>
      </w:r>
      <w:r w:rsidR="009334EE">
        <w:t xml:space="preserve"> 53</w:t>
      </w:r>
      <w:r w:rsidRPr="005D2C37">
        <w:t>, 2015</w:t>
      </w:r>
    </w:p>
    <w:p w:rsidR="00A14A03" w:rsidRPr="005D2C37" w:rsidRDefault="00A14A03" w:rsidP="00A14A03"/>
    <w:p w:rsidR="009D1517" w:rsidRDefault="009D1517" w:rsidP="009D1517"/>
    <w:p w:rsidR="009D1517" w:rsidRDefault="009D1517" w:rsidP="009D1517"/>
    <w:p w:rsidR="009D1517" w:rsidRDefault="009D1517" w:rsidP="009D1517"/>
    <w:p w:rsidR="009D1517" w:rsidRDefault="009D1517" w:rsidP="009D1517"/>
    <w:p w:rsidR="00A14A03" w:rsidRPr="005D2C37" w:rsidRDefault="009D1517" w:rsidP="00A14A03">
      <w:pPr>
        <w:pStyle w:val="LongT"/>
      </w:pPr>
      <w:r>
        <w:t>An Act</w:t>
      </w:r>
      <w:r w:rsidR="00A14A03" w:rsidRPr="005D2C37">
        <w:t xml:space="preserve"> to amend the law relating to taxation and superannuation, and for related purposes</w:t>
      </w:r>
    </w:p>
    <w:p w:rsidR="00714298" w:rsidRPr="005D2C37" w:rsidRDefault="00714298" w:rsidP="00714298">
      <w:pPr>
        <w:pStyle w:val="Header"/>
        <w:tabs>
          <w:tab w:val="clear" w:pos="4150"/>
          <w:tab w:val="clear" w:pos="8307"/>
        </w:tabs>
      </w:pPr>
      <w:r w:rsidRPr="005D2C37">
        <w:rPr>
          <w:rStyle w:val="CharAmSchNo"/>
        </w:rPr>
        <w:t xml:space="preserve"> </w:t>
      </w:r>
      <w:r w:rsidRPr="005D2C37">
        <w:rPr>
          <w:rStyle w:val="CharAmSchText"/>
        </w:rPr>
        <w:t xml:space="preserve"> </w:t>
      </w:r>
    </w:p>
    <w:p w:rsidR="00714298" w:rsidRPr="005D2C37" w:rsidRDefault="00714298" w:rsidP="00714298">
      <w:pPr>
        <w:pStyle w:val="Header"/>
        <w:tabs>
          <w:tab w:val="clear" w:pos="4150"/>
          <w:tab w:val="clear" w:pos="8307"/>
        </w:tabs>
      </w:pPr>
      <w:r w:rsidRPr="005D2C37">
        <w:rPr>
          <w:rStyle w:val="CharAmPartNo"/>
        </w:rPr>
        <w:t xml:space="preserve"> </w:t>
      </w:r>
      <w:r w:rsidRPr="005D2C37">
        <w:rPr>
          <w:rStyle w:val="CharAmPartText"/>
        </w:rPr>
        <w:t xml:space="preserve"> </w:t>
      </w:r>
    </w:p>
    <w:p w:rsidR="00A14A03" w:rsidRPr="005D2C37" w:rsidRDefault="00A14A03" w:rsidP="00A14A03">
      <w:pPr>
        <w:sectPr w:rsidR="00A14A03" w:rsidRPr="005D2C37" w:rsidSect="009D15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A14A03" w:rsidRPr="005D2C37" w:rsidRDefault="00A14A03" w:rsidP="00914ADD">
      <w:pPr>
        <w:rPr>
          <w:sz w:val="36"/>
        </w:rPr>
      </w:pPr>
      <w:r w:rsidRPr="005D2C37">
        <w:rPr>
          <w:sz w:val="36"/>
        </w:rPr>
        <w:lastRenderedPageBreak/>
        <w:t>Contents</w:t>
      </w:r>
    </w:p>
    <w:bookmarkStart w:id="0" w:name="BKCheck15B_1"/>
    <w:bookmarkEnd w:id="0"/>
    <w:p w:rsidR="008D1269" w:rsidRDefault="008D1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D1269">
        <w:rPr>
          <w:noProof/>
        </w:rPr>
        <w:tab/>
      </w:r>
      <w:r w:rsidRPr="008D1269">
        <w:rPr>
          <w:noProof/>
        </w:rPr>
        <w:fldChar w:fldCharType="begin"/>
      </w:r>
      <w:r w:rsidRPr="008D1269">
        <w:rPr>
          <w:noProof/>
        </w:rPr>
        <w:instrText xml:space="preserve"> PAGEREF _Toc420565339 \h </w:instrText>
      </w:r>
      <w:r w:rsidRPr="008D1269">
        <w:rPr>
          <w:noProof/>
        </w:rPr>
      </w:r>
      <w:r w:rsidRPr="008D1269">
        <w:rPr>
          <w:noProof/>
        </w:rPr>
        <w:fldChar w:fldCharType="separate"/>
      </w:r>
      <w:r w:rsidR="00E17E51">
        <w:rPr>
          <w:noProof/>
        </w:rPr>
        <w:t>1</w:t>
      </w:r>
      <w:r w:rsidRPr="008D1269">
        <w:rPr>
          <w:noProof/>
        </w:rPr>
        <w:fldChar w:fldCharType="end"/>
      </w:r>
    </w:p>
    <w:p w:rsidR="008D1269" w:rsidRDefault="008D1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</w:t>
      </w:r>
      <w:bookmarkStart w:id="1" w:name="_GoBack"/>
      <w:bookmarkEnd w:id="1"/>
      <w:r>
        <w:rPr>
          <w:noProof/>
        </w:rPr>
        <w:t>ment</w:t>
      </w:r>
      <w:r w:rsidRPr="008D1269">
        <w:rPr>
          <w:noProof/>
        </w:rPr>
        <w:tab/>
      </w:r>
      <w:r w:rsidRPr="008D1269">
        <w:rPr>
          <w:noProof/>
        </w:rPr>
        <w:fldChar w:fldCharType="begin"/>
      </w:r>
      <w:r w:rsidRPr="008D1269">
        <w:rPr>
          <w:noProof/>
        </w:rPr>
        <w:instrText xml:space="preserve"> PAGEREF _Toc420565340 \h </w:instrText>
      </w:r>
      <w:r w:rsidRPr="008D1269">
        <w:rPr>
          <w:noProof/>
        </w:rPr>
      </w:r>
      <w:r w:rsidRPr="008D1269">
        <w:rPr>
          <w:noProof/>
        </w:rPr>
        <w:fldChar w:fldCharType="separate"/>
      </w:r>
      <w:r w:rsidR="00E17E51">
        <w:rPr>
          <w:noProof/>
        </w:rPr>
        <w:t>2</w:t>
      </w:r>
      <w:r w:rsidRPr="008D1269">
        <w:rPr>
          <w:noProof/>
        </w:rPr>
        <w:fldChar w:fldCharType="end"/>
      </w:r>
    </w:p>
    <w:p w:rsidR="008D1269" w:rsidRDefault="008D1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D1269">
        <w:rPr>
          <w:noProof/>
        </w:rPr>
        <w:tab/>
      </w:r>
      <w:r w:rsidRPr="008D1269">
        <w:rPr>
          <w:noProof/>
        </w:rPr>
        <w:fldChar w:fldCharType="begin"/>
      </w:r>
      <w:r w:rsidRPr="008D1269">
        <w:rPr>
          <w:noProof/>
        </w:rPr>
        <w:instrText xml:space="preserve"> PAGEREF _Toc420565341 \h </w:instrText>
      </w:r>
      <w:r w:rsidRPr="008D1269">
        <w:rPr>
          <w:noProof/>
        </w:rPr>
      </w:r>
      <w:r w:rsidRPr="008D1269">
        <w:rPr>
          <w:noProof/>
        </w:rPr>
        <w:fldChar w:fldCharType="separate"/>
      </w:r>
      <w:r w:rsidR="00E17E51">
        <w:rPr>
          <w:noProof/>
        </w:rPr>
        <w:t>2</w:t>
      </w:r>
      <w:r w:rsidRPr="008D1269">
        <w:rPr>
          <w:noProof/>
        </w:rPr>
        <w:fldChar w:fldCharType="end"/>
      </w:r>
    </w:p>
    <w:p w:rsidR="008D1269" w:rsidRDefault="008D12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1—Income tax (including the Medicare levy)</w:t>
      </w:r>
      <w:r w:rsidRPr="008D1269">
        <w:rPr>
          <w:b w:val="0"/>
          <w:noProof/>
          <w:sz w:val="18"/>
        </w:rPr>
        <w:tab/>
      </w:r>
      <w:r w:rsidRPr="008D1269">
        <w:rPr>
          <w:b w:val="0"/>
          <w:noProof/>
          <w:sz w:val="18"/>
        </w:rPr>
        <w:fldChar w:fldCharType="begin"/>
      </w:r>
      <w:r w:rsidRPr="008D1269">
        <w:rPr>
          <w:b w:val="0"/>
          <w:noProof/>
          <w:sz w:val="18"/>
        </w:rPr>
        <w:instrText xml:space="preserve"> PAGEREF _Toc420565342 \h </w:instrText>
      </w:r>
      <w:r w:rsidRPr="008D1269">
        <w:rPr>
          <w:b w:val="0"/>
          <w:noProof/>
          <w:sz w:val="18"/>
        </w:rPr>
      </w:r>
      <w:r w:rsidRPr="008D1269">
        <w:rPr>
          <w:b w:val="0"/>
          <w:noProof/>
          <w:sz w:val="18"/>
        </w:rPr>
        <w:fldChar w:fldCharType="separate"/>
      </w:r>
      <w:r w:rsidR="00E17E51">
        <w:rPr>
          <w:b w:val="0"/>
          <w:noProof/>
          <w:sz w:val="18"/>
        </w:rPr>
        <w:t>3</w:t>
      </w:r>
      <w:r w:rsidRPr="008D1269">
        <w:rPr>
          <w:b w:val="0"/>
          <w:noProof/>
          <w:sz w:val="18"/>
        </w:rPr>
        <w:fldChar w:fldCharType="end"/>
      </w:r>
    </w:p>
    <w:p w:rsidR="008D1269" w:rsidRDefault="008D1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8D1269">
        <w:rPr>
          <w:i w:val="0"/>
          <w:noProof/>
          <w:sz w:val="18"/>
        </w:rPr>
        <w:tab/>
      </w:r>
      <w:r w:rsidRPr="008D1269">
        <w:rPr>
          <w:i w:val="0"/>
          <w:noProof/>
          <w:sz w:val="18"/>
        </w:rPr>
        <w:fldChar w:fldCharType="begin"/>
      </w:r>
      <w:r w:rsidRPr="008D1269">
        <w:rPr>
          <w:i w:val="0"/>
          <w:noProof/>
          <w:sz w:val="18"/>
        </w:rPr>
        <w:instrText xml:space="preserve"> PAGEREF _Toc420565343 \h </w:instrText>
      </w:r>
      <w:r w:rsidRPr="008D1269">
        <w:rPr>
          <w:i w:val="0"/>
          <w:noProof/>
          <w:sz w:val="18"/>
        </w:rPr>
      </w:r>
      <w:r w:rsidRPr="008D1269">
        <w:rPr>
          <w:i w:val="0"/>
          <w:noProof/>
          <w:sz w:val="18"/>
        </w:rPr>
        <w:fldChar w:fldCharType="separate"/>
      </w:r>
      <w:r w:rsidR="00E17E51">
        <w:rPr>
          <w:i w:val="0"/>
          <w:noProof/>
          <w:sz w:val="18"/>
        </w:rPr>
        <w:t>3</w:t>
      </w:r>
      <w:r w:rsidRPr="008D1269">
        <w:rPr>
          <w:i w:val="0"/>
          <w:noProof/>
          <w:sz w:val="18"/>
        </w:rPr>
        <w:fldChar w:fldCharType="end"/>
      </w:r>
    </w:p>
    <w:p w:rsidR="008D1269" w:rsidRDefault="008D1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8D1269">
        <w:rPr>
          <w:i w:val="0"/>
          <w:noProof/>
          <w:sz w:val="18"/>
        </w:rPr>
        <w:tab/>
      </w:r>
      <w:r w:rsidRPr="008D1269">
        <w:rPr>
          <w:i w:val="0"/>
          <w:noProof/>
          <w:sz w:val="18"/>
        </w:rPr>
        <w:fldChar w:fldCharType="begin"/>
      </w:r>
      <w:r w:rsidRPr="008D1269">
        <w:rPr>
          <w:i w:val="0"/>
          <w:noProof/>
          <w:sz w:val="18"/>
        </w:rPr>
        <w:instrText xml:space="preserve"> PAGEREF _Toc420565344 \h </w:instrText>
      </w:r>
      <w:r w:rsidRPr="008D1269">
        <w:rPr>
          <w:i w:val="0"/>
          <w:noProof/>
          <w:sz w:val="18"/>
        </w:rPr>
      </w:r>
      <w:r w:rsidRPr="008D1269">
        <w:rPr>
          <w:i w:val="0"/>
          <w:noProof/>
          <w:sz w:val="18"/>
        </w:rPr>
        <w:fldChar w:fldCharType="separate"/>
      </w:r>
      <w:r w:rsidR="00E17E51">
        <w:rPr>
          <w:i w:val="0"/>
          <w:noProof/>
          <w:sz w:val="18"/>
        </w:rPr>
        <w:t>3</w:t>
      </w:r>
      <w:r w:rsidRPr="008D1269">
        <w:rPr>
          <w:i w:val="0"/>
          <w:noProof/>
          <w:sz w:val="18"/>
        </w:rPr>
        <w:fldChar w:fldCharType="end"/>
      </w:r>
    </w:p>
    <w:p w:rsidR="008D1269" w:rsidRDefault="008D1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(Transitional Provisions) Act 1997</w:t>
      </w:r>
      <w:r w:rsidRPr="008D1269">
        <w:rPr>
          <w:i w:val="0"/>
          <w:noProof/>
          <w:sz w:val="18"/>
        </w:rPr>
        <w:tab/>
      </w:r>
      <w:r w:rsidRPr="008D1269">
        <w:rPr>
          <w:i w:val="0"/>
          <w:noProof/>
          <w:sz w:val="18"/>
        </w:rPr>
        <w:fldChar w:fldCharType="begin"/>
      </w:r>
      <w:r w:rsidRPr="008D1269">
        <w:rPr>
          <w:i w:val="0"/>
          <w:noProof/>
          <w:sz w:val="18"/>
        </w:rPr>
        <w:instrText xml:space="preserve"> PAGEREF _Toc420565345 \h </w:instrText>
      </w:r>
      <w:r w:rsidRPr="008D1269">
        <w:rPr>
          <w:i w:val="0"/>
          <w:noProof/>
          <w:sz w:val="18"/>
        </w:rPr>
      </w:r>
      <w:r w:rsidRPr="008D1269">
        <w:rPr>
          <w:i w:val="0"/>
          <w:noProof/>
          <w:sz w:val="18"/>
        </w:rPr>
        <w:fldChar w:fldCharType="separate"/>
      </w:r>
      <w:r w:rsidR="00E17E51">
        <w:rPr>
          <w:i w:val="0"/>
          <w:noProof/>
          <w:sz w:val="18"/>
        </w:rPr>
        <w:t>5</w:t>
      </w:r>
      <w:r w:rsidRPr="008D1269">
        <w:rPr>
          <w:i w:val="0"/>
          <w:noProof/>
          <w:sz w:val="18"/>
        </w:rPr>
        <w:fldChar w:fldCharType="end"/>
      </w:r>
    </w:p>
    <w:p w:rsidR="008D1269" w:rsidRDefault="008D12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2—Superannuation guarantee</w:t>
      </w:r>
      <w:r w:rsidRPr="008D1269">
        <w:rPr>
          <w:b w:val="0"/>
          <w:noProof/>
          <w:sz w:val="18"/>
        </w:rPr>
        <w:tab/>
      </w:r>
      <w:r w:rsidRPr="008D1269">
        <w:rPr>
          <w:b w:val="0"/>
          <w:noProof/>
          <w:sz w:val="18"/>
        </w:rPr>
        <w:fldChar w:fldCharType="begin"/>
      </w:r>
      <w:r w:rsidRPr="008D1269">
        <w:rPr>
          <w:b w:val="0"/>
          <w:noProof/>
          <w:sz w:val="18"/>
        </w:rPr>
        <w:instrText xml:space="preserve"> PAGEREF _Toc420565347 \h </w:instrText>
      </w:r>
      <w:r w:rsidRPr="008D1269">
        <w:rPr>
          <w:b w:val="0"/>
          <w:noProof/>
          <w:sz w:val="18"/>
        </w:rPr>
      </w:r>
      <w:r w:rsidRPr="008D1269">
        <w:rPr>
          <w:b w:val="0"/>
          <w:noProof/>
          <w:sz w:val="18"/>
        </w:rPr>
        <w:fldChar w:fldCharType="separate"/>
      </w:r>
      <w:r w:rsidR="00E17E51">
        <w:rPr>
          <w:b w:val="0"/>
          <w:noProof/>
          <w:sz w:val="18"/>
        </w:rPr>
        <w:t>7</w:t>
      </w:r>
      <w:r w:rsidRPr="008D1269">
        <w:rPr>
          <w:b w:val="0"/>
          <w:noProof/>
          <w:sz w:val="18"/>
        </w:rPr>
        <w:fldChar w:fldCharType="end"/>
      </w:r>
    </w:p>
    <w:p w:rsidR="008D1269" w:rsidRDefault="008D1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Guarantee (Administration) Act 1992</w:t>
      </w:r>
      <w:r w:rsidRPr="008D1269">
        <w:rPr>
          <w:i w:val="0"/>
          <w:noProof/>
          <w:sz w:val="18"/>
        </w:rPr>
        <w:tab/>
      </w:r>
      <w:r w:rsidRPr="008D1269">
        <w:rPr>
          <w:i w:val="0"/>
          <w:noProof/>
          <w:sz w:val="18"/>
        </w:rPr>
        <w:fldChar w:fldCharType="begin"/>
      </w:r>
      <w:r w:rsidRPr="008D1269">
        <w:rPr>
          <w:i w:val="0"/>
          <w:noProof/>
          <w:sz w:val="18"/>
        </w:rPr>
        <w:instrText xml:space="preserve"> PAGEREF _Toc420565348 \h </w:instrText>
      </w:r>
      <w:r w:rsidRPr="008D1269">
        <w:rPr>
          <w:i w:val="0"/>
          <w:noProof/>
          <w:sz w:val="18"/>
        </w:rPr>
      </w:r>
      <w:r w:rsidRPr="008D1269">
        <w:rPr>
          <w:i w:val="0"/>
          <w:noProof/>
          <w:sz w:val="18"/>
        </w:rPr>
        <w:fldChar w:fldCharType="separate"/>
      </w:r>
      <w:r w:rsidR="00E17E51">
        <w:rPr>
          <w:i w:val="0"/>
          <w:noProof/>
          <w:sz w:val="18"/>
        </w:rPr>
        <w:t>7</w:t>
      </w:r>
      <w:r w:rsidRPr="008D1269">
        <w:rPr>
          <w:i w:val="0"/>
          <w:noProof/>
          <w:sz w:val="18"/>
        </w:rPr>
        <w:fldChar w:fldCharType="end"/>
      </w:r>
    </w:p>
    <w:p w:rsidR="00A14A03" w:rsidRPr="005D2C37" w:rsidRDefault="008D1269" w:rsidP="00A14A03">
      <w:r>
        <w:fldChar w:fldCharType="end"/>
      </w:r>
    </w:p>
    <w:p w:rsidR="00A14A03" w:rsidRPr="005D2C37" w:rsidRDefault="00A14A03" w:rsidP="00A14A03">
      <w:pPr>
        <w:sectPr w:rsidR="00A14A03" w:rsidRPr="005D2C37" w:rsidSect="009D15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D1517" w:rsidRDefault="00E17E51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9D1517" w:rsidRDefault="009D1517"/>
    <w:p w:rsidR="009D1517" w:rsidRDefault="009D1517" w:rsidP="009D1517">
      <w:pPr>
        <w:spacing w:line="240" w:lineRule="auto"/>
      </w:pPr>
    </w:p>
    <w:p w:rsidR="009D1517" w:rsidRDefault="008D1269" w:rsidP="009D1517">
      <w:pPr>
        <w:pStyle w:val="ShortTP1"/>
      </w:pPr>
      <w:fldSimple w:instr=" STYLEREF ShortT ">
        <w:r w:rsidR="00E17E51">
          <w:rPr>
            <w:noProof/>
          </w:rPr>
          <w:t>Tax and Superannuation Laws Amendment (Norfolk Island Reforms) Act 2015</w:t>
        </w:r>
      </w:fldSimple>
    </w:p>
    <w:p w:rsidR="009D1517" w:rsidRDefault="008D1269" w:rsidP="009D1517">
      <w:pPr>
        <w:pStyle w:val="ActNoP1"/>
      </w:pPr>
      <w:fldSimple w:instr=" STYLEREF Actno ">
        <w:r w:rsidR="00E17E51">
          <w:rPr>
            <w:noProof/>
          </w:rPr>
          <w:t>No. 53, 2015</w:t>
        </w:r>
      </w:fldSimple>
    </w:p>
    <w:p w:rsidR="009D1517" w:rsidRPr="009A0728" w:rsidRDefault="009D151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D1517" w:rsidRPr="009A0728" w:rsidRDefault="009D1517" w:rsidP="009A0728">
      <w:pPr>
        <w:spacing w:line="40" w:lineRule="exact"/>
        <w:rPr>
          <w:rFonts w:eastAsia="Calibri"/>
          <w:b/>
          <w:sz w:val="28"/>
        </w:rPr>
      </w:pPr>
    </w:p>
    <w:p w:rsidR="009D1517" w:rsidRPr="009A0728" w:rsidRDefault="009D151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A14A03" w:rsidRPr="005D2C37" w:rsidRDefault="009D1517" w:rsidP="005D2C37">
      <w:pPr>
        <w:pStyle w:val="Page1"/>
      </w:pPr>
      <w:r>
        <w:t>An Act</w:t>
      </w:r>
      <w:r w:rsidR="005D2C37" w:rsidRPr="005D2C37">
        <w:t xml:space="preserve"> to amend the law relating to taxation and superannuation, and for related purposes</w:t>
      </w:r>
    </w:p>
    <w:p w:rsidR="009334EE" w:rsidRDefault="009334EE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May 2015</w:t>
      </w:r>
      <w:r>
        <w:rPr>
          <w:sz w:val="24"/>
        </w:rPr>
        <w:t>]</w:t>
      </w:r>
    </w:p>
    <w:p w:rsidR="00A14A03" w:rsidRPr="005D2C37" w:rsidRDefault="00A14A03" w:rsidP="005D2C37">
      <w:pPr>
        <w:spacing w:before="240" w:line="240" w:lineRule="auto"/>
        <w:rPr>
          <w:sz w:val="32"/>
        </w:rPr>
      </w:pPr>
      <w:r w:rsidRPr="005D2C37">
        <w:rPr>
          <w:sz w:val="32"/>
        </w:rPr>
        <w:t>The Parliament of Australia enacts:</w:t>
      </w:r>
    </w:p>
    <w:p w:rsidR="00A14A03" w:rsidRPr="005D2C37" w:rsidRDefault="00A14A03" w:rsidP="005D2C37">
      <w:pPr>
        <w:pStyle w:val="ActHead5"/>
      </w:pPr>
      <w:bookmarkStart w:id="2" w:name="_Toc420565339"/>
      <w:r w:rsidRPr="005D2C37">
        <w:rPr>
          <w:rStyle w:val="CharSectno"/>
        </w:rPr>
        <w:t>1</w:t>
      </w:r>
      <w:r w:rsidRPr="005D2C37">
        <w:t xml:space="preserve">  Short title</w:t>
      </w:r>
      <w:bookmarkEnd w:id="2"/>
    </w:p>
    <w:p w:rsidR="00A14A03" w:rsidRPr="005D2C37" w:rsidRDefault="00A14A03" w:rsidP="005D2C37">
      <w:pPr>
        <w:pStyle w:val="subsection"/>
      </w:pPr>
      <w:r w:rsidRPr="005D2C37">
        <w:tab/>
      </w:r>
      <w:r w:rsidRPr="005D2C37">
        <w:tab/>
        <w:t xml:space="preserve">This Act may be cited as the </w:t>
      </w:r>
      <w:r w:rsidRPr="005D2C37">
        <w:rPr>
          <w:i/>
        </w:rPr>
        <w:t>Tax and Superannuation Laws Amendment (Norfolk Island Reforms) Act 2015</w:t>
      </w:r>
      <w:r w:rsidRPr="005D2C37">
        <w:t>.</w:t>
      </w:r>
    </w:p>
    <w:p w:rsidR="00A14A03" w:rsidRPr="005D2C37" w:rsidRDefault="00A14A03" w:rsidP="005D2C37">
      <w:pPr>
        <w:pStyle w:val="ActHead5"/>
      </w:pPr>
      <w:bookmarkStart w:id="3" w:name="_Toc420565340"/>
      <w:r w:rsidRPr="005D2C37">
        <w:rPr>
          <w:rStyle w:val="CharSectno"/>
        </w:rPr>
        <w:lastRenderedPageBreak/>
        <w:t>2</w:t>
      </w:r>
      <w:r w:rsidRPr="005D2C37">
        <w:t xml:space="preserve">  Commencement</w:t>
      </w:r>
      <w:bookmarkEnd w:id="3"/>
    </w:p>
    <w:p w:rsidR="00812F42" w:rsidRPr="005D2C37" w:rsidRDefault="00812F42" w:rsidP="005D2C37">
      <w:pPr>
        <w:pStyle w:val="subsection"/>
      </w:pPr>
      <w:r w:rsidRPr="005D2C37">
        <w:tab/>
      </w:r>
      <w:r w:rsidRPr="005D2C37">
        <w:tab/>
        <w:t>This Act commences on 1</w:t>
      </w:r>
      <w:r w:rsidR="005D2C37" w:rsidRPr="005D2C37">
        <w:t> </w:t>
      </w:r>
      <w:r w:rsidRPr="005D2C37">
        <w:t>July 2016.</w:t>
      </w:r>
    </w:p>
    <w:p w:rsidR="00A14A03" w:rsidRPr="005D2C37" w:rsidRDefault="00A14A03" w:rsidP="005D2C37">
      <w:pPr>
        <w:pStyle w:val="ActHead5"/>
      </w:pPr>
      <w:bookmarkStart w:id="4" w:name="_Toc420565341"/>
      <w:r w:rsidRPr="005D2C37">
        <w:rPr>
          <w:rStyle w:val="CharSectno"/>
        </w:rPr>
        <w:t>3</w:t>
      </w:r>
      <w:r w:rsidRPr="005D2C37">
        <w:t xml:space="preserve">  Schedules</w:t>
      </w:r>
      <w:bookmarkEnd w:id="4"/>
    </w:p>
    <w:p w:rsidR="00A14A03" w:rsidRPr="005D2C37" w:rsidRDefault="00A14A03" w:rsidP="005D2C37">
      <w:pPr>
        <w:pStyle w:val="subsection"/>
      </w:pPr>
      <w:r w:rsidRPr="005D2C37">
        <w:tab/>
      </w:r>
      <w:r w:rsidRPr="005D2C37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14A03" w:rsidRPr="005D2C37" w:rsidRDefault="00A14A03" w:rsidP="005D2C37">
      <w:pPr>
        <w:pStyle w:val="ActHead6"/>
        <w:pageBreakBefore/>
      </w:pPr>
      <w:bookmarkStart w:id="5" w:name="_Toc420565342"/>
      <w:bookmarkStart w:id="6" w:name="opcAmSched"/>
      <w:r w:rsidRPr="005D2C37">
        <w:rPr>
          <w:rStyle w:val="CharAmSchNo"/>
        </w:rPr>
        <w:lastRenderedPageBreak/>
        <w:t>Schedule</w:t>
      </w:r>
      <w:r w:rsidR="005D2C37" w:rsidRPr="005D2C37">
        <w:rPr>
          <w:rStyle w:val="CharAmSchNo"/>
        </w:rPr>
        <w:t> </w:t>
      </w:r>
      <w:r w:rsidRPr="005D2C37">
        <w:rPr>
          <w:rStyle w:val="CharAmSchNo"/>
        </w:rPr>
        <w:t>1</w:t>
      </w:r>
      <w:r w:rsidRPr="005D2C37">
        <w:t>—</w:t>
      </w:r>
      <w:r w:rsidR="00812F42" w:rsidRPr="005D2C37">
        <w:rPr>
          <w:rStyle w:val="CharAmSchText"/>
        </w:rPr>
        <w:t>Income tax (including the Medicare levy)</w:t>
      </w:r>
      <w:bookmarkEnd w:id="5"/>
    </w:p>
    <w:bookmarkEnd w:id="6"/>
    <w:p w:rsidR="00812F42" w:rsidRPr="005D2C37" w:rsidRDefault="00812F42" w:rsidP="005D2C37">
      <w:pPr>
        <w:pStyle w:val="Header"/>
      </w:pPr>
      <w:r w:rsidRPr="005D2C37">
        <w:rPr>
          <w:rStyle w:val="CharAmPartNo"/>
        </w:rPr>
        <w:t xml:space="preserve"> </w:t>
      </w:r>
      <w:r w:rsidRPr="005D2C37">
        <w:rPr>
          <w:rStyle w:val="CharAmPartText"/>
        </w:rPr>
        <w:t xml:space="preserve"> </w:t>
      </w:r>
    </w:p>
    <w:p w:rsidR="00A14A03" w:rsidRPr="005D2C37" w:rsidRDefault="00A14A03" w:rsidP="005D2C37">
      <w:pPr>
        <w:pStyle w:val="ActHead9"/>
        <w:rPr>
          <w:i w:val="0"/>
        </w:rPr>
      </w:pPr>
      <w:bookmarkStart w:id="7" w:name="_Toc420565343"/>
      <w:r w:rsidRPr="005D2C37">
        <w:t>Income Tax Assessment Act 1936</w:t>
      </w:r>
      <w:bookmarkEnd w:id="7"/>
    </w:p>
    <w:p w:rsidR="00A14A03" w:rsidRPr="005D2C37" w:rsidRDefault="00A14A03" w:rsidP="005D2C37">
      <w:pPr>
        <w:pStyle w:val="ItemHead"/>
      </w:pPr>
      <w:r w:rsidRPr="005D2C37">
        <w:t>1  Division</w:t>
      </w:r>
      <w:r w:rsidR="005D2C37" w:rsidRPr="005D2C37">
        <w:t> </w:t>
      </w:r>
      <w:r w:rsidRPr="005D2C37">
        <w:t>1A of Part</w:t>
      </w:r>
      <w:r w:rsidR="005D2C37" w:rsidRPr="005D2C37">
        <w:t> </w:t>
      </w:r>
      <w:r w:rsidRPr="005D2C37">
        <w:t>III</w:t>
      </w:r>
    </w:p>
    <w:p w:rsidR="00A14A03" w:rsidRPr="005D2C37" w:rsidRDefault="00A14A03" w:rsidP="005D2C37">
      <w:pPr>
        <w:pStyle w:val="Item"/>
      </w:pPr>
      <w:r w:rsidRPr="005D2C37">
        <w:t>Repeal the Division.</w:t>
      </w:r>
    </w:p>
    <w:p w:rsidR="00A14A03" w:rsidRPr="005D2C37" w:rsidRDefault="00A14A03" w:rsidP="005D2C37">
      <w:pPr>
        <w:pStyle w:val="ItemHead"/>
      </w:pPr>
      <w:r w:rsidRPr="005D2C37">
        <w:t>2  Paragraph 202DDB(2)(a)</w:t>
      </w:r>
    </w:p>
    <w:p w:rsidR="00A14A03" w:rsidRPr="005D2C37" w:rsidRDefault="00A14A03" w:rsidP="005D2C37">
      <w:pPr>
        <w:pStyle w:val="Item"/>
      </w:pPr>
      <w:r w:rsidRPr="005D2C37">
        <w:t>Omit “or 202EF, or both”.</w:t>
      </w:r>
    </w:p>
    <w:p w:rsidR="00A14A03" w:rsidRPr="005D2C37" w:rsidRDefault="00A14A03" w:rsidP="005D2C37">
      <w:pPr>
        <w:pStyle w:val="ItemHead"/>
      </w:pPr>
      <w:r w:rsidRPr="005D2C37">
        <w:t>3  Sub</w:t>
      </w:r>
      <w:r w:rsidR="00263351">
        <w:noBreakHyphen/>
      </w:r>
      <w:r w:rsidRPr="005D2C37">
        <w:t>subparagraph</w:t>
      </w:r>
      <w:r w:rsidR="005D2C37" w:rsidRPr="005D2C37">
        <w:t> </w:t>
      </w:r>
      <w:r w:rsidRPr="005D2C37">
        <w:t>202DDB(2)(b)(ii)(A)</w:t>
      </w:r>
    </w:p>
    <w:p w:rsidR="00A14A03" w:rsidRPr="005D2C37" w:rsidRDefault="00A14A03" w:rsidP="005D2C37">
      <w:pPr>
        <w:pStyle w:val="Item"/>
      </w:pPr>
      <w:r w:rsidRPr="005D2C37">
        <w:t>Omit “or 202EF, or both”.</w:t>
      </w:r>
    </w:p>
    <w:p w:rsidR="00A14A03" w:rsidRPr="005D2C37" w:rsidRDefault="00A14A03" w:rsidP="005D2C37">
      <w:pPr>
        <w:pStyle w:val="ItemHead"/>
      </w:pPr>
      <w:r w:rsidRPr="005D2C37">
        <w:t>4  Section</w:t>
      </w:r>
      <w:r w:rsidR="005D2C37" w:rsidRPr="005D2C37">
        <w:t> </w:t>
      </w:r>
      <w:r w:rsidRPr="005D2C37">
        <w:t>202EF</w:t>
      </w:r>
    </w:p>
    <w:p w:rsidR="00A14A03" w:rsidRPr="005D2C37" w:rsidRDefault="00A14A03" w:rsidP="005D2C37">
      <w:pPr>
        <w:pStyle w:val="Item"/>
      </w:pPr>
      <w:r w:rsidRPr="005D2C37">
        <w:t>Repeal the section.</w:t>
      </w:r>
    </w:p>
    <w:p w:rsidR="00A14A03" w:rsidRPr="005D2C37" w:rsidRDefault="00A14A03" w:rsidP="005D2C37">
      <w:pPr>
        <w:pStyle w:val="ItemHead"/>
      </w:pPr>
      <w:r w:rsidRPr="005D2C37">
        <w:t>5  Paragraphs 251S(1)(a) and (b)</w:t>
      </w:r>
    </w:p>
    <w:p w:rsidR="00A14A03" w:rsidRPr="005D2C37" w:rsidRDefault="00A14A03" w:rsidP="005D2C37">
      <w:pPr>
        <w:pStyle w:val="Item"/>
      </w:pPr>
      <w:r w:rsidRPr="005D2C37">
        <w:t>Omit “other than a Territory resident (within the meaning of section</w:t>
      </w:r>
      <w:r w:rsidR="005D2C37" w:rsidRPr="005D2C37">
        <w:t> </w:t>
      </w:r>
      <w:r w:rsidRPr="005D2C37">
        <w:t>24C)”.</w:t>
      </w:r>
    </w:p>
    <w:p w:rsidR="00A14A03" w:rsidRPr="005D2C37" w:rsidRDefault="00A14A03" w:rsidP="005D2C37">
      <w:pPr>
        <w:pStyle w:val="ItemHead"/>
      </w:pPr>
      <w:r w:rsidRPr="005D2C37">
        <w:t>6  At the end of paragraph</w:t>
      </w:r>
      <w:r w:rsidR="005D2C37" w:rsidRPr="005D2C37">
        <w:t> </w:t>
      </w:r>
      <w:r w:rsidRPr="005D2C37">
        <w:t>251T(a)</w:t>
      </w:r>
    </w:p>
    <w:p w:rsidR="00A14A03" w:rsidRPr="005D2C37" w:rsidRDefault="00A14A03" w:rsidP="005D2C37">
      <w:pPr>
        <w:pStyle w:val="Item"/>
      </w:pPr>
      <w:r w:rsidRPr="005D2C37">
        <w:t>Add “or”.</w:t>
      </w:r>
    </w:p>
    <w:p w:rsidR="00A14A03" w:rsidRPr="005D2C37" w:rsidRDefault="00A14A03" w:rsidP="005D2C37">
      <w:pPr>
        <w:pStyle w:val="ItemHead"/>
      </w:pPr>
      <w:r w:rsidRPr="005D2C37">
        <w:t>7  Paragraph 251T(b)</w:t>
      </w:r>
    </w:p>
    <w:p w:rsidR="00A14A03" w:rsidRPr="005D2C37" w:rsidRDefault="00A14A03" w:rsidP="005D2C37">
      <w:pPr>
        <w:pStyle w:val="Item"/>
      </w:pPr>
      <w:r w:rsidRPr="005D2C37">
        <w:t>Repeal the paragraph.</w:t>
      </w:r>
    </w:p>
    <w:p w:rsidR="00A14A03" w:rsidRPr="005D2C37" w:rsidRDefault="00A14A03" w:rsidP="005D2C37">
      <w:pPr>
        <w:pStyle w:val="ItemHead"/>
      </w:pPr>
      <w:r w:rsidRPr="005D2C37">
        <w:t>8  Paragraph 251U(1)(d)</w:t>
      </w:r>
    </w:p>
    <w:p w:rsidR="00A14A03" w:rsidRPr="005D2C37" w:rsidRDefault="00A14A03" w:rsidP="005D2C37">
      <w:pPr>
        <w:pStyle w:val="Item"/>
      </w:pPr>
      <w:r w:rsidRPr="005D2C37">
        <w:t xml:space="preserve">Omit “, or was a resident only because the definition of </w:t>
      </w:r>
      <w:r w:rsidRPr="005D2C37">
        <w:rPr>
          <w:b/>
          <w:i/>
        </w:rPr>
        <w:t>Australia</w:t>
      </w:r>
      <w:r w:rsidRPr="005D2C37">
        <w:t xml:space="preserve"> includes the prescribed Territory (within the meaning of section</w:t>
      </w:r>
      <w:r w:rsidR="005D2C37" w:rsidRPr="005D2C37">
        <w:t> </w:t>
      </w:r>
      <w:r w:rsidRPr="005D2C37">
        <w:t>24B)”.</w:t>
      </w:r>
    </w:p>
    <w:p w:rsidR="00A14A03" w:rsidRPr="005D2C37" w:rsidRDefault="00A14A03" w:rsidP="005D2C37">
      <w:pPr>
        <w:pStyle w:val="ActHead9"/>
        <w:rPr>
          <w:i w:val="0"/>
        </w:rPr>
      </w:pPr>
      <w:bookmarkStart w:id="8" w:name="_Toc420565344"/>
      <w:r w:rsidRPr="005D2C37">
        <w:t>Income Tax Assessment Act 1997</w:t>
      </w:r>
      <w:bookmarkEnd w:id="8"/>
    </w:p>
    <w:p w:rsidR="00A14A03" w:rsidRPr="005D2C37" w:rsidRDefault="00A14A03" w:rsidP="005D2C37">
      <w:pPr>
        <w:pStyle w:val="ItemHead"/>
      </w:pPr>
      <w:r w:rsidRPr="005D2C37">
        <w:t>9  Section</w:t>
      </w:r>
      <w:r w:rsidR="005D2C37" w:rsidRPr="005D2C37">
        <w:t> </w:t>
      </w:r>
      <w:r w:rsidRPr="005D2C37">
        <w:t>11</w:t>
      </w:r>
      <w:r w:rsidR="00263351">
        <w:noBreakHyphen/>
      </w:r>
      <w:r w:rsidRPr="005D2C37">
        <w:t>15 (table item headed “foreign aspects of income taxation”)</w:t>
      </w:r>
    </w:p>
    <w:p w:rsidR="00A14A03" w:rsidRPr="005D2C37" w:rsidRDefault="00A14A03" w:rsidP="005D2C37">
      <w:pPr>
        <w:pStyle w:val="Item"/>
      </w:pPr>
      <w:r w:rsidRPr="005D2C37">
        <w:t>Omit:</w:t>
      </w:r>
    </w:p>
    <w:tbl>
      <w:tblPr>
        <w:tblW w:w="7203" w:type="dxa"/>
        <w:tblInd w:w="10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4"/>
        <w:gridCol w:w="1979"/>
      </w:tblGrid>
      <w:tr w:rsidR="00A14A03" w:rsidRPr="005D2C37" w:rsidTr="008F2BD0"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A14A03" w:rsidRPr="005D2C37" w:rsidRDefault="00A14A03" w:rsidP="005D2C37">
            <w:pPr>
              <w:pStyle w:val="tableIndentText"/>
            </w:pPr>
            <w:r w:rsidRPr="005D2C37">
              <w:rPr>
                <w:rFonts w:ascii="Times New Roman" w:hAnsi="Times New Roman"/>
              </w:rPr>
              <w:lastRenderedPageBreak/>
              <w:t xml:space="preserve">Territory resident company or trust, income from sources outside Australia </w:t>
            </w:r>
            <w:r w:rsidRPr="005D2C37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A14A03" w:rsidRPr="005D2C37" w:rsidRDefault="00A14A03" w:rsidP="005D2C37">
            <w:pPr>
              <w:pStyle w:val="tableText0"/>
              <w:spacing w:line="240" w:lineRule="auto"/>
            </w:pPr>
            <w:r w:rsidRPr="005D2C37">
              <w:rPr>
                <w:b/>
              </w:rPr>
              <w:br/>
              <w:t>24F</w:t>
            </w:r>
          </w:p>
        </w:tc>
      </w:tr>
      <w:tr w:rsidR="00A14A03" w:rsidRPr="005D2C37" w:rsidTr="008F2BD0"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A14A03" w:rsidRPr="005D2C37" w:rsidRDefault="00A14A03" w:rsidP="005D2C37">
            <w:pPr>
              <w:pStyle w:val="tableIndentText"/>
            </w:pPr>
            <w:r w:rsidRPr="005D2C37">
              <w:rPr>
                <w:rFonts w:ascii="Times New Roman" w:hAnsi="Times New Roman"/>
              </w:rPr>
              <w:t xml:space="preserve">Territory resident, income from sources in a prescribed Territory </w:t>
            </w:r>
            <w:r w:rsidRPr="005D2C37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A14A03" w:rsidRPr="005D2C37" w:rsidRDefault="00A14A03" w:rsidP="005D2C37">
            <w:pPr>
              <w:pStyle w:val="tableText0"/>
              <w:spacing w:line="240" w:lineRule="auto"/>
            </w:pPr>
            <w:r w:rsidRPr="005D2C37">
              <w:rPr>
                <w:b/>
              </w:rPr>
              <w:br/>
              <w:t>24G</w:t>
            </w:r>
          </w:p>
        </w:tc>
      </w:tr>
    </w:tbl>
    <w:p w:rsidR="00A14A03" w:rsidRPr="005D2C37" w:rsidRDefault="00A14A03" w:rsidP="005D2C37">
      <w:pPr>
        <w:pStyle w:val="ItemHead"/>
      </w:pPr>
      <w:r w:rsidRPr="005D2C37">
        <w:t>10  Section</w:t>
      </w:r>
      <w:r w:rsidR="005D2C37" w:rsidRPr="005D2C37">
        <w:t> </w:t>
      </w:r>
      <w:r w:rsidRPr="005D2C37">
        <w:t>109</w:t>
      </w:r>
      <w:r w:rsidR="00263351">
        <w:noBreakHyphen/>
      </w:r>
      <w:r w:rsidRPr="005D2C37">
        <w:t>60 (table item</w:t>
      </w:r>
      <w:r w:rsidR="005D2C37" w:rsidRPr="005D2C37">
        <w:t> </w:t>
      </w:r>
      <w:r w:rsidRPr="005D2C37">
        <w:t>1)</w:t>
      </w:r>
    </w:p>
    <w:p w:rsidR="00A14A03" w:rsidRPr="005D2C37" w:rsidRDefault="00A14A03" w:rsidP="005D2C37">
      <w:pPr>
        <w:pStyle w:val="Item"/>
      </w:pPr>
      <w:r w:rsidRPr="005D2C37">
        <w:t>Omit “</w:t>
      </w:r>
      <w:r w:rsidRPr="005D2C37">
        <w:rPr>
          <w:b/>
        </w:rPr>
        <w:t>section</w:t>
      </w:r>
      <w:r w:rsidR="005D2C37" w:rsidRPr="005D2C37">
        <w:rPr>
          <w:b/>
        </w:rPr>
        <w:t> </w:t>
      </w:r>
      <w:r w:rsidRPr="005D2C37">
        <w:rPr>
          <w:b/>
        </w:rPr>
        <w:t>24P</w:t>
      </w:r>
      <w:r w:rsidRPr="005D2C37">
        <w:t>”, substitute “subsection</w:t>
      </w:r>
      <w:r w:rsidR="005D2C37" w:rsidRPr="005D2C37">
        <w:t> </w:t>
      </w:r>
      <w:r w:rsidRPr="005D2C37">
        <w:t>102</w:t>
      </w:r>
      <w:r w:rsidR="00263351">
        <w:noBreakHyphen/>
      </w:r>
      <w:r w:rsidRPr="005D2C37">
        <w:t xml:space="preserve">25(1) of the </w:t>
      </w:r>
      <w:r w:rsidRPr="005D2C37">
        <w:rPr>
          <w:i/>
        </w:rPr>
        <w:t>Income Tax (Transitional Provisions) Act 1997</w:t>
      </w:r>
      <w:r w:rsidRPr="005D2C37">
        <w:t>”.</w:t>
      </w:r>
    </w:p>
    <w:p w:rsidR="00A14A03" w:rsidRPr="005D2C37" w:rsidRDefault="00A14A03" w:rsidP="005D2C37">
      <w:pPr>
        <w:pStyle w:val="ItemHead"/>
      </w:pPr>
      <w:r w:rsidRPr="005D2C37">
        <w:t>11  Section</w:t>
      </w:r>
      <w:r w:rsidR="005D2C37" w:rsidRPr="005D2C37">
        <w:t> </w:t>
      </w:r>
      <w:r w:rsidRPr="005D2C37">
        <w:t>109</w:t>
      </w:r>
      <w:r w:rsidR="00263351">
        <w:noBreakHyphen/>
      </w:r>
      <w:r w:rsidRPr="005D2C37">
        <w:t>60 (after table item</w:t>
      </w:r>
      <w:r w:rsidR="005D2C37" w:rsidRPr="005D2C37">
        <w:t> </w:t>
      </w:r>
      <w:r w:rsidRPr="005D2C37">
        <w:t>1)</w:t>
      </w:r>
    </w:p>
    <w:p w:rsidR="00A14A03" w:rsidRPr="005D2C37" w:rsidRDefault="00A14A03" w:rsidP="005D2C37">
      <w:pPr>
        <w:pStyle w:val="Item"/>
      </w:pPr>
      <w:r w:rsidRPr="005D2C37">
        <w:t>Insert: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2269"/>
      </w:tblGrid>
      <w:tr w:rsidR="00A14A03" w:rsidRPr="005D2C37" w:rsidTr="008F2BD0">
        <w:tc>
          <w:tcPr>
            <w:tcW w:w="709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1A</w:t>
            </w:r>
          </w:p>
        </w:tc>
        <w:tc>
          <w:tcPr>
            <w:tcW w:w="2126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CGT event happens to Norfolk Island asset</w:t>
            </w:r>
          </w:p>
        </w:tc>
        <w:tc>
          <w:tcPr>
            <w:tcW w:w="1985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30</w:t>
            </w:r>
            <w:r w:rsidR="005D2C37" w:rsidRPr="005D2C37">
              <w:t> </w:t>
            </w:r>
            <w:r w:rsidRPr="005D2C37">
              <w:t>June 2016</w:t>
            </w:r>
          </w:p>
        </w:tc>
        <w:tc>
          <w:tcPr>
            <w:tcW w:w="2269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subsection</w:t>
            </w:r>
            <w:r w:rsidR="005D2C37" w:rsidRPr="005D2C37">
              <w:t> </w:t>
            </w:r>
            <w:r w:rsidRPr="005D2C37">
              <w:t>102</w:t>
            </w:r>
            <w:r w:rsidR="00263351">
              <w:noBreakHyphen/>
            </w:r>
            <w:r w:rsidRPr="005D2C37">
              <w:t xml:space="preserve">25(2) of the </w:t>
            </w:r>
            <w:r w:rsidRPr="005D2C37">
              <w:rPr>
                <w:i/>
              </w:rPr>
              <w:t>Income Tax (Transitional Provisions) Act 1997</w:t>
            </w:r>
          </w:p>
        </w:tc>
      </w:tr>
    </w:tbl>
    <w:p w:rsidR="00A14A03" w:rsidRPr="005D2C37" w:rsidRDefault="00A14A03" w:rsidP="005D2C37">
      <w:pPr>
        <w:pStyle w:val="ItemHead"/>
      </w:pPr>
      <w:r w:rsidRPr="005D2C37">
        <w:t>12  Section</w:t>
      </w:r>
      <w:r w:rsidR="005D2C37" w:rsidRPr="005D2C37">
        <w:t> </w:t>
      </w:r>
      <w:r w:rsidRPr="005D2C37">
        <w:t>112</w:t>
      </w:r>
      <w:r w:rsidR="00263351">
        <w:noBreakHyphen/>
      </w:r>
      <w:r w:rsidRPr="005D2C37">
        <w:t>97 (table item</w:t>
      </w:r>
      <w:r w:rsidR="005D2C37" w:rsidRPr="005D2C37">
        <w:t> </w:t>
      </w:r>
      <w:r w:rsidRPr="005D2C37">
        <w:t>2)</w:t>
      </w:r>
    </w:p>
    <w:p w:rsidR="00A14A03" w:rsidRPr="005D2C37" w:rsidRDefault="00A14A03" w:rsidP="005D2C37">
      <w:pPr>
        <w:pStyle w:val="Item"/>
      </w:pPr>
      <w:r w:rsidRPr="005D2C37">
        <w:t>Omit “</w:t>
      </w:r>
      <w:r w:rsidRPr="005D2C37">
        <w:rPr>
          <w:b/>
        </w:rPr>
        <w:t>section</w:t>
      </w:r>
      <w:r w:rsidR="005D2C37" w:rsidRPr="005D2C37">
        <w:rPr>
          <w:b/>
        </w:rPr>
        <w:t> </w:t>
      </w:r>
      <w:r w:rsidRPr="005D2C37">
        <w:rPr>
          <w:b/>
        </w:rPr>
        <w:t>24P</w:t>
      </w:r>
      <w:r w:rsidRPr="005D2C37">
        <w:t>”, substitute “subsection</w:t>
      </w:r>
      <w:r w:rsidR="005D2C37" w:rsidRPr="005D2C37">
        <w:t> </w:t>
      </w:r>
      <w:r w:rsidRPr="005D2C37">
        <w:t>102</w:t>
      </w:r>
      <w:r w:rsidR="00263351">
        <w:noBreakHyphen/>
      </w:r>
      <w:r w:rsidRPr="005D2C37">
        <w:t xml:space="preserve">25(1) of the </w:t>
      </w:r>
      <w:r w:rsidRPr="005D2C37">
        <w:rPr>
          <w:i/>
        </w:rPr>
        <w:t>Income Tax (Transitional Provisions) Act 1997</w:t>
      </w:r>
      <w:r w:rsidRPr="005D2C37">
        <w:t>”.</w:t>
      </w:r>
    </w:p>
    <w:p w:rsidR="00A14A03" w:rsidRPr="005D2C37" w:rsidRDefault="00A14A03" w:rsidP="005D2C37">
      <w:pPr>
        <w:pStyle w:val="ItemHead"/>
      </w:pPr>
      <w:r w:rsidRPr="005D2C37">
        <w:t>13  Section</w:t>
      </w:r>
      <w:r w:rsidR="005D2C37" w:rsidRPr="005D2C37">
        <w:t> </w:t>
      </w:r>
      <w:r w:rsidRPr="005D2C37">
        <w:t>112</w:t>
      </w:r>
      <w:r w:rsidR="00263351">
        <w:noBreakHyphen/>
      </w:r>
      <w:r w:rsidRPr="005D2C37">
        <w:t>97 (after table item</w:t>
      </w:r>
      <w:r w:rsidR="005D2C37" w:rsidRPr="005D2C37">
        <w:t> </w:t>
      </w:r>
      <w:r w:rsidRPr="005D2C37">
        <w:t>2)</w:t>
      </w:r>
    </w:p>
    <w:p w:rsidR="00A14A03" w:rsidRPr="005D2C37" w:rsidRDefault="00A14A03" w:rsidP="005D2C37">
      <w:pPr>
        <w:pStyle w:val="Item"/>
      </w:pPr>
      <w:r w:rsidRPr="005D2C37">
        <w:t>Insert:</w:t>
      </w:r>
    </w:p>
    <w:tbl>
      <w:tblPr>
        <w:tblW w:w="7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2126"/>
      </w:tblGrid>
      <w:tr w:rsidR="00A14A03" w:rsidRPr="005D2C37" w:rsidTr="008F2BD0">
        <w:trPr>
          <w:cantSplit/>
        </w:trPr>
        <w:tc>
          <w:tcPr>
            <w:tcW w:w="709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2AA</w:t>
            </w:r>
          </w:p>
        </w:tc>
        <w:tc>
          <w:tcPr>
            <w:tcW w:w="2410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CGT event happens to Norfolk Island asset</w:t>
            </w:r>
          </w:p>
        </w:tc>
        <w:tc>
          <w:tcPr>
            <w:tcW w:w="2126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First element of cost base and reduced cost base</w:t>
            </w:r>
          </w:p>
        </w:tc>
        <w:tc>
          <w:tcPr>
            <w:tcW w:w="2126" w:type="dxa"/>
            <w:shd w:val="clear" w:color="auto" w:fill="auto"/>
          </w:tcPr>
          <w:p w:rsidR="00A14A03" w:rsidRPr="005D2C37" w:rsidRDefault="00A14A03" w:rsidP="005D2C37">
            <w:pPr>
              <w:pStyle w:val="Tabletext"/>
            </w:pPr>
            <w:r w:rsidRPr="005D2C37">
              <w:t>subsection</w:t>
            </w:r>
            <w:r w:rsidR="005D2C37" w:rsidRPr="005D2C37">
              <w:t> </w:t>
            </w:r>
            <w:r w:rsidRPr="005D2C37">
              <w:t>102</w:t>
            </w:r>
            <w:r w:rsidR="00263351">
              <w:noBreakHyphen/>
            </w:r>
            <w:r w:rsidRPr="005D2C37">
              <w:t xml:space="preserve">25(2) of the </w:t>
            </w:r>
            <w:r w:rsidRPr="005D2C37">
              <w:rPr>
                <w:i/>
              </w:rPr>
              <w:t>Income Tax (Transitional Provisions) Act 1997</w:t>
            </w:r>
          </w:p>
        </w:tc>
      </w:tr>
    </w:tbl>
    <w:p w:rsidR="00A14A03" w:rsidRPr="005D2C37" w:rsidRDefault="00A14A03" w:rsidP="005D2C37">
      <w:pPr>
        <w:pStyle w:val="ItemHead"/>
      </w:pPr>
      <w:r w:rsidRPr="005D2C37">
        <w:t>14  Section</w:t>
      </w:r>
      <w:r w:rsidR="005D2C37" w:rsidRPr="005D2C37">
        <w:t> </w:t>
      </w:r>
      <w:r w:rsidRPr="005D2C37">
        <w:t>118</w:t>
      </w:r>
      <w:r w:rsidR="00263351">
        <w:noBreakHyphen/>
      </w:r>
      <w:r w:rsidRPr="005D2C37">
        <w:t>1 (note 1)</w:t>
      </w:r>
    </w:p>
    <w:p w:rsidR="00A14A03" w:rsidRPr="005D2C37" w:rsidRDefault="00A14A03" w:rsidP="005D2C37">
      <w:pPr>
        <w:pStyle w:val="Item"/>
      </w:pPr>
      <w:r w:rsidRPr="005D2C37">
        <w:t>Omit:</w:t>
      </w:r>
    </w:p>
    <w:p w:rsidR="00A14A03" w:rsidRPr="005D2C37" w:rsidRDefault="00A14A03" w:rsidP="005D2C37">
      <w:pPr>
        <w:pStyle w:val="notepara"/>
      </w:pPr>
      <w:r w:rsidRPr="005D2C37">
        <w:t>•</w:t>
      </w:r>
      <w:r w:rsidRPr="005D2C37">
        <w:tab/>
        <w:t>section</w:t>
      </w:r>
      <w:r w:rsidR="005D2C37" w:rsidRPr="005D2C37">
        <w:t> </w:t>
      </w:r>
      <w:r w:rsidRPr="005D2C37">
        <w:t>24B (about External Territories);</w:t>
      </w:r>
    </w:p>
    <w:p w:rsidR="00A14A03" w:rsidRPr="005D2C37" w:rsidRDefault="00A14A03" w:rsidP="005D2C37">
      <w:pPr>
        <w:pStyle w:val="ItemHead"/>
      </w:pPr>
      <w:r w:rsidRPr="005D2C37">
        <w:t>15  Paragraph 202</w:t>
      </w:r>
      <w:r w:rsidR="00263351">
        <w:noBreakHyphen/>
      </w:r>
      <w:r w:rsidRPr="005D2C37">
        <w:t>45(b)</w:t>
      </w:r>
    </w:p>
    <w:p w:rsidR="00A14A03" w:rsidRPr="005D2C37" w:rsidRDefault="00A14A03" w:rsidP="005D2C37">
      <w:pPr>
        <w:pStyle w:val="Item"/>
      </w:pPr>
      <w:r w:rsidRPr="005D2C37">
        <w:t>Repeal the paragraph.</w:t>
      </w:r>
    </w:p>
    <w:p w:rsidR="00A14A03" w:rsidRPr="005D2C37" w:rsidRDefault="00A14A03" w:rsidP="005D2C37">
      <w:pPr>
        <w:pStyle w:val="ItemHead"/>
      </w:pPr>
      <w:r w:rsidRPr="005D2C37">
        <w:t>16  Subsection</w:t>
      </w:r>
      <w:r w:rsidR="005D2C37" w:rsidRPr="005D2C37">
        <w:t> </w:t>
      </w:r>
      <w:r w:rsidRPr="005D2C37">
        <w:t>960</w:t>
      </w:r>
      <w:r w:rsidR="00263351">
        <w:noBreakHyphen/>
      </w:r>
      <w:r w:rsidRPr="005D2C37">
        <w:t>505(1) (note 1)</w:t>
      </w:r>
    </w:p>
    <w:p w:rsidR="00A14A03" w:rsidRPr="005D2C37" w:rsidRDefault="00A14A03" w:rsidP="005D2C37">
      <w:pPr>
        <w:pStyle w:val="Item"/>
      </w:pPr>
      <w:r w:rsidRPr="005D2C37">
        <w:t>Omit “Note 1”, substitute “Note”.</w:t>
      </w:r>
    </w:p>
    <w:p w:rsidR="00A14A03" w:rsidRPr="005D2C37" w:rsidRDefault="00A14A03" w:rsidP="005D2C37">
      <w:pPr>
        <w:pStyle w:val="ItemHead"/>
      </w:pPr>
      <w:r w:rsidRPr="005D2C37">
        <w:lastRenderedPageBreak/>
        <w:t>17  Subsection</w:t>
      </w:r>
      <w:r w:rsidR="005D2C37" w:rsidRPr="005D2C37">
        <w:t> </w:t>
      </w:r>
      <w:r w:rsidRPr="005D2C37">
        <w:t>960</w:t>
      </w:r>
      <w:r w:rsidR="00263351">
        <w:noBreakHyphen/>
      </w:r>
      <w:r w:rsidRPr="005D2C37">
        <w:t>505(1) (note 2)</w:t>
      </w:r>
    </w:p>
    <w:p w:rsidR="00A14A03" w:rsidRPr="005D2C37" w:rsidRDefault="00A14A03" w:rsidP="005D2C37">
      <w:pPr>
        <w:pStyle w:val="Item"/>
      </w:pPr>
      <w:r w:rsidRPr="005D2C37">
        <w:t>Repeal the note.</w:t>
      </w:r>
    </w:p>
    <w:p w:rsidR="00A14A03" w:rsidRPr="005D2C37" w:rsidRDefault="00A14A03" w:rsidP="005D2C37">
      <w:pPr>
        <w:pStyle w:val="ActHead9"/>
        <w:rPr>
          <w:i w:val="0"/>
        </w:rPr>
      </w:pPr>
      <w:bookmarkStart w:id="9" w:name="_Toc420565345"/>
      <w:r w:rsidRPr="005D2C37">
        <w:t>Income Tax (Transitional Provisions) Act 1997</w:t>
      </w:r>
      <w:bookmarkEnd w:id="9"/>
    </w:p>
    <w:p w:rsidR="00A14A03" w:rsidRPr="005D2C37" w:rsidRDefault="00A14A03" w:rsidP="005D2C37">
      <w:pPr>
        <w:pStyle w:val="ItemHead"/>
      </w:pPr>
      <w:r w:rsidRPr="005D2C37">
        <w:t>18  At the end of Division</w:t>
      </w:r>
      <w:r w:rsidR="005D2C37" w:rsidRPr="005D2C37">
        <w:t> </w:t>
      </w:r>
      <w:r w:rsidRPr="005D2C37">
        <w:t>102</w:t>
      </w:r>
    </w:p>
    <w:p w:rsidR="00A14A03" w:rsidRPr="005D2C37" w:rsidRDefault="00A14A03" w:rsidP="005D2C37">
      <w:pPr>
        <w:pStyle w:val="Item"/>
      </w:pPr>
      <w:r w:rsidRPr="005D2C37">
        <w:t>Add:</w:t>
      </w:r>
    </w:p>
    <w:p w:rsidR="00A14A03" w:rsidRPr="005D2C37" w:rsidRDefault="00A14A03" w:rsidP="005D2C37">
      <w:pPr>
        <w:pStyle w:val="ActHead5"/>
      </w:pPr>
      <w:bookmarkStart w:id="10" w:name="_Toc420565346"/>
      <w:r w:rsidRPr="005D2C37">
        <w:rPr>
          <w:rStyle w:val="CharSectno"/>
        </w:rPr>
        <w:t>102</w:t>
      </w:r>
      <w:r w:rsidR="00263351">
        <w:rPr>
          <w:rStyle w:val="CharSectno"/>
        </w:rPr>
        <w:noBreakHyphen/>
      </w:r>
      <w:r w:rsidRPr="005D2C37">
        <w:rPr>
          <w:rStyle w:val="CharSectno"/>
        </w:rPr>
        <w:t>25</w:t>
      </w:r>
      <w:r w:rsidRPr="005D2C37">
        <w:t xml:space="preserve">  Transitional capital gains tax provisions for certain Cocos (Keeling) Islands and Norfolk Island assets</w:t>
      </w:r>
      <w:bookmarkEnd w:id="10"/>
    </w:p>
    <w:p w:rsidR="00A14A03" w:rsidRPr="005D2C37" w:rsidRDefault="00A14A03" w:rsidP="005D2C37">
      <w:pPr>
        <w:pStyle w:val="subsection"/>
      </w:pPr>
      <w:r w:rsidRPr="005D2C37">
        <w:tab/>
        <w:t>(1)</w:t>
      </w:r>
      <w:r w:rsidRPr="005D2C37">
        <w:tab/>
        <w:t>If:</w:t>
      </w:r>
    </w:p>
    <w:p w:rsidR="00A14A03" w:rsidRPr="005D2C37" w:rsidRDefault="00C7082F" w:rsidP="005D2C37">
      <w:pPr>
        <w:pStyle w:val="paragraph"/>
      </w:pPr>
      <w:r w:rsidRPr="005D2C37">
        <w:tab/>
      </w:r>
      <w:r w:rsidR="00A14A03" w:rsidRPr="005D2C37">
        <w:t>(a)</w:t>
      </w:r>
      <w:r w:rsidR="00914ADD" w:rsidRPr="005D2C37">
        <w:tab/>
      </w:r>
      <w:r w:rsidRPr="005D2C37">
        <w:t xml:space="preserve">an entity was </w:t>
      </w:r>
      <w:r w:rsidR="00A14A03" w:rsidRPr="005D2C37">
        <w:t>a prescribed person (within the meaning of former Division</w:t>
      </w:r>
      <w:r w:rsidR="005D2C37" w:rsidRPr="005D2C37">
        <w:t> </w:t>
      </w:r>
      <w:r w:rsidR="00A14A03" w:rsidRPr="005D2C37">
        <w:t>1A of Part</w:t>
      </w:r>
      <w:r w:rsidR="005D2C37" w:rsidRPr="005D2C37">
        <w:t> </w:t>
      </w:r>
      <w:r w:rsidR="00A14A03" w:rsidRPr="005D2C37">
        <w:t xml:space="preserve">III of the </w:t>
      </w:r>
      <w:r w:rsidR="00A14A03" w:rsidRPr="005D2C37">
        <w:rPr>
          <w:i/>
        </w:rPr>
        <w:t>Income Tax Assessment Act 1936</w:t>
      </w:r>
      <w:r w:rsidR="00A14A03" w:rsidRPr="005D2C37">
        <w:t>) because of residence in the Territory of Cocos (Keeling) Islands on or before 30</w:t>
      </w:r>
      <w:r w:rsidR="005D2C37" w:rsidRPr="005D2C37">
        <w:t> </w:t>
      </w:r>
      <w:r w:rsidR="00A14A03" w:rsidRPr="005D2C37">
        <w:t>June 1991; and</w:t>
      </w:r>
    </w:p>
    <w:p w:rsidR="00A14A03" w:rsidRPr="005D2C37" w:rsidRDefault="00A14A03" w:rsidP="005D2C37">
      <w:pPr>
        <w:pStyle w:val="paragraph"/>
      </w:pPr>
      <w:r w:rsidRPr="005D2C37">
        <w:tab/>
        <w:t>(b)</w:t>
      </w:r>
      <w:r w:rsidRPr="005D2C37">
        <w:tab/>
        <w:t>the entity acquired a CGT asset on or before that day; and</w:t>
      </w:r>
    </w:p>
    <w:p w:rsidR="00C3237D" w:rsidRPr="005D2C37" w:rsidRDefault="00C3237D" w:rsidP="005D2C37">
      <w:pPr>
        <w:pStyle w:val="paragraph"/>
      </w:pPr>
      <w:r w:rsidRPr="005D2C37">
        <w:tab/>
        <w:t>(c)</w:t>
      </w:r>
      <w:r w:rsidRPr="005D2C37">
        <w:tab/>
        <w:t>the asset is not a pre</w:t>
      </w:r>
      <w:r w:rsidR="00263351">
        <w:noBreakHyphen/>
      </w:r>
      <w:r w:rsidRPr="005D2C37">
        <w:t>CGT asset; and</w:t>
      </w:r>
    </w:p>
    <w:p w:rsidR="00A14A03" w:rsidRPr="005D2C37" w:rsidRDefault="00A14A03" w:rsidP="005D2C37">
      <w:pPr>
        <w:pStyle w:val="paragraph"/>
      </w:pPr>
      <w:r w:rsidRPr="005D2C37">
        <w:tab/>
        <w:t>(</w:t>
      </w:r>
      <w:r w:rsidR="00C3237D" w:rsidRPr="005D2C37">
        <w:t>d</w:t>
      </w:r>
      <w:r w:rsidRPr="005D2C37">
        <w:t>)</w:t>
      </w:r>
      <w:r w:rsidRPr="005D2C37">
        <w:tab/>
        <w:t>had a CGT event happened in relation to the asset immediately before 1</w:t>
      </w:r>
      <w:r w:rsidR="005D2C37" w:rsidRPr="005D2C37">
        <w:t> </w:t>
      </w:r>
      <w:r w:rsidRPr="005D2C37">
        <w:t xml:space="preserve">July 1991, and had the </w:t>
      </w:r>
      <w:r w:rsidRPr="005D2C37">
        <w:rPr>
          <w:i/>
        </w:rPr>
        <w:t>Income Tax Assessment Act 1997</w:t>
      </w:r>
      <w:r w:rsidRPr="005D2C37">
        <w:t xml:space="preserve"> been in force at the time of the event, any capital gain or capital loss from the event would have been disregarded because the entity was a prescribed person;</w:t>
      </w:r>
    </w:p>
    <w:p w:rsidR="00A14A03" w:rsidRPr="005D2C37" w:rsidRDefault="00A14A03" w:rsidP="005D2C37">
      <w:pPr>
        <w:pStyle w:val="subsection2"/>
      </w:pPr>
      <w:r w:rsidRPr="005D2C37">
        <w:t>then, for the purposes of Parts</w:t>
      </w:r>
      <w:r w:rsidR="005D2C37" w:rsidRPr="005D2C37">
        <w:t> </w:t>
      </w:r>
      <w:r w:rsidRPr="005D2C37">
        <w:t>3</w:t>
      </w:r>
      <w:r w:rsidR="00263351">
        <w:noBreakHyphen/>
      </w:r>
      <w:r w:rsidRPr="005D2C37">
        <w:t>1 and 3</w:t>
      </w:r>
      <w:r w:rsidR="00263351">
        <w:noBreakHyphen/>
      </w:r>
      <w:r w:rsidRPr="005D2C37">
        <w:t xml:space="preserve">3 of the </w:t>
      </w:r>
      <w:r w:rsidRPr="005D2C37">
        <w:rPr>
          <w:i/>
        </w:rPr>
        <w:t>Income Tax Assessment Act 1997</w:t>
      </w:r>
      <w:r w:rsidRPr="005D2C37">
        <w:t>:</w:t>
      </w:r>
    </w:p>
    <w:p w:rsidR="00A14A03" w:rsidRPr="005D2C37" w:rsidRDefault="00A14A03" w:rsidP="005D2C37">
      <w:pPr>
        <w:pStyle w:val="paragraph"/>
      </w:pPr>
      <w:r w:rsidRPr="005D2C37">
        <w:tab/>
        <w:t>(</w:t>
      </w:r>
      <w:r w:rsidR="00C3237D" w:rsidRPr="005D2C37">
        <w:t>e</w:t>
      </w:r>
      <w:r w:rsidRPr="005D2C37">
        <w:t>)</w:t>
      </w:r>
      <w:r w:rsidRPr="005D2C37">
        <w:tab/>
        <w:t>the asset is taken to have been acquired by the entity on 30</w:t>
      </w:r>
      <w:r w:rsidR="005D2C37" w:rsidRPr="005D2C37">
        <w:t> </w:t>
      </w:r>
      <w:r w:rsidRPr="005D2C37">
        <w:t>June 1991; and</w:t>
      </w:r>
    </w:p>
    <w:p w:rsidR="00A14A03" w:rsidRPr="005D2C37" w:rsidRDefault="00A14A03" w:rsidP="005D2C37">
      <w:pPr>
        <w:pStyle w:val="paragraph"/>
      </w:pPr>
      <w:r w:rsidRPr="005D2C37">
        <w:tab/>
        <w:t>(</w:t>
      </w:r>
      <w:r w:rsidR="00C3237D" w:rsidRPr="005D2C37">
        <w:t>f</w:t>
      </w:r>
      <w:r w:rsidRPr="005D2C37">
        <w:t>)</w:t>
      </w:r>
      <w:r w:rsidRPr="005D2C37">
        <w:tab/>
        <w:t>the first element of the asset’s cost base in the hands of the entity (at the end of that day) is its market value at that time.</w:t>
      </w:r>
    </w:p>
    <w:p w:rsidR="00A14A03" w:rsidRPr="005D2C37" w:rsidRDefault="00A14A03" w:rsidP="005D2C37">
      <w:pPr>
        <w:pStyle w:val="notetext"/>
      </w:pPr>
      <w:r w:rsidRPr="005D2C37">
        <w:t>Note:</w:t>
      </w:r>
      <w:r w:rsidRPr="005D2C37">
        <w:tab/>
        <w:t>A prescribed person was a Territory resident, a Territory company or a trustee of a Territory trust, as defined by former sections</w:t>
      </w:r>
      <w:r w:rsidR="005D2C37" w:rsidRPr="005D2C37">
        <w:t> </w:t>
      </w:r>
      <w:r w:rsidRPr="005D2C37">
        <w:t xml:space="preserve">24C, 24D and 24E of the </w:t>
      </w:r>
      <w:r w:rsidRPr="005D2C37">
        <w:rPr>
          <w:i/>
        </w:rPr>
        <w:t>Income Tax Assessment Act 1936</w:t>
      </w:r>
      <w:r w:rsidRPr="005D2C37">
        <w:t>.</w:t>
      </w:r>
    </w:p>
    <w:p w:rsidR="00A14A03" w:rsidRPr="005D2C37" w:rsidRDefault="00A14A03" w:rsidP="005D2C37">
      <w:pPr>
        <w:pStyle w:val="subsection"/>
      </w:pPr>
      <w:r w:rsidRPr="005D2C37">
        <w:tab/>
        <w:t>(2)</w:t>
      </w:r>
      <w:r w:rsidRPr="005D2C37">
        <w:tab/>
        <w:t>If:</w:t>
      </w:r>
    </w:p>
    <w:p w:rsidR="00A14A03" w:rsidRPr="005D2C37" w:rsidRDefault="00914ADD" w:rsidP="005D2C37">
      <w:pPr>
        <w:pStyle w:val="paragraph"/>
      </w:pPr>
      <w:r w:rsidRPr="005D2C37">
        <w:tab/>
      </w:r>
      <w:r w:rsidR="00A14A03" w:rsidRPr="005D2C37">
        <w:t>(a)</w:t>
      </w:r>
      <w:r w:rsidRPr="005D2C37">
        <w:tab/>
      </w:r>
      <w:r w:rsidR="00C7082F" w:rsidRPr="005D2C37">
        <w:t xml:space="preserve">an entity was </w:t>
      </w:r>
      <w:r w:rsidR="00A14A03" w:rsidRPr="005D2C37">
        <w:t>a prescribed person (within the meaning of former Division</w:t>
      </w:r>
      <w:r w:rsidR="005D2C37" w:rsidRPr="005D2C37">
        <w:t> </w:t>
      </w:r>
      <w:r w:rsidR="00A14A03" w:rsidRPr="005D2C37">
        <w:t>1A of Part</w:t>
      </w:r>
      <w:r w:rsidR="005D2C37" w:rsidRPr="005D2C37">
        <w:t> </w:t>
      </w:r>
      <w:r w:rsidR="00A14A03" w:rsidRPr="005D2C37">
        <w:t xml:space="preserve">III of the </w:t>
      </w:r>
      <w:r w:rsidR="00A14A03" w:rsidRPr="005D2C37">
        <w:rPr>
          <w:i/>
        </w:rPr>
        <w:t>Income Tax Assessment Act 1936</w:t>
      </w:r>
      <w:r w:rsidR="00A14A03" w:rsidRPr="005D2C37">
        <w:t>) because of residence in Norfolk Island on or before 30</w:t>
      </w:r>
      <w:r w:rsidR="005D2C37" w:rsidRPr="005D2C37">
        <w:t> </w:t>
      </w:r>
      <w:r w:rsidR="00A14A03" w:rsidRPr="005D2C37">
        <w:t>June 2016; and</w:t>
      </w:r>
    </w:p>
    <w:p w:rsidR="00A14A03" w:rsidRPr="005D2C37" w:rsidRDefault="00A14A03" w:rsidP="005D2C37">
      <w:pPr>
        <w:pStyle w:val="paragraph"/>
      </w:pPr>
      <w:r w:rsidRPr="005D2C37">
        <w:lastRenderedPageBreak/>
        <w:tab/>
        <w:t>(b)</w:t>
      </w:r>
      <w:r w:rsidRPr="005D2C37">
        <w:tab/>
        <w:t>the entity acquired a CGT asset on or before that day; and</w:t>
      </w:r>
    </w:p>
    <w:p w:rsidR="00636519" w:rsidRPr="005D2C37" w:rsidRDefault="00636519" w:rsidP="005D2C37">
      <w:pPr>
        <w:pStyle w:val="paragraph"/>
      </w:pPr>
      <w:r w:rsidRPr="005D2C37">
        <w:tab/>
        <w:t>(c)</w:t>
      </w:r>
      <w:r w:rsidRPr="005D2C37">
        <w:tab/>
        <w:t>the asset is not a pre</w:t>
      </w:r>
      <w:r w:rsidR="00263351">
        <w:noBreakHyphen/>
      </w:r>
      <w:r w:rsidRPr="005D2C37">
        <w:t>CGT asset; and</w:t>
      </w:r>
    </w:p>
    <w:p w:rsidR="00A14A03" w:rsidRPr="005D2C37" w:rsidRDefault="00A14A03" w:rsidP="005D2C37">
      <w:pPr>
        <w:pStyle w:val="paragraph"/>
      </w:pPr>
      <w:r w:rsidRPr="005D2C37">
        <w:tab/>
        <w:t>(</w:t>
      </w:r>
      <w:r w:rsidR="00636519" w:rsidRPr="005D2C37">
        <w:t>d</w:t>
      </w:r>
      <w:r w:rsidRPr="005D2C37">
        <w:t>)</w:t>
      </w:r>
      <w:r w:rsidRPr="005D2C37">
        <w:tab/>
        <w:t>had a CGT event happened in relation to the asset immediately before 1</w:t>
      </w:r>
      <w:r w:rsidR="005D2C37" w:rsidRPr="005D2C37">
        <w:t> </w:t>
      </w:r>
      <w:r w:rsidRPr="005D2C37">
        <w:t>July 2016, any capital gain or capital loss from the event would have been disregarded because the entity was a prescribed person;</w:t>
      </w:r>
    </w:p>
    <w:p w:rsidR="00A14A03" w:rsidRPr="005D2C37" w:rsidRDefault="00A14A03" w:rsidP="005D2C37">
      <w:pPr>
        <w:pStyle w:val="subsection2"/>
      </w:pPr>
      <w:r w:rsidRPr="005D2C37">
        <w:t>then, for the purposes of Parts</w:t>
      </w:r>
      <w:r w:rsidR="005D2C37" w:rsidRPr="005D2C37">
        <w:t> </w:t>
      </w:r>
      <w:r w:rsidRPr="005D2C37">
        <w:t>3</w:t>
      </w:r>
      <w:r w:rsidR="00263351">
        <w:noBreakHyphen/>
      </w:r>
      <w:r w:rsidRPr="005D2C37">
        <w:t>1 and 3</w:t>
      </w:r>
      <w:r w:rsidR="00263351">
        <w:noBreakHyphen/>
      </w:r>
      <w:r w:rsidRPr="005D2C37">
        <w:t xml:space="preserve">3 of the </w:t>
      </w:r>
      <w:r w:rsidRPr="005D2C37">
        <w:rPr>
          <w:i/>
        </w:rPr>
        <w:t>Income Tax Assessment Act 1997</w:t>
      </w:r>
      <w:r w:rsidRPr="005D2C37">
        <w:t>:</w:t>
      </w:r>
    </w:p>
    <w:p w:rsidR="00A14A03" w:rsidRPr="005D2C37" w:rsidRDefault="00A14A03" w:rsidP="005D2C37">
      <w:pPr>
        <w:pStyle w:val="paragraph"/>
      </w:pPr>
      <w:r w:rsidRPr="005D2C37">
        <w:tab/>
        <w:t>(</w:t>
      </w:r>
      <w:r w:rsidR="00636519" w:rsidRPr="005D2C37">
        <w:t>e</w:t>
      </w:r>
      <w:r w:rsidRPr="005D2C37">
        <w:t>)</w:t>
      </w:r>
      <w:r w:rsidRPr="005D2C37">
        <w:tab/>
        <w:t>the asset is taken to have been acquired by the entity on 30</w:t>
      </w:r>
      <w:r w:rsidR="005D2C37" w:rsidRPr="005D2C37">
        <w:t> </w:t>
      </w:r>
      <w:r w:rsidRPr="005D2C37">
        <w:t>June 2016; and</w:t>
      </w:r>
    </w:p>
    <w:p w:rsidR="00A14A03" w:rsidRPr="005D2C37" w:rsidRDefault="00A14A03" w:rsidP="005D2C37">
      <w:pPr>
        <w:pStyle w:val="paragraph"/>
      </w:pPr>
      <w:r w:rsidRPr="005D2C37">
        <w:tab/>
        <w:t>(</w:t>
      </w:r>
      <w:r w:rsidR="00636519" w:rsidRPr="005D2C37">
        <w:t>f</w:t>
      </w:r>
      <w:r w:rsidRPr="005D2C37">
        <w:t>)</w:t>
      </w:r>
      <w:r w:rsidRPr="005D2C37">
        <w:tab/>
        <w:t>the first element of the asset’s cost base in the hands of the entity (at the end of that day) is its market value at that time.</w:t>
      </w:r>
    </w:p>
    <w:p w:rsidR="00A14A03" w:rsidRPr="005D2C37" w:rsidRDefault="00A14A03" w:rsidP="005D2C37">
      <w:pPr>
        <w:pStyle w:val="subsection"/>
      </w:pPr>
      <w:r w:rsidRPr="005D2C37">
        <w:tab/>
        <w:t>(3)</w:t>
      </w:r>
      <w:r w:rsidRPr="005D2C37">
        <w:tab/>
        <w:t>Despite Division</w:t>
      </w:r>
      <w:r w:rsidR="005D2C37" w:rsidRPr="005D2C37">
        <w:t> </w:t>
      </w:r>
      <w:r w:rsidRPr="005D2C37">
        <w:t xml:space="preserve">121 of the </w:t>
      </w:r>
      <w:r w:rsidRPr="005D2C37">
        <w:rPr>
          <w:i/>
        </w:rPr>
        <w:t>Income Tax Assessment Act 1997</w:t>
      </w:r>
      <w:r w:rsidRPr="005D2C37">
        <w:t xml:space="preserve">, the entity is not required to keep records of the date of acquisition of an asset in relation to which </w:t>
      </w:r>
      <w:r w:rsidR="005D2C37" w:rsidRPr="005D2C37">
        <w:t>subsection (</w:t>
      </w:r>
      <w:r w:rsidRPr="005D2C37">
        <w:t>1) or (2) of this section applies, or its cost base on 30</w:t>
      </w:r>
      <w:r w:rsidR="005D2C37" w:rsidRPr="005D2C37">
        <w:t> </w:t>
      </w:r>
      <w:r w:rsidRPr="005D2C37">
        <w:t>June 1991 or 30</w:t>
      </w:r>
      <w:r w:rsidR="005D2C37" w:rsidRPr="005D2C37">
        <w:t> </w:t>
      </w:r>
      <w:r w:rsidRPr="005D2C37">
        <w:t>June 2016 (as the case requires).</w:t>
      </w:r>
    </w:p>
    <w:p w:rsidR="00A14A03" w:rsidRPr="005D2C37" w:rsidRDefault="00A14A03" w:rsidP="005D2C37">
      <w:pPr>
        <w:pStyle w:val="subsection"/>
      </w:pPr>
      <w:r w:rsidRPr="005D2C37">
        <w:tab/>
        <w:t>(4)</w:t>
      </w:r>
      <w:r w:rsidRPr="005D2C37">
        <w:tab/>
        <w:t>However, if, as at the date on which a CGT event happens in relation to the asset, the entity has complied with Division</w:t>
      </w:r>
      <w:r w:rsidR="005D2C37" w:rsidRPr="005D2C37">
        <w:t> </w:t>
      </w:r>
      <w:r w:rsidRPr="005D2C37">
        <w:t xml:space="preserve">121 of the </w:t>
      </w:r>
      <w:r w:rsidRPr="005D2C37">
        <w:rPr>
          <w:i/>
        </w:rPr>
        <w:t>Income Tax Assessment Act 1997</w:t>
      </w:r>
      <w:r w:rsidRPr="005D2C37">
        <w:t xml:space="preserve"> in relation to the asset, the entity may choose that this section does not apply in relation to the asset.</w:t>
      </w:r>
    </w:p>
    <w:p w:rsidR="00A14A03" w:rsidRPr="005D2C37" w:rsidRDefault="00A14A03" w:rsidP="005D2C37">
      <w:pPr>
        <w:pStyle w:val="ItemHead"/>
      </w:pPr>
      <w:r w:rsidRPr="005D2C37">
        <w:t>19  Application</w:t>
      </w:r>
    </w:p>
    <w:p w:rsidR="00A14A03" w:rsidRPr="005D2C37" w:rsidRDefault="00A14A03" w:rsidP="005D2C37">
      <w:pPr>
        <w:pStyle w:val="Item"/>
      </w:pPr>
      <w:r w:rsidRPr="005D2C37">
        <w:t>The amendments made by this Part (other than item</w:t>
      </w:r>
      <w:r w:rsidR="005D2C37" w:rsidRPr="005D2C37">
        <w:t> </w:t>
      </w:r>
      <w:r w:rsidRPr="005D2C37">
        <w:t>18) apply in relation to the 2016</w:t>
      </w:r>
      <w:r w:rsidR="00263351">
        <w:noBreakHyphen/>
      </w:r>
      <w:r w:rsidRPr="005D2C37">
        <w:t>17 income year and later income years.</w:t>
      </w:r>
    </w:p>
    <w:p w:rsidR="00A14A03" w:rsidRPr="005D2C37" w:rsidRDefault="00812F42" w:rsidP="005D2C37">
      <w:pPr>
        <w:pStyle w:val="ActHead6"/>
        <w:pageBreakBefore/>
      </w:pPr>
      <w:bookmarkStart w:id="11" w:name="_Toc420565347"/>
      <w:bookmarkStart w:id="12" w:name="opcCurrentFind"/>
      <w:r w:rsidRPr="005D2C37">
        <w:rPr>
          <w:rStyle w:val="CharAmSchNo"/>
        </w:rPr>
        <w:lastRenderedPageBreak/>
        <w:t>Schedule</w:t>
      </w:r>
      <w:r w:rsidR="005D2C37" w:rsidRPr="005D2C37">
        <w:rPr>
          <w:rStyle w:val="CharAmSchNo"/>
        </w:rPr>
        <w:t> </w:t>
      </w:r>
      <w:r w:rsidR="00A14A03" w:rsidRPr="005D2C37">
        <w:rPr>
          <w:rStyle w:val="CharAmSchNo"/>
        </w:rPr>
        <w:t>2</w:t>
      </w:r>
      <w:r w:rsidR="00A14A03" w:rsidRPr="005D2C37">
        <w:t>—</w:t>
      </w:r>
      <w:r w:rsidR="00A14A03" w:rsidRPr="005D2C37">
        <w:rPr>
          <w:rStyle w:val="CharAmSchText"/>
        </w:rPr>
        <w:t>Superannuation guarantee</w:t>
      </w:r>
      <w:bookmarkEnd w:id="11"/>
    </w:p>
    <w:bookmarkEnd w:id="12"/>
    <w:p w:rsidR="00812F42" w:rsidRPr="005D2C37" w:rsidRDefault="00812F42" w:rsidP="005D2C37">
      <w:pPr>
        <w:pStyle w:val="Header"/>
      </w:pPr>
      <w:r w:rsidRPr="005D2C37">
        <w:rPr>
          <w:rStyle w:val="CharAmPartNo"/>
        </w:rPr>
        <w:t xml:space="preserve"> </w:t>
      </w:r>
      <w:r w:rsidRPr="005D2C37">
        <w:rPr>
          <w:rStyle w:val="CharAmPartText"/>
        </w:rPr>
        <w:t xml:space="preserve"> </w:t>
      </w:r>
    </w:p>
    <w:p w:rsidR="00A14A03" w:rsidRPr="005D2C37" w:rsidRDefault="00A14A03" w:rsidP="005D2C37">
      <w:pPr>
        <w:pStyle w:val="ActHead9"/>
        <w:rPr>
          <w:i w:val="0"/>
        </w:rPr>
      </w:pPr>
      <w:bookmarkStart w:id="13" w:name="_Toc420565348"/>
      <w:r w:rsidRPr="005D2C37">
        <w:t>Superannuation Guarantee (Administration) Act 1992</w:t>
      </w:r>
      <w:bookmarkEnd w:id="13"/>
    </w:p>
    <w:p w:rsidR="00A14A03" w:rsidRPr="005D2C37" w:rsidRDefault="00862791" w:rsidP="005D2C37">
      <w:pPr>
        <w:pStyle w:val="ItemHead"/>
      </w:pPr>
      <w:r w:rsidRPr="005D2C37">
        <w:t>1</w:t>
      </w:r>
      <w:r w:rsidR="00A14A03" w:rsidRPr="005D2C37">
        <w:t xml:space="preserve">  Paragraphs 27(1)(b) and (c)</w:t>
      </w:r>
    </w:p>
    <w:p w:rsidR="00A14A03" w:rsidRPr="005D2C37" w:rsidRDefault="00A14A03" w:rsidP="005D2C37">
      <w:pPr>
        <w:pStyle w:val="Item"/>
      </w:pPr>
      <w:r w:rsidRPr="005D2C37">
        <w:t>Repeal the paragraphs, substitute:</w:t>
      </w:r>
    </w:p>
    <w:p w:rsidR="00A14A03" w:rsidRPr="005D2C37" w:rsidRDefault="00A14A03" w:rsidP="005D2C37">
      <w:pPr>
        <w:pStyle w:val="paragraph"/>
      </w:pPr>
      <w:r w:rsidRPr="005D2C37">
        <w:tab/>
        <w:t>(b)</w:t>
      </w:r>
      <w:r w:rsidRPr="005D2C37">
        <w:tab/>
        <w:t>salary or wages paid to an employee who is not a resident of Australia for work done outside Australia (except to the extent that the salary or wages relate to employment covered by a certificate under section</w:t>
      </w:r>
      <w:r w:rsidR="005D2C37" w:rsidRPr="005D2C37">
        <w:t> </w:t>
      </w:r>
      <w:r w:rsidRPr="005D2C37">
        <w:t>15C);</w:t>
      </w:r>
    </w:p>
    <w:p w:rsidR="00A14A03" w:rsidRPr="005D2C37" w:rsidRDefault="00A14A03" w:rsidP="005D2C37">
      <w:pPr>
        <w:pStyle w:val="paragraph"/>
      </w:pPr>
      <w:r w:rsidRPr="005D2C37">
        <w:tab/>
        <w:t>(c)</w:t>
      </w:r>
      <w:r w:rsidRPr="005D2C37">
        <w:tab/>
        <w:t>salary or wages paid by an employer who is not a resident of Australia to an employee who is a resident of Australia for work done outside Australia;</w:t>
      </w:r>
    </w:p>
    <w:p w:rsidR="00A14A03" w:rsidRPr="005D2C37" w:rsidRDefault="00A14A03" w:rsidP="005D2C37">
      <w:pPr>
        <w:pStyle w:val="ItemHead"/>
      </w:pPr>
      <w:r w:rsidRPr="005D2C37">
        <w:t>2  Application and transitional</w:t>
      </w:r>
    </w:p>
    <w:p w:rsidR="00A14A03" w:rsidRPr="005D2C37" w:rsidRDefault="00A14A03" w:rsidP="005D2C37">
      <w:pPr>
        <w:pStyle w:val="Subitem"/>
      </w:pPr>
      <w:r w:rsidRPr="005D2C37">
        <w:t>(1)</w:t>
      </w:r>
      <w:r w:rsidRPr="005D2C37">
        <w:tab/>
        <w:t>The amendments made by this Part apply in relation to quarters starting on or after 1</w:t>
      </w:r>
      <w:r w:rsidR="005D2C37" w:rsidRPr="005D2C37">
        <w:t> </w:t>
      </w:r>
      <w:r w:rsidRPr="005D2C37">
        <w:t>July 2016.</w:t>
      </w:r>
    </w:p>
    <w:p w:rsidR="00A14A03" w:rsidRPr="005D2C37" w:rsidRDefault="00A14A03" w:rsidP="005D2C37">
      <w:pPr>
        <w:pStyle w:val="Subitem"/>
      </w:pPr>
      <w:r w:rsidRPr="005D2C37">
        <w:t>(2)</w:t>
      </w:r>
      <w:r w:rsidRPr="005D2C37">
        <w:tab/>
        <w:t>However, for the purpose of making the calculation of an employer’s individual superannuation guarantee shortfall for an employee for a quarter under section</w:t>
      </w:r>
      <w:r w:rsidR="005D2C37" w:rsidRPr="005D2C37">
        <w:t> </w:t>
      </w:r>
      <w:r w:rsidRPr="005D2C37">
        <w:t xml:space="preserve">19 of the </w:t>
      </w:r>
      <w:r w:rsidRPr="005D2C37">
        <w:rPr>
          <w:i/>
        </w:rPr>
        <w:t>Superannuation Guarantee (Administration) Act 1992</w:t>
      </w:r>
      <w:r w:rsidRPr="005D2C37">
        <w:t>, if:</w:t>
      </w:r>
    </w:p>
    <w:p w:rsidR="00A14A03" w:rsidRPr="005D2C37" w:rsidRDefault="00A14A03" w:rsidP="005D2C37">
      <w:pPr>
        <w:pStyle w:val="paragraph"/>
      </w:pPr>
      <w:r w:rsidRPr="005D2C37">
        <w:tab/>
        <w:t>(a)</w:t>
      </w:r>
      <w:r w:rsidRPr="005D2C37">
        <w:tab/>
        <w:t>some or all of the salary or wages paid by the employer to the employee for the quarter consists of Norfolk Island salary or wages; and</w:t>
      </w:r>
    </w:p>
    <w:p w:rsidR="00A14A03" w:rsidRPr="005D2C37" w:rsidRDefault="00A14A03" w:rsidP="005D2C37">
      <w:pPr>
        <w:pStyle w:val="paragraph"/>
      </w:pPr>
      <w:r w:rsidRPr="005D2C37">
        <w:tab/>
        <w:t>(b)</w:t>
      </w:r>
      <w:r w:rsidRPr="005D2C37">
        <w:tab/>
        <w:t>the quarter occurs in a financial year starting on or after1</w:t>
      </w:r>
      <w:r w:rsidR="005D2C37" w:rsidRPr="005D2C37">
        <w:t> </w:t>
      </w:r>
      <w:r w:rsidRPr="005D2C37">
        <w:t>July 2016, and ending before 1</w:t>
      </w:r>
      <w:r w:rsidR="005D2C37" w:rsidRPr="005D2C37">
        <w:t> </w:t>
      </w:r>
      <w:r w:rsidRPr="005D2C37">
        <w:t>July 2027;</w:t>
      </w:r>
    </w:p>
    <w:p w:rsidR="00A14A03" w:rsidRPr="005D2C37" w:rsidRDefault="00A14A03" w:rsidP="005D2C37">
      <w:pPr>
        <w:pStyle w:val="Item"/>
      </w:pPr>
      <w:r w:rsidRPr="005D2C37">
        <w:t>the total salary and wages paid by the employer to the employee for the quarter is taken to be reduced by an amount worked out using the formula:</w:t>
      </w:r>
    </w:p>
    <w:p w:rsidR="00A14A03" w:rsidRPr="005D2C37" w:rsidRDefault="00E17E51" w:rsidP="005D2C37">
      <w:pPr>
        <w:pStyle w:val="subsection2"/>
      </w:pPr>
      <w:bookmarkStart w:id="14" w:name="BKCheck15B_2"/>
      <w:bookmarkEnd w:id="14"/>
      <w:r>
        <w:rPr>
          <w:position w:val="-54"/>
        </w:rPr>
        <w:pict>
          <v:shape id="_x0000_i1027" type="#_x0000_t75" style="width:261pt;height:65.25pt">
            <v:imagedata r:id="rId20" o:title=""/>
          </v:shape>
        </w:pict>
      </w:r>
    </w:p>
    <w:p w:rsidR="00A14A03" w:rsidRPr="005D2C37" w:rsidRDefault="00A14A03" w:rsidP="005D2C37">
      <w:pPr>
        <w:pStyle w:val="Item"/>
      </w:pPr>
      <w:r w:rsidRPr="005D2C37">
        <w:t>where:</w:t>
      </w:r>
    </w:p>
    <w:p w:rsidR="00A14A03" w:rsidRPr="005D2C37" w:rsidRDefault="00A14A03" w:rsidP="005D2C37">
      <w:pPr>
        <w:pStyle w:val="Item"/>
      </w:pPr>
      <w:r w:rsidRPr="005D2C37">
        <w:rPr>
          <w:b/>
          <w:i/>
        </w:rPr>
        <w:lastRenderedPageBreak/>
        <w:t>charge percentage</w:t>
      </w:r>
      <w:r w:rsidRPr="005D2C37">
        <w:t xml:space="preserve"> is the charge percentage for the employer for the quarter, as specified in subsection</w:t>
      </w:r>
      <w:r w:rsidR="005D2C37" w:rsidRPr="005D2C37">
        <w:t> </w:t>
      </w:r>
      <w:r w:rsidRPr="005D2C37">
        <w:t xml:space="preserve">19(2) of the </w:t>
      </w:r>
      <w:r w:rsidRPr="005D2C37">
        <w:rPr>
          <w:i/>
        </w:rPr>
        <w:t>Superannuation Guarantee (Administration) Act 1992</w:t>
      </w:r>
      <w:r w:rsidRPr="005D2C37">
        <w:t>.</w:t>
      </w:r>
    </w:p>
    <w:p w:rsidR="00A14A03" w:rsidRPr="005D2C37" w:rsidRDefault="00A14A03" w:rsidP="005D2C37">
      <w:pPr>
        <w:pStyle w:val="Item"/>
      </w:pPr>
      <w:r w:rsidRPr="005D2C37">
        <w:rPr>
          <w:b/>
          <w:i/>
        </w:rPr>
        <w:t>Norfolk Island charge percentage</w:t>
      </w:r>
      <w:r w:rsidRPr="005D2C37">
        <w:t xml:space="preserve"> is:</w:t>
      </w:r>
    </w:p>
    <w:p w:rsidR="00A14A03" w:rsidRPr="005D2C37" w:rsidRDefault="00A14A03" w:rsidP="005D2C37">
      <w:pPr>
        <w:pStyle w:val="paragraph"/>
      </w:pPr>
      <w:r w:rsidRPr="005D2C37">
        <w:tab/>
        <w:t>(a)</w:t>
      </w:r>
      <w:r w:rsidRPr="005D2C37">
        <w:tab/>
        <w:t>if the quarter occurs in the financial year starting on 1</w:t>
      </w:r>
      <w:r w:rsidR="005D2C37" w:rsidRPr="005D2C37">
        <w:t> </w:t>
      </w:r>
      <w:r w:rsidRPr="005D2C37">
        <w:t>July 2016—1; or</w:t>
      </w:r>
    </w:p>
    <w:p w:rsidR="00A14A03" w:rsidRPr="005D2C37" w:rsidRDefault="00A14A03" w:rsidP="005D2C37">
      <w:pPr>
        <w:pStyle w:val="paragraph"/>
      </w:pPr>
      <w:r w:rsidRPr="005D2C37">
        <w:tab/>
        <w:t>(b)</w:t>
      </w:r>
      <w:r w:rsidRPr="005D2C37">
        <w:tab/>
        <w:t xml:space="preserve">if the quarter occurs in a later financial year—the number worked out by increasing by 1 the </w:t>
      </w:r>
      <w:r w:rsidR="006A7A5F" w:rsidRPr="005D2C37">
        <w:t>Norfolk Island</w:t>
      </w:r>
      <w:r w:rsidRPr="005D2C37">
        <w:t xml:space="preserve"> charge percentage for a quarter that occurred in the financial year preceding that later financial year.</w:t>
      </w:r>
    </w:p>
    <w:p w:rsidR="00A14A03" w:rsidRPr="005D2C37" w:rsidRDefault="00A14A03" w:rsidP="005D2C37">
      <w:pPr>
        <w:pStyle w:val="noteToPara"/>
      </w:pPr>
      <w:r w:rsidRPr="005D2C37">
        <w:t>Example:</w:t>
      </w:r>
      <w:r w:rsidRPr="005D2C37">
        <w:tab/>
        <w:t>If the quarter occurs in the 2018</w:t>
      </w:r>
      <w:r w:rsidR="00263351">
        <w:noBreakHyphen/>
      </w:r>
      <w:r w:rsidRPr="005D2C37">
        <w:t xml:space="preserve">19 financial year, the </w:t>
      </w:r>
      <w:r w:rsidR="006A7A5F" w:rsidRPr="005D2C37">
        <w:t>Norfolk Island</w:t>
      </w:r>
      <w:r w:rsidRPr="005D2C37">
        <w:t xml:space="preserve"> charge percentage will be 3, because in the quarters of the 2017</w:t>
      </w:r>
      <w:r w:rsidR="00263351">
        <w:noBreakHyphen/>
      </w:r>
      <w:r w:rsidRPr="005D2C37">
        <w:t>18 financial year it will have been 2 (having increased by 1 from the 2016</w:t>
      </w:r>
      <w:r w:rsidR="00263351">
        <w:noBreakHyphen/>
      </w:r>
      <w:r w:rsidRPr="005D2C37">
        <w:t>17 financial year).</w:t>
      </w:r>
    </w:p>
    <w:p w:rsidR="00A14A03" w:rsidRPr="005D2C37" w:rsidRDefault="00A14A03" w:rsidP="005D2C37">
      <w:pPr>
        <w:pStyle w:val="Subitem"/>
      </w:pPr>
      <w:r w:rsidRPr="005D2C37">
        <w:t>(3)</w:t>
      </w:r>
      <w:r w:rsidRPr="005D2C37">
        <w:tab/>
        <w:t>In this item:</w:t>
      </w:r>
    </w:p>
    <w:p w:rsidR="00263351" w:rsidRDefault="00A14A03" w:rsidP="005D2C37">
      <w:pPr>
        <w:pStyle w:val="Item"/>
      </w:pPr>
      <w:r w:rsidRPr="005D2C37">
        <w:rPr>
          <w:b/>
          <w:i/>
        </w:rPr>
        <w:t>Norfolk Island salary or wages</w:t>
      </w:r>
      <w:r w:rsidRPr="005D2C37">
        <w:t xml:space="preserve"> means salary or wages that, if the amendments made by this Part had not been made, would, because of subparagraph</w:t>
      </w:r>
      <w:r w:rsidR="005D2C37" w:rsidRPr="005D2C37">
        <w:t> </w:t>
      </w:r>
      <w:r w:rsidRPr="005D2C37">
        <w:t xml:space="preserve">27(1)(b)(ii) or (c)(ii) of the </w:t>
      </w:r>
      <w:r w:rsidRPr="005D2C37">
        <w:rPr>
          <w:i/>
        </w:rPr>
        <w:t>Superannuation Guarantee (Administration) Act 1992</w:t>
      </w:r>
      <w:r w:rsidRPr="005D2C37">
        <w:t>, not have been taken into account for the purpose of making a calculation under section</w:t>
      </w:r>
      <w:r w:rsidR="005D2C37" w:rsidRPr="005D2C37">
        <w:t> </w:t>
      </w:r>
      <w:r w:rsidRPr="005D2C37">
        <w:t>19 of that Act.</w:t>
      </w:r>
    </w:p>
    <w:p w:rsidR="009D1517" w:rsidRDefault="009D1517" w:rsidP="009334EE"/>
    <w:p w:rsidR="009D1517" w:rsidRDefault="009D1517" w:rsidP="00027C40">
      <w:pPr>
        <w:pStyle w:val="AssentBk"/>
        <w:keepNext/>
      </w:pPr>
    </w:p>
    <w:p w:rsidR="009D1517" w:rsidRDefault="009D1517" w:rsidP="00027C40">
      <w:pPr>
        <w:pStyle w:val="AssentBk"/>
        <w:keepNext/>
      </w:pPr>
    </w:p>
    <w:p w:rsidR="009334EE" w:rsidRDefault="009334EE" w:rsidP="003B1CD0">
      <w:pPr>
        <w:pStyle w:val="2ndRd"/>
        <w:keepNext/>
        <w:pBdr>
          <w:top w:val="single" w:sz="2" w:space="1" w:color="auto"/>
        </w:pBdr>
      </w:pPr>
    </w:p>
    <w:p w:rsidR="009334EE" w:rsidRDefault="009334EE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334EE" w:rsidRDefault="009334EE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March 2015</w:t>
      </w:r>
    </w:p>
    <w:p w:rsidR="009334EE" w:rsidRDefault="009334EE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2015</w:t>
      </w:r>
      <w:r>
        <w:t>]</w:t>
      </w:r>
    </w:p>
    <w:p w:rsidR="009334EE" w:rsidRDefault="009334EE" w:rsidP="003B1CD0"/>
    <w:p w:rsidR="009D1517" w:rsidRPr="009334EE" w:rsidRDefault="009334EE" w:rsidP="009334EE">
      <w:pPr>
        <w:framePr w:hSpace="180" w:wrap="around" w:vAnchor="text" w:hAnchor="page" w:x="2379" w:y="2769"/>
      </w:pPr>
      <w:r>
        <w:t>(52/15)</w:t>
      </w:r>
    </w:p>
    <w:p w:rsidR="009334EE" w:rsidRDefault="009334EE"/>
    <w:sectPr w:rsidR="009334EE" w:rsidSect="009D151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01" w:rsidRDefault="00BC4501" w:rsidP="0048364F">
      <w:pPr>
        <w:spacing w:line="240" w:lineRule="auto"/>
      </w:pPr>
      <w:r>
        <w:separator/>
      </w:r>
    </w:p>
  </w:endnote>
  <w:endnote w:type="continuationSeparator" w:id="0">
    <w:p w:rsidR="00BC4501" w:rsidRDefault="00BC45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5F1388" w:rsidRDefault="00633FBD" w:rsidP="005D2C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EE" w:rsidRDefault="009334EE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633FBD" w:rsidRDefault="00633FBD" w:rsidP="005D2C37">
    <w:pPr>
      <w:pStyle w:val="Footer"/>
      <w:spacing w:before="120"/>
    </w:pPr>
  </w:p>
  <w:p w:rsidR="00633FBD" w:rsidRPr="005F1388" w:rsidRDefault="00633FBD" w:rsidP="00633F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ED79B6" w:rsidRDefault="00633FBD" w:rsidP="005D2C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Default="00633FBD" w:rsidP="005D2C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3FBD" w:rsidTr="00B35A85">
      <w:tc>
        <w:tcPr>
          <w:tcW w:w="646" w:type="dxa"/>
        </w:tcPr>
        <w:p w:rsidR="00633FBD" w:rsidRDefault="00633FBD" w:rsidP="00B35A8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E51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3FBD" w:rsidRDefault="009D1517" w:rsidP="00B35A85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and Superannuation Laws Amendment (Norfolk Island Reforms) Act 2015</w:t>
          </w:r>
        </w:p>
      </w:tc>
      <w:tc>
        <w:tcPr>
          <w:tcW w:w="1270" w:type="dxa"/>
        </w:tcPr>
        <w:p w:rsidR="00633FBD" w:rsidRDefault="009D1517" w:rsidP="00B35A8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633FBD" w:rsidRDefault="00633FBD" w:rsidP="00633FB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Default="00633FBD" w:rsidP="005D2C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3FBD" w:rsidTr="00B35A85">
      <w:tc>
        <w:tcPr>
          <w:tcW w:w="1247" w:type="dxa"/>
        </w:tcPr>
        <w:p w:rsidR="00633FBD" w:rsidRDefault="009D1517" w:rsidP="009334EE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334EE">
            <w:rPr>
              <w:i/>
              <w:sz w:val="18"/>
            </w:rPr>
            <w:t>53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633FBD" w:rsidRDefault="009D1517" w:rsidP="00B35A85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Tax and Superannuation Laws Amendment (Norfolk Island Reforms) Act 2015</w:t>
          </w:r>
        </w:p>
      </w:tc>
      <w:tc>
        <w:tcPr>
          <w:tcW w:w="669" w:type="dxa"/>
        </w:tcPr>
        <w:p w:rsidR="00633FBD" w:rsidRDefault="00633FBD" w:rsidP="00B35A8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7E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3FBD" w:rsidRPr="00ED79B6" w:rsidRDefault="00633FBD" w:rsidP="00633FBD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A961C4" w:rsidRDefault="00633FBD" w:rsidP="005D2C3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3FBD" w:rsidTr="005D2C37">
      <w:tc>
        <w:tcPr>
          <w:tcW w:w="646" w:type="dxa"/>
        </w:tcPr>
        <w:p w:rsidR="00633FBD" w:rsidRDefault="00633FBD" w:rsidP="00B35A8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17E51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3FBD" w:rsidRDefault="009D1517" w:rsidP="00B35A85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and Superannuation Laws Amendment (Norfolk Island Reforms) Act 2015</w:t>
          </w:r>
        </w:p>
      </w:tc>
      <w:tc>
        <w:tcPr>
          <w:tcW w:w="1270" w:type="dxa"/>
        </w:tcPr>
        <w:p w:rsidR="00633FBD" w:rsidRDefault="009334EE" w:rsidP="00B35A8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53, 2015</w:t>
          </w:r>
        </w:p>
      </w:tc>
    </w:tr>
  </w:tbl>
  <w:p w:rsidR="00633FBD" w:rsidRPr="00A961C4" w:rsidRDefault="00633FBD" w:rsidP="00633FB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A961C4" w:rsidRDefault="00633FBD" w:rsidP="005D2C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3FBD" w:rsidTr="005D2C37">
      <w:tc>
        <w:tcPr>
          <w:tcW w:w="1247" w:type="dxa"/>
        </w:tcPr>
        <w:p w:rsidR="00633FBD" w:rsidRDefault="009334EE" w:rsidP="00B35A85">
          <w:pPr>
            <w:rPr>
              <w:sz w:val="18"/>
            </w:rPr>
          </w:pPr>
          <w:r>
            <w:rPr>
              <w:i/>
              <w:sz w:val="18"/>
            </w:rPr>
            <w:t>No. 53, 2015</w:t>
          </w:r>
        </w:p>
      </w:tc>
      <w:tc>
        <w:tcPr>
          <w:tcW w:w="5387" w:type="dxa"/>
        </w:tcPr>
        <w:p w:rsidR="00633FBD" w:rsidRDefault="009D1517" w:rsidP="00B35A85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and Superannuation Laws Amendment (Norfolk Island Reforms) Act 2015</w:t>
          </w:r>
        </w:p>
      </w:tc>
      <w:tc>
        <w:tcPr>
          <w:tcW w:w="669" w:type="dxa"/>
        </w:tcPr>
        <w:p w:rsidR="00633FBD" w:rsidRDefault="00633FBD" w:rsidP="00B35A8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17E51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3FBD" w:rsidRPr="00055B5C" w:rsidRDefault="00633FBD" w:rsidP="00633FB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A961C4" w:rsidRDefault="00633FBD" w:rsidP="005D2C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3FBD" w:rsidTr="005D2C37">
      <w:tc>
        <w:tcPr>
          <w:tcW w:w="1247" w:type="dxa"/>
        </w:tcPr>
        <w:p w:rsidR="00633FBD" w:rsidRDefault="009334EE" w:rsidP="00B35A85">
          <w:pPr>
            <w:rPr>
              <w:sz w:val="18"/>
            </w:rPr>
          </w:pPr>
          <w:r>
            <w:rPr>
              <w:i/>
              <w:sz w:val="18"/>
            </w:rPr>
            <w:t>No. 53, 2015</w:t>
          </w:r>
        </w:p>
      </w:tc>
      <w:tc>
        <w:tcPr>
          <w:tcW w:w="5387" w:type="dxa"/>
        </w:tcPr>
        <w:p w:rsidR="00633FBD" w:rsidRDefault="009D1517" w:rsidP="00B35A85">
          <w:pPr>
            <w:jc w:val="center"/>
            <w:rPr>
              <w:sz w:val="18"/>
            </w:rPr>
          </w:pPr>
          <w:r>
            <w:rPr>
              <w:i/>
              <w:sz w:val="18"/>
            </w:rPr>
            <w:t>Tax and Superannuation Laws Amendment (Norfolk Island Reforms) Act 2015</w:t>
          </w:r>
        </w:p>
      </w:tc>
      <w:tc>
        <w:tcPr>
          <w:tcW w:w="669" w:type="dxa"/>
        </w:tcPr>
        <w:p w:rsidR="00633FBD" w:rsidRDefault="00633FBD" w:rsidP="00B35A8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17E5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3FBD" w:rsidRPr="00A961C4" w:rsidRDefault="00633FBD" w:rsidP="00633FBD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01" w:rsidRDefault="00BC4501" w:rsidP="0048364F">
      <w:pPr>
        <w:spacing w:line="240" w:lineRule="auto"/>
      </w:pPr>
      <w:r>
        <w:separator/>
      </w:r>
    </w:p>
  </w:footnote>
  <w:footnote w:type="continuationSeparator" w:id="0">
    <w:p w:rsidR="00BC4501" w:rsidRDefault="00BC45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5F1388" w:rsidRDefault="00633FBD" w:rsidP="00633FBD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5F1388" w:rsidRDefault="00633FBD" w:rsidP="00633FBD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5F1388" w:rsidRDefault="00633FBD" w:rsidP="00633FB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ED79B6" w:rsidRDefault="00633FBD" w:rsidP="00633FBD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ED79B6" w:rsidRDefault="00633FBD" w:rsidP="00633FBD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ED79B6" w:rsidRDefault="00633FBD" w:rsidP="00633FB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A961C4" w:rsidRDefault="00633FBD" w:rsidP="00633F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17E51">
      <w:rPr>
        <w:b/>
        <w:sz w:val="20"/>
      </w:rPr>
      <w:fldChar w:fldCharType="separate"/>
    </w:r>
    <w:r w:rsidR="00E17E5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17E51">
      <w:rPr>
        <w:sz w:val="20"/>
      </w:rPr>
      <w:fldChar w:fldCharType="separate"/>
    </w:r>
    <w:r w:rsidR="00E17E51">
      <w:rPr>
        <w:noProof/>
        <w:sz w:val="20"/>
      </w:rPr>
      <w:t>Superannuation guarantee</w:t>
    </w:r>
    <w:r>
      <w:rPr>
        <w:sz w:val="20"/>
      </w:rPr>
      <w:fldChar w:fldCharType="end"/>
    </w:r>
  </w:p>
  <w:p w:rsidR="00633FBD" w:rsidRPr="00A961C4" w:rsidRDefault="00633FBD" w:rsidP="00633FB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33FBD" w:rsidRPr="00A961C4" w:rsidRDefault="00633FBD" w:rsidP="00633FB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A961C4" w:rsidRDefault="00633FBD" w:rsidP="00633FB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17E51">
      <w:rPr>
        <w:sz w:val="20"/>
      </w:rPr>
      <w:fldChar w:fldCharType="separate"/>
    </w:r>
    <w:r w:rsidR="00E17E51">
      <w:rPr>
        <w:noProof/>
        <w:sz w:val="20"/>
      </w:rPr>
      <w:t>Superannuation guarantee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17E51">
      <w:rPr>
        <w:b/>
        <w:sz w:val="20"/>
      </w:rPr>
      <w:fldChar w:fldCharType="separate"/>
    </w:r>
    <w:r w:rsidR="00E17E51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33FBD" w:rsidRPr="00A961C4" w:rsidRDefault="00633FBD" w:rsidP="00633FB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33FBD" w:rsidRPr="00A961C4" w:rsidRDefault="00633FBD" w:rsidP="00633FB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BD" w:rsidRPr="00A961C4" w:rsidRDefault="00633FBD" w:rsidP="00633F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01"/>
    <w:rsid w:val="000113BC"/>
    <w:rsid w:val="000136AF"/>
    <w:rsid w:val="000417C9"/>
    <w:rsid w:val="00055B5C"/>
    <w:rsid w:val="00060FF9"/>
    <w:rsid w:val="000614BF"/>
    <w:rsid w:val="000B1FD2"/>
    <w:rsid w:val="000D05EF"/>
    <w:rsid w:val="000F21C1"/>
    <w:rsid w:val="00100BCC"/>
    <w:rsid w:val="00101D90"/>
    <w:rsid w:val="0010745C"/>
    <w:rsid w:val="00113BD1"/>
    <w:rsid w:val="00115FA2"/>
    <w:rsid w:val="00122206"/>
    <w:rsid w:val="00130CD2"/>
    <w:rsid w:val="0015646E"/>
    <w:rsid w:val="001643C9"/>
    <w:rsid w:val="00165568"/>
    <w:rsid w:val="00166C2F"/>
    <w:rsid w:val="001716C9"/>
    <w:rsid w:val="00173363"/>
    <w:rsid w:val="00173B94"/>
    <w:rsid w:val="00180615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351"/>
    <w:rsid w:val="00263820"/>
    <w:rsid w:val="00293B89"/>
    <w:rsid w:val="00297ECB"/>
    <w:rsid w:val="002B5A30"/>
    <w:rsid w:val="002D043A"/>
    <w:rsid w:val="002D395A"/>
    <w:rsid w:val="002F6283"/>
    <w:rsid w:val="003415D3"/>
    <w:rsid w:val="00350417"/>
    <w:rsid w:val="00352B0F"/>
    <w:rsid w:val="00375C6C"/>
    <w:rsid w:val="003C5F2B"/>
    <w:rsid w:val="003D0BFE"/>
    <w:rsid w:val="003D5700"/>
    <w:rsid w:val="00403842"/>
    <w:rsid w:val="00405579"/>
    <w:rsid w:val="00410B8E"/>
    <w:rsid w:val="004116CD"/>
    <w:rsid w:val="00421FC1"/>
    <w:rsid w:val="004229C7"/>
    <w:rsid w:val="00424CA9"/>
    <w:rsid w:val="004338D3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62DE4"/>
    <w:rsid w:val="00584811"/>
    <w:rsid w:val="00593AA6"/>
    <w:rsid w:val="00594161"/>
    <w:rsid w:val="00594749"/>
    <w:rsid w:val="005A0D92"/>
    <w:rsid w:val="005B4067"/>
    <w:rsid w:val="005C3F41"/>
    <w:rsid w:val="005D2C37"/>
    <w:rsid w:val="005D4598"/>
    <w:rsid w:val="005E152A"/>
    <w:rsid w:val="00600219"/>
    <w:rsid w:val="00600FDF"/>
    <w:rsid w:val="006332D1"/>
    <w:rsid w:val="00633FBD"/>
    <w:rsid w:val="00636519"/>
    <w:rsid w:val="00641DE5"/>
    <w:rsid w:val="00656F0C"/>
    <w:rsid w:val="006608ED"/>
    <w:rsid w:val="00677CC2"/>
    <w:rsid w:val="00681F92"/>
    <w:rsid w:val="006842C2"/>
    <w:rsid w:val="00685F42"/>
    <w:rsid w:val="0069207B"/>
    <w:rsid w:val="006A7A5F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298"/>
    <w:rsid w:val="00714B26"/>
    <w:rsid w:val="00731E00"/>
    <w:rsid w:val="007440B7"/>
    <w:rsid w:val="007634AD"/>
    <w:rsid w:val="007715C9"/>
    <w:rsid w:val="00774EDD"/>
    <w:rsid w:val="007757EC"/>
    <w:rsid w:val="007A32E8"/>
    <w:rsid w:val="007E7D4A"/>
    <w:rsid w:val="008006CC"/>
    <w:rsid w:val="00807F18"/>
    <w:rsid w:val="00812F42"/>
    <w:rsid w:val="00831E8D"/>
    <w:rsid w:val="008401DC"/>
    <w:rsid w:val="00856A31"/>
    <w:rsid w:val="00857D6B"/>
    <w:rsid w:val="00862791"/>
    <w:rsid w:val="008754D0"/>
    <w:rsid w:val="00877D48"/>
    <w:rsid w:val="00883781"/>
    <w:rsid w:val="00885570"/>
    <w:rsid w:val="00893958"/>
    <w:rsid w:val="008A2E77"/>
    <w:rsid w:val="008A5548"/>
    <w:rsid w:val="008C6F6F"/>
    <w:rsid w:val="008D0EE0"/>
    <w:rsid w:val="008D1269"/>
    <w:rsid w:val="008F4F1C"/>
    <w:rsid w:val="008F77C4"/>
    <w:rsid w:val="009103F3"/>
    <w:rsid w:val="00914ADD"/>
    <w:rsid w:val="00932377"/>
    <w:rsid w:val="009334EE"/>
    <w:rsid w:val="00956376"/>
    <w:rsid w:val="00967042"/>
    <w:rsid w:val="0098255A"/>
    <w:rsid w:val="009845BE"/>
    <w:rsid w:val="009969C9"/>
    <w:rsid w:val="009D1517"/>
    <w:rsid w:val="009E5ABA"/>
    <w:rsid w:val="00A10775"/>
    <w:rsid w:val="00A14A03"/>
    <w:rsid w:val="00A231E2"/>
    <w:rsid w:val="00A36C48"/>
    <w:rsid w:val="00A41E0B"/>
    <w:rsid w:val="00A43A6C"/>
    <w:rsid w:val="00A55631"/>
    <w:rsid w:val="00A64912"/>
    <w:rsid w:val="00A70A74"/>
    <w:rsid w:val="00AA3795"/>
    <w:rsid w:val="00AB3A17"/>
    <w:rsid w:val="00AC1E75"/>
    <w:rsid w:val="00AC386A"/>
    <w:rsid w:val="00AD5641"/>
    <w:rsid w:val="00AE1088"/>
    <w:rsid w:val="00AE35E3"/>
    <w:rsid w:val="00AF1BA4"/>
    <w:rsid w:val="00B032D8"/>
    <w:rsid w:val="00B3360E"/>
    <w:rsid w:val="00B33B3C"/>
    <w:rsid w:val="00B35551"/>
    <w:rsid w:val="00B6382D"/>
    <w:rsid w:val="00B818D0"/>
    <w:rsid w:val="00BA5026"/>
    <w:rsid w:val="00BB40BF"/>
    <w:rsid w:val="00BC0CD1"/>
    <w:rsid w:val="00BC4501"/>
    <w:rsid w:val="00BE6E3A"/>
    <w:rsid w:val="00BE719A"/>
    <w:rsid w:val="00BE720A"/>
    <w:rsid w:val="00BF0461"/>
    <w:rsid w:val="00BF4944"/>
    <w:rsid w:val="00C04409"/>
    <w:rsid w:val="00C067E5"/>
    <w:rsid w:val="00C07DC6"/>
    <w:rsid w:val="00C164CA"/>
    <w:rsid w:val="00C176CF"/>
    <w:rsid w:val="00C3237D"/>
    <w:rsid w:val="00C42BF8"/>
    <w:rsid w:val="00C460AE"/>
    <w:rsid w:val="00C50043"/>
    <w:rsid w:val="00C54E84"/>
    <w:rsid w:val="00C7082F"/>
    <w:rsid w:val="00C7573B"/>
    <w:rsid w:val="00C76CF3"/>
    <w:rsid w:val="00C82F43"/>
    <w:rsid w:val="00CE1E31"/>
    <w:rsid w:val="00CF0BB2"/>
    <w:rsid w:val="00D00EAA"/>
    <w:rsid w:val="00D07CA7"/>
    <w:rsid w:val="00D13441"/>
    <w:rsid w:val="00D243A3"/>
    <w:rsid w:val="00D477C3"/>
    <w:rsid w:val="00D52EFE"/>
    <w:rsid w:val="00D63EF6"/>
    <w:rsid w:val="00D70DFB"/>
    <w:rsid w:val="00D73029"/>
    <w:rsid w:val="00D766DF"/>
    <w:rsid w:val="00DE1F5E"/>
    <w:rsid w:val="00DF7AE9"/>
    <w:rsid w:val="00E05704"/>
    <w:rsid w:val="00E17E51"/>
    <w:rsid w:val="00E24D66"/>
    <w:rsid w:val="00E43ECB"/>
    <w:rsid w:val="00E537B8"/>
    <w:rsid w:val="00E54292"/>
    <w:rsid w:val="00E74DC7"/>
    <w:rsid w:val="00E87699"/>
    <w:rsid w:val="00E95991"/>
    <w:rsid w:val="00EB7881"/>
    <w:rsid w:val="00ED492F"/>
    <w:rsid w:val="00EF2E3A"/>
    <w:rsid w:val="00F047E2"/>
    <w:rsid w:val="00F078DC"/>
    <w:rsid w:val="00F13E86"/>
    <w:rsid w:val="00F17B00"/>
    <w:rsid w:val="00F33AB4"/>
    <w:rsid w:val="00F677A9"/>
    <w:rsid w:val="00F80E4E"/>
    <w:rsid w:val="00F84CF5"/>
    <w:rsid w:val="00F92D35"/>
    <w:rsid w:val="00F979AB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2C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F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F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F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C37"/>
  </w:style>
  <w:style w:type="paragraph" w:customStyle="1" w:styleId="OPCParaBase">
    <w:name w:val="OPCParaBase"/>
    <w:link w:val="OPCParaBaseChar"/>
    <w:qFormat/>
    <w:rsid w:val="005D2C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D2C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C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C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C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C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2C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C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C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C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C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D2C37"/>
  </w:style>
  <w:style w:type="paragraph" w:customStyle="1" w:styleId="Blocks">
    <w:name w:val="Blocks"/>
    <w:aliases w:val="bb"/>
    <w:basedOn w:val="OPCParaBase"/>
    <w:qFormat/>
    <w:rsid w:val="005D2C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C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C37"/>
    <w:rPr>
      <w:i/>
    </w:rPr>
  </w:style>
  <w:style w:type="paragraph" w:customStyle="1" w:styleId="BoxList">
    <w:name w:val="BoxList"/>
    <w:aliases w:val="bl"/>
    <w:basedOn w:val="BoxText"/>
    <w:qFormat/>
    <w:rsid w:val="005D2C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C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C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C37"/>
    <w:pPr>
      <w:ind w:left="1985" w:hanging="851"/>
    </w:pPr>
  </w:style>
  <w:style w:type="character" w:customStyle="1" w:styleId="CharAmPartNo">
    <w:name w:val="CharAmPartNo"/>
    <w:basedOn w:val="OPCCharBase"/>
    <w:qFormat/>
    <w:rsid w:val="005D2C37"/>
  </w:style>
  <w:style w:type="character" w:customStyle="1" w:styleId="CharAmPartText">
    <w:name w:val="CharAmPartText"/>
    <w:basedOn w:val="OPCCharBase"/>
    <w:qFormat/>
    <w:rsid w:val="005D2C37"/>
  </w:style>
  <w:style w:type="character" w:customStyle="1" w:styleId="CharAmSchNo">
    <w:name w:val="CharAmSchNo"/>
    <w:basedOn w:val="OPCCharBase"/>
    <w:qFormat/>
    <w:rsid w:val="005D2C37"/>
  </w:style>
  <w:style w:type="character" w:customStyle="1" w:styleId="CharAmSchText">
    <w:name w:val="CharAmSchText"/>
    <w:basedOn w:val="OPCCharBase"/>
    <w:qFormat/>
    <w:rsid w:val="005D2C37"/>
  </w:style>
  <w:style w:type="character" w:customStyle="1" w:styleId="CharBoldItalic">
    <w:name w:val="CharBoldItalic"/>
    <w:basedOn w:val="OPCCharBase"/>
    <w:uiPriority w:val="1"/>
    <w:qFormat/>
    <w:rsid w:val="005D2C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C37"/>
  </w:style>
  <w:style w:type="character" w:customStyle="1" w:styleId="CharChapText">
    <w:name w:val="CharChapText"/>
    <w:basedOn w:val="OPCCharBase"/>
    <w:uiPriority w:val="1"/>
    <w:qFormat/>
    <w:rsid w:val="005D2C37"/>
  </w:style>
  <w:style w:type="character" w:customStyle="1" w:styleId="CharDivNo">
    <w:name w:val="CharDivNo"/>
    <w:basedOn w:val="OPCCharBase"/>
    <w:uiPriority w:val="1"/>
    <w:qFormat/>
    <w:rsid w:val="005D2C37"/>
  </w:style>
  <w:style w:type="character" w:customStyle="1" w:styleId="CharDivText">
    <w:name w:val="CharDivText"/>
    <w:basedOn w:val="OPCCharBase"/>
    <w:uiPriority w:val="1"/>
    <w:qFormat/>
    <w:rsid w:val="005D2C37"/>
  </w:style>
  <w:style w:type="character" w:customStyle="1" w:styleId="CharItalic">
    <w:name w:val="CharItalic"/>
    <w:basedOn w:val="OPCCharBase"/>
    <w:uiPriority w:val="1"/>
    <w:qFormat/>
    <w:rsid w:val="005D2C37"/>
    <w:rPr>
      <w:i/>
    </w:rPr>
  </w:style>
  <w:style w:type="character" w:customStyle="1" w:styleId="CharPartNo">
    <w:name w:val="CharPartNo"/>
    <w:basedOn w:val="OPCCharBase"/>
    <w:uiPriority w:val="1"/>
    <w:qFormat/>
    <w:rsid w:val="005D2C37"/>
  </w:style>
  <w:style w:type="character" w:customStyle="1" w:styleId="CharPartText">
    <w:name w:val="CharPartText"/>
    <w:basedOn w:val="OPCCharBase"/>
    <w:uiPriority w:val="1"/>
    <w:qFormat/>
    <w:rsid w:val="005D2C37"/>
  </w:style>
  <w:style w:type="character" w:customStyle="1" w:styleId="CharSectno">
    <w:name w:val="CharSectno"/>
    <w:basedOn w:val="OPCCharBase"/>
    <w:qFormat/>
    <w:rsid w:val="005D2C37"/>
  </w:style>
  <w:style w:type="character" w:customStyle="1" w:styleId="CharSubdNo">
    <w:name w:val="CharSubdNo"/>
    <w:basedOn w:val="OPCCharBase"/>
    <w:uiPriority w:val="1"/>
    <w:qFormat/>
    <w:rsid w:val="005D2C37"/>
  </w:style>
  <w:style w:type="character" w:customStyle="1" w:styleId="CharSubdText">
    <w:name w:val="CharSubdText"/>
    <w:basedOn w:val="OPCCharBase"/>
    <w:uiPriority w:val="1"/>
    <w:qFormat/>
    <w:rsid w:val="005D2C37"/>
  </w:style>
  <w:style w:type="paragraph" w:customStyle="1" w:styleId="CTA--">
    <w:name w:val="CTA --"/>
    <w:basedOn w:val="OPCParaBase"/>
    <w:next w:val="Normal"/>
    <w:rsid w:val="005D2C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C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C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C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C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C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C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C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C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C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C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C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C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C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2C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C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C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C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C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C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C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C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C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C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2C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2C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C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C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C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C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C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C3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C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C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C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2C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C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C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C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C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C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C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C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C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C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C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C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C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C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C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C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C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C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C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2C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2C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2C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2C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12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2C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D2C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2C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2C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2C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C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C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C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C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C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C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C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2C37"/>
    <w:rPr>
      <w:sz w:val="16"/>
    </w:rPr>
  </w:style>
  <w:style w:type="table" w:customStyle="1" w:styleId="CFlag">
    <w:name w:val="CFlag"/>
    <w:basedOn w:val="TableNormal"/>
    <w:uiPriority w:val="99"/>
    <w:rsid w:val="005D2C3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D2C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C3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2C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C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2C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C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C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C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C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2C37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2C3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2C3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2C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C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C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C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C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C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C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C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C3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2C3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2C37"/>
  </w:style>
  <w:style w:type="character" w:customStyle="1" w:styleId="CharSubPartNoCASA">
    <w:name w:val="CharSubPartNo(CASA)"/>
    <w:basedOn w:val="OPCCharBase"/>
    <w:uiPriority w:val="1"/>
    <w:rsid w:val="005D2C37"/>
  </w:style>
  <w:style w:type="paragraph" w:customStyle="1" w:styleId="ENoteTTIndentHeadingSub">
    <w:name w:val="ENoteTTIndentHeadingSub"/>
    <w:aliases w:val="enTTHis"/>
    <w:basedOn w:val="OPCParaBase"/>
    <w:rsid w:val="005D2C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C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C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C3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2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5D2C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C37"/>
    <w:rPr>
      <w:sz w:val="22"/>
    </w:rPr>
  </w:style>
  <w:style w:type="paragraph" w:customStyle="1" w:styleId="SOTextNote">
    <w:name w:val="SO TextNote"/>
    <w:aliases w:val="sont"/>
    <w:basedOn w:val="SOText"/>
    <w:qFormat/>
    <w:rsid w:val="005D2C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C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C37"/>
    <w:rPr>
      <w:sz w:val="22"/>
    </w:rPr>
  </w:style>
  <w:style w:type="paragraph" w:customStyle="1" w:styleId="FileName">
    <w:name w:val="FileName"/>
    <w:basedOn w:val="Normal"/>
    <w:rsid w:val="005D2C3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C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C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C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C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C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C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C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C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C37"/>
    <w:rPr>
      <w:sz w:val="22"/>
    </w:rPr>
  </w:style>
  <w:style w:type="paragraph" w:customStyle="1" w:styleId="tableText0">
    <w:name w:val="table.Text"/>
    <w:basedOn w:val="Normal"/>
    <w:rsid w:val="00B3360E"/>
    <w:pPr>
      <w:spacing w:before="24" w:after="24"/>
    </w:pPr>
    <w:rPr>
      <w:rFonts w:eastAsia="Calibri" w:cs="Arial"/>
      <w:sz w:val="20"/>
    </w:rPr>
  </w:style>
  <w:style w:type="paragraph" w:customStyle="1" w:styleId="tableIndentText">
    <w:name w:val="table.Indent.Text"/>
    <w:rsid w:val="00B3360E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2F4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2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D151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D151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D151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D151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D151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D151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D151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D1517"/>
  </w:style>
  <w:style w:type="character" w:customStyle="1" w:styleId="ShortTCPChar">
    <w:name w:val="ShortTCP Char"/>
    <w:basedOn w:val="ShortTChar"/>
    <w:link w:val="ShortTCP"/>
    <w:rsid w:val="009D151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D1517"/>
    <w:pPr>
      <w:spacing w:before="400"/>
    </w:pPr>
  </w:style>
  <w:style w:type="character" w:customStyle="1" w:styleId="ActNoCPChar">
    <w:name w:val="ActNoCP Char"/>
    <w:basedOn w:val="ActnoChar"/>
    <w:link w:val="ActNoCP"/>
    <w:rsid w:val="009D151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D1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334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334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334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2C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F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F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F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C37"/>
  </w:style>
  <w:style w:type="paragraph" w:customStyle="1" w:styleId="OPCParaBase">
    <w:name w:val="OPCParaBase"/>
    <w:link w:val="OPCParaBaseChar"/>
    <w:qFormat/>
    <w:rsid w:val="005D2C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D2C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C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C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C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C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2C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C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C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C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C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D2C37"/>
  </w:style>
  <w:style w:type="paragraph" w:customStyle="1" w:styleId="Blocks">
    <w:name w:val="Blocks"/>
    <w:aliases w:val="bb"/>
    <w:basedOn w:val="OPCParaBase"/>
    <w:qFormat/>
    <w:rsid w:val="005D2C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C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C37"/>
    <w:rPr>
      <w:i/>
    </w:rPr>
  </w:style>
  <w:style w:type="paragraph" w:customStyle="1" w:styleId="BoxList">
    <w:name w:val="BoxList"/>
    <w:aliases w:val="bl"/>
    <w:basedOn w:val="BoxText"/>
    <w:qFormat/>
    <w:rsid w:val="005D2C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C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C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C37"/>
    <w:pPr>
      <w:ind w:left="1985" w:hanging="851"/>
    </w:pPr>
  </w:style>
  <w:style w:type="character" w:customStyle="1" w:styleId="CharAmPartNo">
    <w:name w:val="CharAmPartNo"/>
    <w:basedOn w:val="OPCCharBase"/>
    <w:qFormat/>
    <w:rsid w:val="005D2C37"/>
  </w:style>
  <w:style w:type="character" w:customStyle="1" w:styleId="CharAmPartText">
    <w:name w:val="CharAmPartText"/>
    <w:basedOn w:val="OPCCharBase"/>
    <w:qFormat/>
    <w:rsid w:val="005D2C37"/>
  </w:style>
  <w:style w:type="character" w:customStyle="1" w:styleId="CharAmSchNo">
    <w:name w:val="CharAmSchNo"/>
    <w:basedOn w:val="OPCCharBase"/>
    <w:qFormat/>
    <w:rsid w:val="005D2C37"/>
  </w:style>
  <w:style w:type="character" w:customStyle="1" w:styleId="CharAmSchText">
    <w:name w:val="CharAmSchText"/>
    <w:basedOn w:val="OPCCharBase"/>
    <w:qFormat/>
    <w:rsid w:val="005D2C37"/>
  </w:style>
  <w:style w:type="character" w:customStyle="1" w:styleId="CharBoldItalic">
    <w:name w:val="CharBoldItalic"/>
    <w:basedOn w:val="OPCCharBase"/>
    <w:uiPriority w:val="1"/>
    <w:qFormat/>
    <w:rsid w:val="005D2C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C37"/>
  </w:style>
  <w:style w:type="character" w:customStyle="1" w:styleId="CharChapText">
    <w:name w:val="CharChapText"/>
    <w:basedOn w:val="OPCCharBase"/>
    <w:uiPriority w:val="1"/>
    <w:qFormat/>
    <w:rsid w:val="005D2C37"/>
  </w:style>
  <w:style w:type="character" w:customStyle="1" w:styleId="CharDivNo">
    <w:name w:val="CharDivNo"/>
    <w:basedOn w:val="OPCCharBase"/>
    <w:uiPriority w:val="1"/>
    <w:qFormat/>
    <w:rsid w:val="005D2C37"/>
  </w:style>
  <w:style w:type="character" w:customStyle="1" w:styleId="CharDivText">
    <w:name w:val="CharDivText"/>
    <w:basedOn w:val="OPCCharBase"/>
    <w:uiPriority w:val="1"/>
    <w:qFormat/>
    <w:rsid w:val="005D2C37"/>
  </w:style>
  <w:style w:type="character" w:customStyle="1" w:styleId="CharItalic">
    <w:name w:val="CharItalic"/>
    <w:basedOn w:val="OPCCharBase"/>
    <w:uiPriority w:val="1"/>
    <w:qFormat/>
    <w:rsid w:val="005D2C37"/>
    <w:rPr>
      <w:i/>
    </w:rPr>
  </w:style>
  <w:style w:type="character" w:customStyle="1" w:styleId="CharPartNo">
    <w:name w:val="CharPartNo"/>
    <w:basedOn w:val="OPCCharBase"/>
    <w:uiPriority w:val="1"/>
    <w:qFormat/>
    <w:rsid w:val="005D2C37"/>
  </w:style>
  <w:style w:type="character" w:customStyle="1" w:styleId="CharPartText">
    <w:name w:val="CharPartText"/>
    <w:basedOn w:val="OPCCharBase"/>
    <w:uiPriority w:val="1"/>
    <w:qFormat/>
    <w:rsid w:val="005D2C37"/>
  </w:style>
  <w:style w:type="character" w:customStyle="1" w:styleId="CharSectno">
    <w:name w:val="CharSectno"/>
    <w:basedOn w:val="OPCCharBase"/>
    <w:qFormat/>
    <w:rsid w:val="005D2C37"/>
  </w:style>
  <w:style w:type="character" w:customStyle="1" w:styleId="CharSubdNo">
    <w:name w:val="CharSubdNo"/>
    <w:basedOn w:val="OPCCharBase"/>
    <w:uiPriority w:val="1"/>
    <w:qFormat/>
    <w:rsid w:val="005D2C37"/>
  </w:style>
  <w:style w:type="character" w:customStyle="1" w:styleId="CharSubdText">
    <w:name w:val="CharSubdText"/>
    <w:basedOn w:val="OPCCharBase"/>
    <w:uiPriority w:val="1"/>
    <w:qFormat/>
    <w:rsid w:val="005D2C37"/>
  </w:style>
  <w:style w:type="paragraph" w:customStyle="1" w:styleId="CTA--">
    <w:name w:val="CTA --"/>
    <w:basedOn w:val="OPCParaBase"/>
    <w:next w:val="Normal"/>
    <w:rsid w:val="005D2C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C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C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C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C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C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C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C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C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C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C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C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C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C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2C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C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C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C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C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C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C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C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C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C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2C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2C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C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C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C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C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C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C3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C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C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C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2C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C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C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C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C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C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C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C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C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C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C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C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C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C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C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C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C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C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C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2C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2C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2C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2C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12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2C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D2C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2C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2C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2C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C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C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C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C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C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C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C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2C37"/>
    <w:rPr>
      <w:sz w:val="16"/>
    </w:rPr>
  </w:style>
  <w:style w:type="table" w:customStyle="1" w:styleId="CFlag">
    <w:name w:val="CFlag"/>
    <w:basedOn w:val="TableNormal"/>
    <w:uiPriority w:val="99"/>
    <w:rsid w:val="005D2C3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D2C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C3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2C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C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2C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C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C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C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C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2C37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2C3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2C3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2C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C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C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C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C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C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C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C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C3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2C3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2C37"/>
  </w:style>
  <w:style w:type="character" w:customStyle="1" w:styleId="CharSubPartNoCASA">
    <w:name w:val="CharSubPartNo(CASA)"/>
    <w:basedOn w:val="OPCCharBase"/>
    <w:uiPriority w:val="1"/>
    <w:rsid w:val="005D2C37"/>
  </w:style>
  <w:style w:type="paragraph" w:customStyle="1" w:styleId="ENoteTTIndentHeadingSub">
    <w:name w:val="ENoteTTIndentHeadingSub"/>
    <w:aliases w:val="enTTHis"/>
    <w:basedOn w:val="OPCParaBase"/>
    <w:rsid w:val="005D2C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C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C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C3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2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5D2C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C37"/>
    <w:rPr>
      <w:sz w:val="22"/>
    </w:rPr>
  </w:style>
  <w:style w:type="paragraph" w:customStyle="1" w:styleId="SOTextNote">
    <w:name w:val="SO TextNote"/>
    <w:aliases w:val="sont"/>
    <w:basedOn w:val="SOText"/>
    <w:qFormat/>
    <w:rsid w:val="005D2C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C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C37"/>
    <w:rPr>
      <w:sz w:val="22"/>
    </w:rPr>
  </w:style>
  <w:style w:type="paragraph" w:customStyle="1" w:styleId="FileName">
    <w:name w:val="FileName"/>
    <w:basedOn w:val="Normal"/>
    <w:rsid w:val="005D2C3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C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C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C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C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C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C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C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C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C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C37"/>
    <w:rPr>
      <w:sz w:val="22"/>
    </w:rPr>
  </w:style>
  <w:style w:type="paragraph" w:customStyle="1" w:styleId="tableText0">
    <w:name w:val="table.Text"/>
    <w:basedOn w:val="Normal"/>
    <w:rsid w:val="00B3360E"/>
    <w:pPr>
      <w:spacing w:before="24" w:after="24"/>
    </w:pPr>
    <w:rPr>
      <w:rFonts w:eastAsia="Calibri" w:cs="Arial"/>
      <w:sz w:val="20"/>
    </w:rPr>
  </w:style>
  <w:style w:type="paragraph" w:customStyle="1" w:styleId="tableIndentText">
    <w:name w:val="table.Indent.Text"/>
    <w:rsid w:val="00B3360E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2F4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2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D151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D151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D151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D151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D151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D151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D151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D1517"/>
  </w:style>
  <w:style w:type="character" w:customStyle="1" w:styleId="ShortTCPChar">
    <w:name w:val="ShortTCP Char"/>
    <w:basedOn w:val="ShortTChar"/>
    <w:link w:val="ShortTCP"/>
    <w:rsid w:val="009D151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D1517"/>
    <w:pPr>
      <w:spacing w:before="400"/>
    </w:pPr>
  </w:style>
  <w:style w:type="character" w:customStyle="1" w:styleId="ActNoCPChar">
    <w:name w:val="ActNoCP Char"/>
    <w:basedOn w:val="ActnoChar"/>
    <w:link w:val="ActNoCP"/>
    <w:rsid w:val="009D151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D1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334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334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334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713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1297</Words>
  <Characters>7394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2015-05-27T22:29:00Z</dcterms:created>
  <dcterms:modified xsi:type="dcterms:W3CDTF">2015-05-27T22:39:00Z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Tax and Superannuation Laws Amendment (Norfolk Island Reforms) Act 2015</vt:lpwstr>
  </property>
  <property fmtid="{D5CDD505-2E9C-101B-9397-08002B2CF9AE}" pid="3" name="Actno">
    <vt:lpwstr>No. 53, 2015</vt:lpwstr>
  </property>
</Properties>
</file>