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43" w:rsidRPr="008C3943" w:rsidRDefault="008C3943" w:rsidP="008C3943">
      <w:pPr>
        <w:spacing w:after="12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AU"/>
        </w:rPr>
        <w:drawing>
          <wp:inline distT="0" distB="0" distL="0" distR="0">
            <wp:extent cx="1076325" cy="9048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076325" cy="904875"/>
                    </a:xfrm>
                    <a:prstGeom prst="rect">
                      <a:avLst/>
                    </a:prstGeom>
                    <a:noFill/>
                    <a:ln w="9525">
                      <a:noFill/>
                      <a:miter lim="800000"/>
                      <a:headEnd/>
                      <a:tailEnd/>
                    </a:ln>
                  </pic:spPr>
                </pic:pic>
              </a:graphicData>
            </a:graphic>
          </wp:inline>
        </w:drawing>
      </w:r>
    </w:p>
    <w:p w:rsidR="008C3943" w:rsidRPr="008C3943" w:rsidRDefault="008C3943" w:rsidP="008C3943">
      <w:pPr>
        <w:spacing w:after="0" w:line="240" w:lineRule="auto"/>
        <w:jc w:val="center"/>
        <w:rPr>
          <w:rFonts w:ascii="Times New Roman" w:eastAsia="Times New Roman" w:hAnsi="Times New Roman" w:cs="Times New Roman"/>
          <w:b/>
          <w:sz w:val="24"/>
          <w:szCs w:val="20"/>
        </w:rPr>
      </w:pPr>
      <w:r w:rsidRPr="008C3943">
        <w:rPr>
          <w:rFonts w:ascii="Times New Roman" w:eastAsia="Times New Roman" w:hAnsi="Times New Roman" w:cs="Times New Roman"/>
          <w:b/>
          <w:sz w:val="24"/>
          <w:szCs w:val="20"/>
        </w:rPr>
        <w:t>COMMONWEALTH OF AUSTRALIA</w:t>
      </w:r>
    </w:p>
    <w:p w:rsidR="008C3943" w:rsidRPr="008C3943" w:rsidRDefault="008C3943" w:rsidP="008C3943">
      <w:pPr>
        <w:keepNext/>
        <w:spacing w:before="120" w:after="0" w:line="240" w:lineRule="auto"/>
        <w:jc w:val="center"/>
        <w:outlineLvl w:val="4"/>
        <w:rPr>
          <w:rFonts w:ascii="Times New Roman" w:eastAsia="Times New Roman" w:hAnsi="Times New Roman" w:cs="Times New Roman"/>
          <w:i/>
          <w:sz w:val="24"/>
          <w:szCs w:val="20"/>
        </w:rPr>
      </w:pPr>
      <w:r w:rsidRPr="008C3943">
        <w:rPr>
          <w:rFonts w:ascii="Times New Roman" w:eastAsia="Times New Roman" w:hAnsi="Times New Roman" w:cs="Times New Roman"/>
          <w:i/>
          <w:sz w:val="24"/>
          <w:szCs w:val="20"/>
        </w:rPr>
        <w:t>Environment Protection and Biodiversity Conservation Act 1999</w:t>
      </w:r>
    </w:p>
    <w:p w:rsidR="008C3943" w:rsidRPr="008C3943" w:rsidRDefault="008C3943" w:rsidP="008C3943">
      <w:pPr>
        <w:spacing w:after="0" w:line="240" w:lineRule="auto"/>
        <w:rPr>
          <w:rFonts w:ascii="Times New Roman" w:eastAsia="Times New Roman" w:hAnsi="Times New Roman" w:cs="Times New Roman"/>
          <w:sz w:val="24"/>
          <w:szCs w:val="24"/>
          <w:lang w:val="en-US"/>
        </w:rPr>
      </w:pPr>
    </w:p>
    <w:p w:rsidR="008C3943" w:rsidRPr="008C3943" w:rsidRDefault="008C3943" w:rsidP="008C3943">
      <w:pPr>
        <w:keepNext/>
        <w:spacing w:after="0" w:line="240" w:lineRule="auto"/>
        <w:jc w:val="center"/>
        <w:outlineLvl w:val="5"/>
        <w:rPr>
          <w:rFonts w:ascii="Times New Roman" w:eastAsia="Times New Roman" w:hAnsi="Times New Roman" w:cs="Times New Roman"/>
          <w:b/>
          <w:sz w:val="24"/>
          <w:szCs w:val="20"/>
        </w:rPr>
      </w:pPr>
      <w:r w:rsidRPr="008C3943">
        <w:rPr>
          <w:rFonts w:ascii="Times New Roman" w:eastAsia="Times New Roman" w:hAnsi="Times New Roman" w:cs="Times New Roman"/>
          <w:b/>
          <w:sz w:val="24"/>
          <w:szCs w:val="20"/>
        </w:rPr>
        <w:t>DECLARATION OF AN APPROVED WILDLIFE TRADE OPERATION</w:t>
      </w:r>
    </w:p>
    <w:p w:rsidR="008C3943" w:rsidRPr="008C3943" w:rsidRDefault="008C3943" w:rsidP="008C3943">
      <w:pPr>
        <w:spacing w:after="0" w:line="220" w:lineRule="atLeast"/>
        <w:jc w:val="center"/>
        <w:rPr>
          <w:rFonts w:ascii="Times New Roman" w:eastAsia="Times New Roman" w:hAnsi="Times New Roman" w:cs="Times New Roman"/>
          <w:b/>
          <w:sz w:val="24"/>
          <w:szCs w:val="24"/>
          <w:lang w:val="en-US"/>
        </w:rPr>
      </w:pPr>
    </w:p>
    <w:p w:rsidR="008C3943" w:rsidRPr="008C3943" w:rsidRDefault="008C3943" w:rsidP="008C3943">
      <w:pPr>
        <w:spacing w:after="0" w:line="220" w:lineRule="atLeast"/>
        <w:rPr>
          <w:rFonts w:ascii="Times New Roman" w:eastAsia="Times New Roman" w:hAnsi="Times New Roman" w:cs="Times New Roman"/>
          <w:sz w:val="24"/>
          <w:szCs w:val="24"/>
          <w:lang w:val="en-US"/>
        </w:rPr>
      </w:pPr>
      <w:r w:rsidRPr="008C3943">
        <w:rPr>
          <w:rFonts w:ascii="Times New Roman" w:eastAsia="Times New Roman" w:hAnsi="Times New Roman" w:cs="Times New Roman"/>
          <w:sz w:val="24"/>
          <w:szCs w:val="24"/>
          <w:lang w:val="en-US"/>
        </w:rPr>
        <w:t>I, ILSE KIESSLING, Acting Assistant Secretary, Wildlife Trade and Biosecurity Branch, as Delegate of the Minister for the Environment,</w:t>
      </w:r>
      <w:r w:rsidRPr="008C3943">
        <w:rPr>
          <w:rFonts w:ascii="Times New Roman" w:eastAsia="Times New Roman" w:hAnsi="Times New Roman" w:cs="Times New Roman"/>
          <w:snapToGrid w:val="0"/>
          <w:sz w:val="24"/>
          <w:szCs w:val="24"/>
          <w:lang w:val="en-US"/>
        </w:rPr>
        <w:t xml:space="preserve"> </w:t>
      </w:r>
      <w:r w:rsidRPr="008C3943">
        <w:rPr>
          <w:rFonts w:ascii="Times New Roman" w:eastAsia="Times New Roman" w:hAnsi="Times New Roman" w:cs="Times New Roman"/>
          <w:sz w:val="24"/>
          <w:szCs w:val="24"/>
          <w:lang w:val="en-US"/>
        </w:rPr>
        <w:t xml:space="preserve">have considered in accordance with section 303FN of the </w:t>
      </w:r>
      <w:r w:rsidRPr="008C3943">
        <w:rPr>
          <w:rFonts w:ascii="Times New Roman" w:eastAsia="Times New Roman" w:hAnsi="Times New Roman" w:cs="Times New Roman"/>
          <w:i/>
          <w:sz w:val="24"/>
          <w:szCs w:val="24"/>
          <w:lang w:val="en-US"/>
        </w:rPr>
        <w:t>Environment Protection and</w:t>
      </w:r>
      <w:r w:rsidRPr="008C3943">
        <w:rPr>
          <w:rFonts w:ascii="Times New Roman" w:eastAsia="Times New Roman" w:hAnsi="Times New Roman" w:cs="Times New Roman"/>
          <w:sz w:val="24"/>
          <w:szCs w:val="24"/>
          <w:lang w:val="en-US"/>
        </w:rPr>
        <w:t xml:space="preserve"> </w:t>
      </w:r>
      <w:r w:rsidRPr="008C3943">
        <w:rPr>
          <w:rFonts w:ascii="Times New Roman" w:eastAsia="Times New Roman" w:hAnsi="Times New Roman" w:cs="Times New Roman"/>
          <w:i/>
          <w:sz w:val="24"/>
          <w:szCs w:val="24"/>
          <w:lang w:val="en-US"/>
        </w:rPr>
        <w:t xml:space="preserve">Biodiversity Conservation Act 1999 </w:t>
      </w:r>
      <w:r w:rsidRPr="008C3943">
        <w:rPr>
          <w:rFonts w:ascii="Times New Roman" w:eastAsia="Times New Roman" w:hAnsi="Times New Roman" w:cs="Times New Roman"/>
          <w:sz w:val="24"/>
          <w:szCs w:val="24"/>
          <w:lang w:val="en-US"/>
        </w:rPr>
        <w:t xml:space="preserve">(EPBC Act) the application from the Queensland Department of Agriculture, Fisheries and Forestry advice on the ecological sustainability of the operation. I am satisfied on those matters specified in section 303FN of the EPBC Act. I hereby declare the operation that is specified in column 1 of Table 1 to be an approved wildlife trade operation, in accordance with subsection 303FN(2) and paragraph 303FN(10)(d) of the EPBC Act, but only to the extent the operation relates to the class of specimens specified in column 2 of Table 1. </w:t>
      </w:r>
    </w:p>
    <w:p w:rsidR="008C3943" w:rsidRPr="008C3943" w:rsidRDefault="008C3943" w:rsidP="008C3943">
      <w:pPr>
        <w:spacing w:after="0" w:line="240" w:lineRule="auto"/>
        <w:rPr>
          <w:rFonts w:ascii="Times New Roman" w:eastAsia="Times New Roman" w:hAnsi="Times New Roman" w:cs="Times New Roman"/>
          <w:sz w:val="24"/>
          <w:szCs w:val="24"/>
          <w:lang w:val="en-US"/>
        </w:rPr>
      </w:pPr>
    </w:p>
    <w:p w:rsidR="008C3943" w:rsidRPr="008C3943" w:rsidRDefault="008C3943" w:rsidP="008C3943">
      <w:pPr>
        <w:spacing w:after="0" w:line="240" w:lineRule="auto"/>
        <w:rPr>
          <w:rFonts w:ascii="Times New Roman" w:eastAsia="Times New Roman" w:hAnsi="Times New Roman" w:cs="Times New Roman"/>
          <w:b/>
          <w:sz w:val="24"/>
          <w:szCs w:val="24"/>
          <w:lang w:val="en-US"/>
        </w:rPr>
      </w:pPr>
      <w:r w:rsidRPr="008C3943">
        <w:rPr>
          <w:rFonts w:ascii="Times New Roman" w:eastAsia="Times New Roman" w:hAnsi="Times New Roman" w:cs="Times New Roman"/>
          <w:b/>
          <w:sz w:val="24"/>
          <w:szCs w:val="24"/>
          <w:lang w:val="en-US"/>
        </w:rPr>
        <w:t>Table 1</w:t>
      </w:r>
    </w:p>
    <w:tbl>
      <w:tblPr>
        <w:tblStyle w:val="TableGrid"/>
        <w:tblW w:w="0" w:type="auto"/>
        <w:tblLook w:val="04A0"/>
      </w:tblPr>
      <w:tblGrid>
        <w:gridCol w:w="4622"/>
        <w:gridCol w:w="4623"/>
      </w:tblGrid>
      <w:tr w:rsidR="008C3943" w:rsidRPr="008C3943" w:rsidTr="008D099A">
        <w:tc>
          <w:tcPr>
            <w:tcW w:w="4622" w:type="dxa"/>
          </w:tcPr>
          <w:p w:rsidR="008C3943" w:rsidRPr="008C3943" w:rsidRDefault="008C3943" w:rsidP="008C3943">
            <w:pPr>
              <w:rPr>
                <w:b/>
                <w:sz w:val="24"/>
                <w:szCs w:val="24"/>
                <w:lang w:val="en-US"/>
              </w:rPr>
            </w:pPr>
            <w:r w:rsidRPr="008C3943">
              <w:rPr>
                <w:b/>
                <w:sz w:val="24"/>
                <w:szCs w:val="24"/>
                <w:lang w:val="en-US"/>
              </w:rPr>
              <w:t>Operation</w:t>
            </w:r>
          </w:p>
        </w:tc>
        <w:tc>
          <w:tcPr>
            <w:tcW w:w="4623" w:type="dxa"/>
          </w:tcPr>
          <w:p w:rsidR="008C3943" w:rsidRPr="008C3943" w:rsidRDefault="008C3943" w:rsidP="008C3943">
            <w:pPr>
              <w:rPr>
                <w:b/>
                <w:sz w:val="24"/>
                <w:szCs w:val="24"/>
                <w:lang w:val="en-US"/>
              </w:rPr>
            </w:pPr>
            <w:r w:rsidRPr="008C3943">
              <w:rPr>
                <w:b/>
                <w:sz w:val="24"/>
                <w:szCs w:val="24"/>
                <w:lang w:val="en-US"/>
              </w:rPr>
              <w:t>Class of Specimens</w:t>
            </w:r>
          </w:p>
        </w:tc>
      </w:tr>
      <w:tr w:rsidR="008C3943" w:rsidRPr="008C3943" w:rsidTr="008D099A">
        <w:tc>
          <w:tcPr>
            <w:tcW w:w="4622" w:type="dxa"/>
          </w:tcPr>
          <w:p w:rsidR="008C3943" w:rsidRPr="008C3943" w:rsidRDefault="008C3943" w:rsidP="008C3943">
            <w:pPr>
              <w:rPr>
                <w:sz w:val="24"/>
                <w:szCs w:val="24"/>
                <w:lang w:val="en-US"/>
              </w:rPr>
            </w:pPr>
            <w:r w:rsidRPr="008C3943">
              <w:rPr>
                <w:sz w:val="24"/>
                <w:szCs w:val="24"/>
                <w:lang w:val="en-US"/>
              </w:rPr>
              <w:t>Queensland Marine Aquarium Fish Fishery</w:t>
            </w:r>
            <w:r w:rsidRPr="008C3943">
              <w:rPr>
                <w:snapToGrid w:val="0"/>
                <w:sz w:val="24"/>
                <w:szCs w:val="24"/>
                <w:lang w:val="en-US"/>
              </w:rPr>
              <w:t>, as defined in the management regime for the fishery</w:t>
            </w:r>
            <w:r w:rsidRPr="008C3943">
              <w:rPr>
                <w:i/>
                <w:sz w:val="24"/>
                <w:szCs w:val="24"/>
                <w:lang w:val="en-US"/>
              </w:rPr>
              <w:t xml:space="preserve"> </w:t>
            </w:r>
            <w:r w:rsidRPr="008C3943">
              <w:rPr>
                <w:sz w:val="24"/>
                <w:szCs w:val="24"/>
                <w:lang w:val="en-US"/>
              </w:rPr>
              <w:t xml:space="preserve">made under the Queensland </w:t>
            </w:r>
            <w:r w:rsidRPr="008C3943">
              <w:rPr>
                <w:i/>
                <w:iCs/>
                <w:sz w:val="24"/>
                <w:szCs w:val="24"/>
                <w:lang w:val="en-US"/>
              </w:rPr>
              <w:t>Fisheries Act 1994</w:t>
            </w:r>
            <w:r w:rsidRPr="008C3943">
              <w:rPr>
                <w:sz w:val="24"/>
                <w:szCs w:val="24"/>
                <w:lang w:val="en-US"/>
              </w:rPr>
              <w:t xml:space="preserve"> and the Queensland Fisheries Regulations</w:t>
            </w:r>
            <w:r w:rsidRPr="008C3943">
              <w:rPr>
                <w:iCs/>
                <w:sz w:val="24"/>
                <w:szCs w:val="24"/>
                <w:lang w:val="en-US"/>
              </w:rPr>
              <w:t xml:space="preserve"> 2008</w:t>
            </w:r>
          </w:p>
        </w:tc>
        <w:tc>
          <w:tcPr>
            <w:tcW w:w="4623" w:type="dxa"/>
          </w:tcPr>
          <w:p w:rsidR="008C3943" w:rsidRPr="008C3943" w:rsidRDefault="008C3943" w:rsidP="008C3943">
            <w:pPr>
              <w:rPr>
                <w:snapToGrid w:val="0"/>
                <w:sz w:val="24"/>
                <w:szCs w:val="24"/>
                <w:lang w:val="en-US"/>
              </w:rPr>
            </w:pPr>
            <w:r w:rsidRPr="008C3943">
              <w:rPr>
                <w:snapToGrid w:val="0"/>
                <w:sz w:val="24"/>
                <w:szCs w:val="24"/>
                <w:lang w:val="en-US"/>
              </w:rPr>
              <w:t>Specimens that are, or are derived from, fish or invertebrates, other than:</w:t>
            </w:r>
          </w:p>
          <w:p w:rsidR="008C3943" w:rsidRPr="008C3943" w:rsidRDefault="008C3943" w:rsidP="008C3943">
            <w:pPr>
              <w:numPr>
                <w:ilvl w:val="0"/>
                <w:numId w:val="6"/>
              </w:numPr>
              <w:rPr>
                <w:snapToGrid w:val="0"/>
                <w:sz w:val="24"/>
                <w:szCs w:val="24"/>
                <w:lang w:val="en-US"/>
              </w:rPr>
            </w:pPr>
            <w:r w:rsidRPr="008C3943">
              <w:rPr>
                <w:sz w:val="24"/>
                <w:szCs w:val="24"/>
                <w:lang w:val="en-US"/>
              </w:rPr>
              <w:t>specimens that belong to species listed under Part 13 of the EPBC Act and</w:t>
            </w:r>
          </w:p>
          <w:p w:rsidR="008C3943" w:rsidRPr="008C3943" w:rsidRDefault="008C3943" w:rsidP="008C3943">
            <w:pPr>
              <w:numPr>
                <w:ilvl w:val="0"/>
                <w:numId w:val="6"/>
              </w:numPr>
              <w:rPr>
                <w:snapToGrid w:val="0"/>
                <w:sz w:val="24"/>
                <w:szCs w:val="24"/>
                <w:lang w:val="en-US"/>
              </w:rPr>
            </w:pPr>
            <w:proofErr w:type="gramStart"/>
            <w:r w:rsidRPr="008C3943">
              <w:rPr>
                <w:sz w:val="24"/>
                <w:szCs w:val="24"/>
                <w:lang w:val="en-US"/>
              </w:rPr>
              <w:t>specimens</w:t>
            </w:r>
            <w:proofErr w:type="gramEnd"/>
            <w:r w:rsidRPr="008C3943">
              <w:rPr>
                <w:sz w:val="24"/>
                <w:szCs w:val="24"/>
                <w:lang w:val="en-US"/>
              </w:rPr>
              <w:t xml:space="preserve"> that belong to </w:t>
            </w:r>
            <w:proofErr w:type="spellStart"/>
            <w:r w:rsidRPr="008C3943">
              <w:rPr>
                <w:sz w:val="24"/>
                <w:szCs w:val="24"/>
                <w:lang w:val="en-US"/>
              </w:rPr>
              <w:t>taxa</w:t>
            </w:r>
            <w:proofErr w:type="spellEnd"/>
            <w:r w:rsidRPr="008C3943">
              <w:rPr>
                <w:sz w:val="24"/>
                <w:szCs w:val="24"/>
                <w:lang w:val="en-US"/>
              </w:rPr>
              <w:t xml:space="preserve"> listed under section 303CA of the EPBC Act (Part 13A), except for </w:t>
            </w:r>
            <w:proofErr w:type="spellStart"/>
            <w:r w:rsidRPr="008C3943">
              <w:rPr>
                <w:i/>
                <w:sz w:val="24"/>
                <w:szCs w:val="24"/>
                <w:lang w:val="en-US"/>
              </w:rPr>
              <w:t>Sphyrna</w:t>
            </w:r>
            <w:proofErr w:type="spellEnd"/>
            <w:r w:rsidRPr="008C3943">
              <w:rPr>
                <w:i/>
                <w:sz w:val="24"/>
                <w:szCs w:val="24"/>
                <w:lang w:val="en-US"/>
              </w:rPr>
              <w:t xml:space="preserve"> </w:t>
            </w:r>
            <w:proofErr w:type="spellStart"/>
            <w:r w:rsidRPr="008C3943">
              <w:rPr>
                <w:i/>
                <w:sz w:val="24"/>
                <w:szCs w:val="24"/>
                <w:lang w:val="en-US"/>
              </w:rPr>
              <w:t>lewini</w:t>
            </w:r>
            <w:proofErr w:type="spellEnd"/>
            <w:r w:rsidRPr="008C3943">
              <w:rPr>
                <w:sz w:val="24"/>
                <w:szCs w:val="24"/>
                <w:lang w:val="en-US"/>
              </w:rPr>
              <w:t xml:space="preserve"> (scalloped hammerhead shark), </w:t>
            </w:r>
            <w:r w:rsidRPr="008C3943">
              <w:rPr>
                <w:i/>
                <w:sz w:val="24"/>
                <w:szCs w:val="24"/>
                <w:lang w:val="en-US"/>
              </w:rPr>
              <w:t>S. </w:t>
            </w:r>
            <w:proofErr w:type="spellStart"/>
            <w:r w:rsidRPr="008C3943">
              <w:rPr>
                <w:i/>
                <w:sz w:val="24"/>
                <w:szCs w:val="24"/>
                <w:lang w:val="en-US"/>
              </w:rPr>
              <w:t>mokarran</w:t>
            </w:r>
            <w:proofErr w:type="spellEnd"/>
            <w:r w:rsidRPr="008C3943">
              <w:rPr>
                <w:sz w:val="24"/>
                <w:szCs w:val="24"/>
                <w:lang w:val="en-US"/>
              </w:rPr>
              <w:t xml:space="preserve"> (great hammerhead shark) and </w:t>
            </w:r>
            <w:r w:rsidRPr="008C3943">
              <w:rPr>
                <w:i/>
                <w:sz w:val="24"/>
                <w:szCs w:val="24"/>
                <w:lang w:val="en-US"/>
              </w:rPr>
              <w:t xml:space="preserve">S. </w:t>
            </w:r>
            <w:proofErr w:type="spellStart"/>
            <w:r w:rsidRPr="008C3943">
              <w:rPr>
                <w:i/>
                <w:sz w:val="24"/>
                <w:szCs w:val="24"/>
                <w:lang w:val="en-US"/>
              </w:rPr>
              <w:t>zygaena</w:t>
            </w:r>
            <w:proofErr w:type="spellEnd"/>
            <w:r w:rsidRPr="008C3943">
              <w:rPr>
                <w:sz w:val="24"/>
                <w:szCs w:val="24"/>
                <w:lang w:val="en-US"/>
              </w:rPr>
              <w:t xml:space="preserve"> (smooth hammerhead shark).</w:t>
            </w:r>
          </w:p>
          <w:p w:rsidR="008C3943" w:rsidRPr="008C3943" w:rsidRDefault="008C3943" w:rsidP="008C3943">
            <w:pPr>
              <w:ind w:left="360"/>
              <w:rPr>
                <w:snapToGrid w:val="0"/>
                <w:sz w:val="24"/>
                <w:szCs w:val="24"/>
                <w:lang w:val="en-US"/>
              </w:rPr>
            </w:pPr>
          </w:p>
        </w:tc>
      </w:tr>
    </w:tbl>
    <w:p w:rsidR="008C3943" w:rsidRPr="008C3943" w:rsidRDefault="008C3943" w:rsidP="008C3943">
      <w:pPr>
        <w:spacing w:after="0" w:line="240" w:lineRule="auto"/>
        <w:rPr>
          <w:rFonts w:ascii="Times New Roman" w:eastAsia="Times New Roman" w:hAnsi="Times New Roman" w:cs="Times New Roman"/>
          <w:sz w:val="24"/>
          <w:szCs w:val="24"/>
          <w:lang w:val="en-US"/>
        </w:rPr>
      </w:pPr>
    </w:p>
    <w:p w:rsidR="008C3943" w:rsidRPr="008C3943" w:rsidRDefault="008C3943" w:rsidP="008C3943">
      <w:pPr>
        <w:spacing w:after="0" w:line="220" w:lineRule="atLeast"/>
        <w:rPr>
          <w:rFonts w:ascii="Times New Roman" w:eastAsia="Times New Roman" w:hAnsi="Times New Roman" w:cs="Times New Roman"/>
          <w:sz w:val="24"/>
          <w:szCs w:val="24"/>
          <w:lang w:val="en-US"/>
        </w:rPr>
      </w:pPr>
      <w:r w:rsidRPr="008C3943">
        <w:rPr>
          <w:rFonts w:ascii="Times New Roman" w:eastAsia="Times New Roman" w:hAnsi="Times New Roman" w:cs="Times New Roman"/>
          <w:sz w:val="24"/>
          <w:szCs w:val="24"/>
          <w:lang w:val="en-US"/>
        </w:rPr>
        <w:t>Unless amended or revoked, this declaration:</w:t>
      </w:r>
    </w:p>
    <w:p w:rsidR="008C3943" w:rsidRPr="008C3943" w:rsidRDefault="008C3943" w:rsidP="008C3943">
      <w:pPr>
        <w:numPr>
          <w:ilvl w:val="0"/>
          <w:numId w:val="4"/>
        </w:numPr>
        <w:tabs>
          <w:tab w:val="num" w:pos="567"/>
        </w:tabs>
        <w:spacing w:before="120" w:after="0" w:line="220" w:lineRule="atLeast"/>
        <w:ind w:left="0" w:firstLine="0"/>
        <w:rPr>
          <w:rFonts w:ascii="Times New Roman" w:eastAsia="Times New Roman" w:hAnsi="Times New Roman" w:cs="Times New Roman"/>
          <w:sz w:val="24"/>
          <w:szCs w:val="24"/>
          <w:lang w:val="en-US"/>
        </w:rPr>
      </w:pPr>
      <w:r w:rsidRPr="008C3943">
        <w:rPr>
          <w:rFonts w:ascii="Times New Roman" w:eastAsia="Times New Roman" w:hAnsi="Times New Roman" w:cs="Times New Roman"/>
          <w:sz w:val="24"/>
          <w:szCs w:val="24"/>
          <w:lang w:val="en-US"/>
        </w:rPr>
        <w:t>is valid until 17 November 2017 and;</w:t>
      </w:r>
    </w:p>
    <w:p w:rsidR="008C3943" w:rsidRPr="008C3943" w:rsidRDefault="008C3943" w:rsidP="008C3943">
      <w:pPr>
        <w:numPr>
          <w:ilvl w:val="0"/>
          <w:numId w:val="4"/>
        </w:numPr>
        <w:tabs>
          <w:tab w:val="num" w:pos="567"/>
        </w:tabs>
        <w:spacing w:before="120" w:after="0" w:line="220" w:lineRule="atLeast"/>
        <w:ind w:left="0" w:firstLine="0"/>
        <w:rPr>
          <w:rFonts w:ascii="Times New Roman" w:eastAsia="Times New Roman" w:hAnsi="Times New Roman" w:cs="Times New Roman"/>
          <w:sz w:val="24"/>
          <w:szCs w:val="24"/>
          <w:lang w:val="en-US"/>
        </w:rPr>
      </w:pPr>
      <w:proofErr w:type="gramStart"/>
      <w:r w:rsidRPr="008C3943">
        <w:rPr>
          <w:rFonts w:ascii="Times New Roman" w:eastAsia="Times New Roman" w:hAnsi="Times New Roman" w:cs="Times New Roman"/>
          <w:sz w:val="24"/>
          <w:szCs w:val="24"/>
          <w:lang w:val="en-US"/>
        </w:rPr>
        <w:t>is</w:t>
      </w:r>
      <w:proofErr w:type="gramEnd"/>
      <w:r w:rsidRPr="008C3943">
        <w:rPr>
          <w:rFonts w:ascii="Times New Roman" w:eastAsia="Times New Roman" w:hAnsi="Times New Roman" w:cs="Times New Roman"/>
          <w:sz w:val="24"/>
          <w:szCs w:val="24"/>
          <w:lang w:val="en-US"/>
        </w:rPr>
        <w:t xml:space="preserve"> subject to the conditions applied under section 303FT specified in the Schedule.</w:t>
      </w:r>
    </w:p>
    <w:p w:rsidR="008C3943" w:rsidRPr="008C3943" w:rsidRDefault="008C3943" w:rsidP="008C3943">
      <w:pPr>
        <w:spacing w:after="0" w:line="220" w:lineRule="atLeast"/>
        <w:jc w:val="center"/>
        <w:rPr>
          <w:rFonts w:ascii="Times New Roman" w:eastAsia="Times New Roman" w:hAnsi="Times New Roman" w:cs="Times New Roman"/>
          <w:sz w:val="24"/>
          <w:szCs w:val="24"/>
          <w:lang w:val="en-US"/>
        </w:rPr>
      </w:pPr>
    </w:p>
    <w:p w:rsidR="008C3943" w:rsidRPr="008C3943" w:rsidRDefault="008C3943" w:rsidP="008C3943">
      <w:pPr>
        <w:spacing w:after="0" w:line="220" w:lineRule="atLeast"/>
        <w:jc w:val="center"/>
        <w:rPr>
          <w:rFonts w:ascii="Times New Roman" w:eastAsia="Times New Roman" w:hAnsi="Times New Roman" w:cs="Times New Roman"/>
          <w:szCs w:val="24"/>
          <w:lang w:val="en-US"/>
        </w:rPr>
      </w:pPr>
      <w:r w:rsidRPr="008C3943">
        <w:rPr>
          <w:rFonts w:ascii="Times New Roman" w:eastAsia="Times New Roman" w:hAnsi="Times New Roman" w:cs="Times New Roman"/>
          <w:sz w:val="24"/>
          <w:szCs w:val="24"/>
          <w:lang w:val="en-US"/>
        </w:rPr>
        <w:t>Dated this 19 day of November 2014</w:t>
      </w:r>
    </w:p>
    <w:p w:rsidR="008C3943" w:rsidRPr="008C3943" w:rsidRDefault="008C3943" w:rsidP="008C3943">
      <w:pPr>
        <w:spacing w:after="0" w:line="220" w:lineRule="atLeast"/>
        <w:rPr>
          <w:rFonts w:ascii="Times New Roman" w:eastAsia="Times New Roman" w:hAnsi="Times New Roman" w:cs="Times New Roman"/>
          <w:szCs w:val="24"/>
          <w:lang w:val="en-US"/>
        </w:rPr>
      </w:pPr>
    </w:p>
    <w:p w:rsidR="008C3943" w:rsidRPr="008C3943" w:rsidRDefault="008C3943" w:rsidP="008C3943">
      <w:pPr>
        <w:spacing w:after="0" w:line="220" w:lineRule="atLeast"/>
        <w:rPr>
          <w:rFonts w:ascii="Times New Roman" w:eastAsia="Times New Roman" w:hAnsi="Times New Roman" w:cs="Times New Roman"/>
          <w:szCs w:val="24"/>
          <w:lang w:val="en-US"/>
        </w:rPr>
      </w:pPr>
    </w:p>
    <w:p w:rsidR="008C3943" w:rsidRPr="008C3943" w:rsidRDefault="008C3943" w:rsidP="008C3943">
      <w:pPr>
        <w:spacing w:after="0" w:line="220" w:lineRule="atLeast"/>
        <w:rPr>
          <w:rFonts w:ascii="Times New Roman" w:eastAsia="Times New Roman" w:hAnsi="Times New Roman" w:cs="Times New Roman"/>
          <w:szCs w:val="24"/>
          <w:lang w:val="en-US"/>
        </w:rPr>
      </w:pPr>
    </w:p>
    <w:p w:rsidR="008C3943" w:rsidRPr="008C3943" w:rsidRDefault="008C3943" w:rsidP="008C3943">
      <w:pPr>
        <w:spacing w:after="0" w:line="220" w:lineRule="atLeast"/>
        <w:jc w:val="center"/>
        <w:rPr>
          <w:rFonts w:ascii="Times New Roman" w:eastAsia="Times New Roman" w:hAnsi="Times New Roman" w:cs="Times New Roman"/>
          <w:szCs w:val="24"/>
          <w:lang w:val="en-US"/>
        </w:rPr>
      </w:pPr>
      <w:r w:rsidRPr="008C3943">
        <w:rPr>
          <w:rFonts w:ascii="Times New Roman" w:eastAsia="Times New Roman" w:hAnsi="Times New Roman" w:cs="Times New Roman"/>
          <w:sz w:val="24"/>
          <w:szCs w:val="24"/>
          <w:lang w:val="en-US"/>
        </w:rPr>
        <w:t>………….…….………I. Kiessling…………………………</w:t>
      </w:r>
    </w:p>
    <w:p w:rsidR="008C3943" w:rsidRPr="008C3943" w:rsidRDefault="008C3943" w:rsidP="008C3943">
      <w:pPr>
        <w:spacing w:after="0" w:line="220" w:lineRule="atLeast"/>
        <w:jc w:val="center"/>
        <w:rPr>
          <w:rFonts w:ascii="Times New Roman" w:eastAsia="Times New Roman" w:hAnsi="Times New Roman" w:cs="Times New Roman"/>
          <w:snapToGrid w:val="0"/>
          <w:sz w:val="24"/>
          <w:szCs w:val="24"/>
          <w:lang w:val="en-US"/>
        </w:rPr>
      </w:pPr>
      <w:r w:rsidRPr="008C3943">
        <w:rPr>
          <w:rFonts w:ascii="Times New Roman" w:eastAsia="Times New Roman" w:hAnsi="Times New Roman" w:cs="Times New Roman"/>
          <w:snapToGrid w:val="0"/>
          <w:sz w:val="24"/>
          <w:szCs w:val="24"/>
          <w:lang w:val="en-US"/>
        </w:rPr>
        <w:t xml:space="preserve">Delegate of the Minister for </w:t>
      </w:r>
      <w:r w:rsidRPr="008C3943">
        <w:rPr>
          <w:rFonts w:ascii="Times New Roman" w:eastAsia="Times New Roman" w:hAnsi="Times New Roman" w:cs="Times New Roman"/>
          <w:sz w:val="24"/>
          <w:szCs w:val="24"/>
          <w:lang w:val="en-US"/>
        </w:rPr>
        <w:t>the Environment</w:t>
      </w:r>
    </w:p>
    <w:p w:rsidR="008C3943" w:rsidRPr="008C3943" w:rsidRDefault="008C3943" w:rsidP="008C3943">
      <w:pPr>
        <w:spacing w:after="0" w:line="220" w:lineRule="atLeast"/>
        <w:jc w:val="center"/>
        <w:rPr>
          <w:rFonts w:ascii="Times New Roman" w:eastAsia="Times New Roman" w:hAnsi="Times New Roman" w:cs="Times New Roman"/>
          <w:snapToGrid w:val="0"/>
          <w:sz w:val="24"/>
          <w:szCs w:val="24"/>
          <w:lang w:val="en-US"/>
        </w:rPr>
      </w:pPr>
    </w:p>
    <w:p w:rsidR="008C3943" w:rsidRPr="008C3943" w:rsidRDefault="008C3943" w:rsidP="008C3943">
      <w:pPr>
        <w:spacing w:after="0" w:line="220" w:lineRule="atLeast"/>
        <w:jc w:val="center"/>
        <w:rPr>
          <w:rFonts w:ascii="Times New Roman" w:eastAsia="Times New Roman" w:hAnsi="Times New Roman" w:cs="Times New Roman"/>
          <w:szCs w:val="24"/>
          <w:lang w:val="en-US"/>
        </w:rPr>
      </w:pPr>
    </w:p>
    <w:p w:rsidR="008C3943" w:rsidRPr="008C3943" w:rsidRDefault="008C3943" w:rsidP="008C3943">
      <w:pPr>
        <w:spacing w:after="0" w:line="240" w:lineRule="auto"/>
        <w:rPr>
          <w:rFonts w:ascii="Times New Roman" w:eastAsia="Arial Unicode MS" w:hAnsi="Times New Roman" w:cs="Arial Unicode MS"/>
          <w:sz w:val="20"/>
          <w:szCs w:val="24"/>
          <w:lang w:val="en-US"/>
        </w:rPr>
      </w:pPr>
      <w:r w:rsidRPr="008C3943">
        <w:rPr>
          <w:rFonts w:ascii="Times New Roman" w:eastAsia="Arial Unicode MS" w:hAnsi="Times New Roman" w:cs="Arial Unicode MS"/>
          <w:sz w:val="20"/>
          <w:szCs w:val="24"/>
          <w:lang w:val="en-US"/>
        </w:rPr>
        <w:br w:type="page"/>
      </w:r>
      <w:r w:rsidRPr="008C3943">
        <w:rPr>
          <w:rFonts w:ascii="Times New Roman" w:eastAsia="Arial Unicode MS" w:hAnsi="Times New Roman" w:cs="Arial Unicode MS"/>
          <w:sz w:val="20"/>
          <w:szCs w:val="24"/>
          <w:lang w:val="en-US"/>
        </w:rPr>
        <w:lastRenderedPageBreak/>
        <w:t>Notes:</w:t>
      </w:r>
    </w:p>
    <w:p w:rsidR="008C3943" w:rsidRPr="008C3943" w:rsidRDefault="008C3943" w:rsidP="008C3943">
      <w:pPr>
        <w:spacing w:after="0" w:line="240" w:lineRule="auto"/>
        <w:rPr>
          <w:rFonts w:ascii="Times New Roman" w:eastAsia="Times New Roman" w:hAnsi="Times New Roman" w:cs="Times New Roman"/>
          <w:sz w:val="24"/>
          <w:szCs w:val="20"/>
        </w:rPr>
      </w:pPr>
      <w:r w:rsidRPr="008C3943">
        <w:rPr>
          <w:rFonts w:ascii="Times New Roman" w:eastAsia="Arial Unicode MS" w:hAnsi="Times New Roman" w:cs="Arial Unicode MS"/>
          <w:sz w:val="20"/>
          <w:szCs w:val="24"/>
          <w:lang w:val="en-US"/>
        </w:rPr>
        <w:t xml:space="preserve">Under the </w:t>
      </w:r>
      <w:r w:rsidRPr="008C3943">
        <w:rPr>
          <w:rFonts w:ascii="Times New Roman" w:eastAsia="Arial Unicode MS" w:hAnsi="Times New Roman" w:cs="Arial Unicode MS"/>
          <w:i/>
          <w:iCs/>
          <w:sz w:val="20"/>
          <w:szCs w:val="24"/>
          <w:lang w:val="en-US"/>
        </w:rPr>
        <w:t>Administrative Appeals Tribunal Act 1975</w:t>
      </w:r>
      <w:r w:rsidRPr="008C3943">
        <w:rPr>
          <w:rFonts w:ascii="Times New Roman" w:eastAsia="Arial Unicode MS" w:hAnsi="Times New Roman" w:cs="Arial Unicode MS"/>
          <w:sz w:val="20"/>
          <w:szCs w:val="24"/>
          <w:lang w:val="en-US"/>
        </w:rPr>
        <w:t xml:space="preserve">, a person whose interests are affected by this decision may apply for a statement of reasons and for independent review of the decision. An application for a statement of reason may be made in writing to the Department of the </w:t>
      </w:r>
      <w:r w:rsidRPr="008C3943">
        <w:rPr>
          <w:rFonts w:ascii="Times New Roman" w:eastAsia="Arial Unicode MS" w:hAnsi="Times New Roman" w:cs="Arial Unicode MS"/>
          <w:sz w:val="20"/>
          <w:szCs w:val="24"/>
        </w:rPr>
        <w:t xml:space="preserve">Environment </w:t>
      </w:r>
      <w:r w:rsidRPr="008C3943">
        <w:rPr>
          <w:rFonts w:ascii="Times New Roman" w:eastAsia="Arial Unicode MS" w:hAnsi="Times New Roman" w:cs="Arial Unicode MS"/>
          <w:sz w:val="20"/>
          <w:szCs w:val="24"/>
          <w:lang w:val="en-US"/>
        </w:rPr>
        <w:t>within 28 days of the date of the declaration. An application for independent review may be made to the Administrative Appeals Tribunal on payment of the relevant fee within 28 days of the date of the declaration, or if reasons are sought, within 28 days of receipt of reasons. Further information may be obtained from the Director, Sustainable Fisheries Section.</w:t>
      </w:r>
    </w:p>
    <w:p w:rsidR="008C3943" w:rsidRPr="008C3943" w:rsidRDefault="008C3943" w:rsidP="008C3943">
      <w:pPr>
        <w:spacing w:after="0" w:line="240" w:lineRule="auto"/>
        <w:rPr>
          <w:rFonts w:ascii="Times New Roman" w:eastAsia="Times New Roman" w:hAnsi="Times New Roman" w:cs="Times New Roman"/>
          <w:sz w:val="24"/>
          <w:szCs w:val="20"/>
        </w:rPr>
      </w:pPr>
    </w:p>
    <w:p w:rsidR="008C3943" w:rsidRPr="008C3943" w:rsidRDefault="008C3943" w:rsidP="008C3943">
      <w:pPr>
        <w:spacing w:after="0" w:line="240" w:lineRule="auto"/>
        <w:rPr>
          <w:rFonts w:ascii="Times New Roman" w:eastAsia="Arial Unicode MS" w:hAnsi="Times New Roman" w:cs="Times New Roman"/>
          <w:sz w:val="24"/>
          <w:szCs w:val="24"/>
          <w:lang w:val="en-US"/>
        </w:rPr>
      </w:pPr>
      <w:r w:rsidRPr="008C3943">
        <w:rPr>
          <w:rFonts w:ascii="Times New Roman" w:eastAsia="Arial Unicode MS" w:hAnsi="Times New Roman" w:cs="Times New Roman"/>
          <w:sz w:val="20"/>
          <w:szCs w:val="20"/>
          <w:lang w:val="en-US"/>
        </w:rPr>
        <w:t xml:space="preserve">Australia’s obligations under the Convention on International Trade in Endangered Species of Wild Fauna and Flora (CITES) are met through Part 13A of the EPBC Act. Specimens of species listed in Appendix II of Australia’s CITES list under section 303CA of the EPBC Act may only be exported, under a CITES export permit issued under the EPBC Act, if Australia’s CITES Scientific Authority has issued a non detriment finding for that species. </w:t>
      </w:r>
      <w:proofErr w:type="gramStart"/>
      <w:r w:rsidRPr="008C3943">
        <w:rPr>
          <w:rFonts w:ascii="Times New Roman" w:eastAsia="Arial Unicode MS" w:hAnsi="Times New Roman" w:cs="Times New Roman"/>
          <w:sz w:val="20"/>
          <w:szCs w:val="20"/>
          <w:lang w:val="en-US"/>
        </w:rPr>
        <w:t>Further information, including a list of species for which non detriment findings have been issued and the fisheries from which they may be sourced, is available from http://www.environment.gov.au/topics/biodiversity/wildlife-trade/internationally-endangered-plants-and-animals-cites/how-export.</w:t>
      </w:r>
      <w:proofErr w:type="gramEnd"/>
    </w:p>
    <w:p w:rsidR="008D099A" w:rsidRDefault="008D099A" w:rsidP="008C3943">
      <w:pPr>
        <w:keepNext/>
        <w:spacing w:after="0" w:line="240" w:lineRule="auto"/>
        <w:jc w:val="center"/>
        <w:outlineLvl w:val="0"/>
        <w:rPr>
          <w:rFonts w:ascii="Times New Roman" w:eastAsia="Times New Roman" w:hAnsi="Times New Roman" w:cs="Times New Roman"/>
          <w:bCs/>
          <w:sz w:val="24"/>
          <w:szCs w:val="24"/>
          <w:lang w:val="en-US"/>
        </w:rPr>
      </w:pPr>
    </w:p>
    <w:p w:rsidR="008C3943" w:rsidRPr="008C3943" w:rsidRDefault="008C3943" w:rsidP="008C3943">
      <w:pPr>
        <w:keepNext/>
        <w:spacing w:after="0" w:line="240" w:lineRule="auto"/>
        <w:jc w:val="center"/>
        <w:outlineLvl w:val="0"/>
        <w:rPr>
          <w:rFonts w:ascii="Times New Roman" w:eastAsia="Times New Roman" w:hAnsi="Times New Roman" w:cs="Times New Roman"/>
          <w:bCs/>
          <w:sz w:val="24"/>
          <w:szCs w:val="24"/>
          <w:lang w:val="en-US"/>
        </w:rPr>
      </w:pPr>
      <w:r w:rsidRPr="008C3943">
        <w:rPr>
          <w:rFonts w:ascii="Times New Roman" w:eastAsia="Times New Roman" w:hAnsi="Times New Roman" w:cs="Times New Roman"/>
          <w:bCs/>
          <w:sz w:val="24"/>
          <w:szCs w:val="24"/>
          <w:lang w:val="en-US"/>
        </w:rPr>
        <w:t>SCHEDULE</w:t>
      </w:r>
    </w:p>
    <w:p w:rsidR="008C3943" w:rsidRPr="008C3943" w:rsidRDefault="008C3943" w:rsidP="008C3943">
      <w:pPr>
        <w:spacing w:after="0" w:line="220" w:lineRule="atLeast"/>
        <w:jc w:val="center"/>
        <w:rPr>
          <w:rFonts w:ascii="Times New Roman" w:eastAsia="Times New Roman" w:hAnsi="Times New Roman" w:cs="Times New Roman"/>
          <w:sz w:val="24"/>
          <w:szCs w:val="24"/>
          <w:lang w:val="en-US"/>
        </w:rPr>
      </w:pPr>
    </w:p>
    <w:p w:rsidR="008C3943" w:rsidRPr="008C3943" w:rsidRDefault="008C3943" w:rsidP="008C3943">
      <w:pPr>
        <w:numPr>
          <w:ilvl w:val="0"/>
          <w:numId w:val="5"/>
        </w:numPr>
        <w:tabs>
          <w:tab w:val="clear" w:pos="360"/>
        </w:tabs>
        <w:spacing w:after="0" w:line="220" w:lineRule="atLeast"/>
        <w:ind w:left="0" w:firstLine="0"/>
        <w:jc w:val="center"/>
        <w:rPr>
          <w:rFonts w:ascii="Times New Roman" w:eastAsia="Times New Roman" w:hAnsi="Times New Roman" w:cs="Times New Roman"/>
          <w:b/>
          <w:bCs/>
          <w:sz w:val="24"/>
          <w:szCs w:val="20"/>
        </w:rPr>
      </w:pPr>
      <w:r w:rsidRPr="008C3943">
        <w:rPr>
          <w:rFonts w:ascii="Times New Roman" w:eastAsia="Times New Roman" w:hAnsi="Times New Roman" w:cs="Times New Roman"/>
          <w:b/>
          <w:bCs/>
          <w:sz w:val="24"/>
          <w:szCs w:val="20"/>
        </w:rPr>
        <w:t>Declaration of the Harvest Operations of the Queensland Marine Aquarium Fish Fishery as an approved wildlife trade operation, November 2014</w:t>
      </w:r>
    </w:p>
    <w:p w:rsidR="008C3943" w:rsidRPr="008C3943" w:rsidRDefault="008C3943" w:rsidP="008C3943">
      <w:pPr>
        <w:spacing w:after="0" w:line="220" w:lineRule="atLeast"/>
        <w:jc w:val="center"/>
        <w:rPr>
          <w:rFonts w:ascii="Times New Roman" w:eastAsia="Times New Roman" w:hAnsi="Times New Roman" w:cs="Times New Roman"/>
          <w:sz w:val="24"/>
          <w:szCs w:val="24"/>
          <w:lang w:val="en-US"/>
        </w:rPr>
      </w:pPr>
    </w:p>
    <w:p w:rsidR="008C3943" w:rsidRPr="008C3943" w:rsidRDefault="008C3943" w:rsidP="008C3943">
      <w:pPr>
        <w:spacing w:after="0" w:line="220" w:lineRule="atLeast"/>
        <w:rPr>
          <w:rFonts w:ascii="Times New Roman" w:eastAsia="Times New Roman" w:hAnsi="Times New Roman" w:cs="Times New Roman"/>
          <w:b/>
          <w:bCs/>
          <w:sz w:val="24"/>
          <w:szCs w:val="24"/>
          <w:lang w:val="en-US"/>
        </w:rPr>
      </w:pPr>
      <w:r w:rsidRPr="008C3943">
        <w:rPr>
          <w:rFonts w:ascii="Times New Roman" w:eastAsia="Times New Roman" w:hAnsi="Times New Roman" w:cs="Times New Roman"/>
          <w:b/>
          <w:bCs/>
          <w:sz w:val="24"/>
          <w:szCs w:val="24"/>
          <w:lang w:val="en-US"/>
        </w:rPr>
        <w:t>ADDITIONAL PROVISIONS (section 303FT)</w:t>
      </w:r>
    </w:p>
    <w:p w:rsidR="008C3943" w:rsidRPr="008C3943" w:rsidRDefault="008C3943" w:rsidP="008C3943">
      <w:pPr>
        <w:spacing w:after="0" w:line="220" w:lineRule="atLeast"/>
        <w:rPr>
          <w:rFonts w:ascii="Times New Roman" w:eastAsia="Times New Roman" w:hAnsi="Times New Roman" w:cs="Times New Roman"/>
          <w:b/>
          <w:bCs/>
          <w:sz w:val="24"/>
          <w:szCs w:val="24"/>
          <w:lang w:val="en-US"/>
        </w:rPr>
      </w:pPr>
    </w:p>
    <w:p w:rsidR="008C3943" w:rsidRPr="008C3943" w:rsidRDefault="008C3943" w:rsidP="008C3943">
      <w:pPr>
        <w:spacing w:after="0" w:line="240" w:lineRule="auto"/>
        <w:rPr>
          <w:rFonts w:ascii="Times New Roman" w:eastAsia="Times New Roman" w:hAnsi="Times New Roman" w:cs="Times New Roman"/>
          <w:sz w:val="24"/>
          <w:szCs w:val="24"/>
          <w:lang w:val="en-US"/>
        </w:rPr>
      </w:pPr>
      <w:r w:rsidRPr="008C3943">
        <w:rPr>
          <w:rFonts w:ascii="Times New Roman" w:eastAsia="Times New Roman" w:hAnsi="Times New Roman" w:cs="Times New Roman"/>
          <w:sz w:val="24"/>
          <w:szCs w:val="24"/>
          <w:lang w:val="en-US"/>
        </w:rPr>
        <w:t xml:space="preserve">Relating to the harvesting of fish </w:t>
      </w:r>
      <w:r w:rsidRPr="008C3943">
        <w:rPr>
          <w:rFonts w:ascii="Times New Roman" w:eastAsia="Times New Roman" w:hAnsi="Times New Roman" w:cs="Times New Roman"/>
          <w:snapToGrid w:val="0"/>
          <w:sz w:val="24"/>
          <w:szCs w:val="24"/>
          <w:lang w:val="en-US"/>
        </w:rPr>
        <w:t xml:space="preserve">specimens that are, or are derived from, fish or invertebrates, other than </w:t>
      </w:r>
      <w:r w:rsidRPr="008C3943">
        <w:rPr>
          <w:rFonts w:ascii="Times New Roman" w:eastAsia="Times New Roman" w:hAnsi="Times New Roman" w:cs="Times New Roman"/>
          <w:sz w:val="24"/>
          <w:szCs w:val="24"/>
          <w:lang w:val="en-US"/>
        </w:rPr>
        <w:t xml:space="preserve">specimens of species listed under Part 13 of the </w:t>
      </w:r>
      <w:r w:rsidRPr="008C3943">
        <w:rPr>
          <w:rFonts w:ascii="Times New Roman" w:eastAsia="Times New Roman" w:hAnsi="Times New Roman" w:cs="Times New Roman"/>
          <w:i/>
          <w:sz w:val="24"/>
          <w:szCs w:val="24"/>
          <w:lang w:val="en-US"/>
        </w:rPr>
        <w:t>Environment Protection and Biodiversity Conservation Act 1999</w:t>
      </w:r>
      <w:r w:rsidRPr="008C3943">
        <w:rPr>
          <w:rFonts w:ascii="Times New Roman" w:eastAsia="Times New Roman" w:hAnsi="Times New Roman" w:cs="Times New Roman"/>
          <w:sz w:val="24"/>
          <w:szCs w:val="24"/>
          <w:lang w:val="en-US"/>
        </w:rPr>
        <w:t xml:space="preserve"> (EPBC Act),</w:t>
      </w:r>
      <w:r w:rsidRPr="008C3943">
        <w:rPr>
          <w:rFonts w:ascii="Times New Roman" w:eastAsia="Times New Roman" w:hAnsi="Times New Roman" w:cs="Times New Roman"/>
          <w:snapToGrid w:val="0"/>
          <w:sz w:val="24"/>
          <w:szCs w:val="24"/>
          <w:lang w:val="en-US"/>
        </w:rPr>
        <w:t xml:space="preserve"> taken in the </w:t>
      </w:r>
      <w:r w:rsidRPr="008C3943">
        <w:rPr>
          <w:rFonts w:ascii="Times New Roman" w:eastAsia="Times New Roman" w:hAnsi="Times New Roman" w:cs="Times New Roman"/>
          <w:sz w:val="24"/>
          <w:szCs w:val="24"/>
          <w:lang w:val="en-US"/>
        </w:rPr>
        <w:t>Queensland Marine Aquarium Fish Fishery:</w:t>
      </w:r>
    </w:p>
    <w:p w:rsidR="008C3943" w:rsidRPr="008C3943" w:rsidRDefault="008C3943" w:rsidP="008C3943">
      <w:pPr>
        <w:spacing w:after="0" w:line="240" w:lineRule="auto"/>
        <w:rPr>
          <w:rFonts w:ascii="Times New Roman" w:eastAsia="Times New Roman" w:hAnsi="Times New Roman" w:cs="Times New Roman"/>
          <w:i/>
          <w:color w:val="0000FF"/>
          <w:sz w:val="24"/>
          <w:szCs w:val="24"/>
          <w:lang w:val="en-US"/>
        </w:rPr>
      </w:pPr>
    </w:p>
    <w:p w:rsidR="008C3943" w:rsidRPr="008C3943" w:rsidRDefault="008C3943" w:rsidP="008C3943">
      <w:pPr>
        <w:spacing w:after="0" w:line="240" w:lineRule="auto"/>
        <w:rPr>
          <w:rFonts w:ascii="Times New Roman" w:eastAsia="Times New Roman" w:hAnsi="Times New Roman" w:cs="Times New Roman"/>
          <w:sz w:val="24"/>
          <w:szCs w:val="24"/>
          <w:lang w:val="en-US"/>
        </w:rPr>
      </w:pPr>
    </w:p>
    <w:p w:rsidR="008C3943" w:rsidRDefault="008C3943" w:rsidP="005B44AC">
      <w:pPr>
        <w:pStyle w:val="ListParagraph"/>
        <w:numPr>
          <w:ilvl w:val="0"/>
          <w:numId w:val="7"/>
        </w:numPr>
        <w:rPr>
          <w:rFonts w:ascii="Times New Roman" w:eastAsia="Calibri" w:hAnsi="Times New Roman" w:cs="Times New Roman"/>
          <w:sz w:val="24"/>
          <w:szCs w:val="24"/>
        </w:rPr>
      </w:pPr>
      <w:r w:rsidRPr="005B44AC">
        <w:rPr>
          <w:rFonts w:ascii="Times New Roman" w:eastAsia="Calibri" w:hAnsi="Times New Roman" w:cs="Times New Roman"/>
          <w:sz w:val="24"/>
          <w:szCs w:val="24"/>
        </w:rPr>
        <w:t>Operation of the Queensland Marine Aquarium Fish Fishery will be carried out in accordance with the Queensland</w:t>
      </w:r>
      <w:r w:rsidRPr="005B44AC">
        <w:rPr>
          <w:rFonts w:ascii="Times New Roman" w:eastAsia="Calibri" w:hAnsi="Times New Roman" w:cs="Times New Roman"/>
          <w:i/>
          <w:sz w:val="24"/>
          <w:szCs w:val="24"/>
        </w:rPr>
        <w:t xml:space="preserve"> Fisheries Act 1994, </w:t>
      </w:r>
      <w:r w:rsidRPr="005B44AC">
        <w:rPr>
          <w:rFonts w:ascii="Times New Roman" w:eastAsia="Calibri" w:hAnsi="Times New Roman" w:cs="Times New Roman"/>
          <w:sz w:val="24"/>
          <w:szCs w:val="24"/>
        </w:rPr>
        <w:t>the</w:t>
      </w:r>
      <w:r w:rsidR="005B44AC" w:rsidRPr="005B44AC">
        <w:rPr>
          <w:rFonts w:ascii="Times New Roman" w:eastAsia="Calibri" w:hAnsi="Times New Roman" w:cs="Times New Roman"/>
          <w:sz w:val="24"/>
          <w:szCs w:val="24"/>
        </w:rPr>
        <w:t xml:space="preserve"> Queensland</w:t>
      </w:r>
      <w:r w:rsidRPr="005B44AC">
        <w:rPr>
          <w:rFonts w:ascii="Times New Roman" w:eastAsia="Calibri" w:hAnsi="Times New Roman" w:cs="Times New Roman"/>
          <w:sz w:val="24"/>
          <w:szCs w:val="24"/>
        </w:rPr>
        <w:t xml:space="preserve"> Fisheries Regulation 2008, and the Fisheries (Coral Reef Fin Fish) Management</w:t>
      </w:r>
      <w:r w:rsidR="005B44AC" w:rsidRPr="005B44AC">
        <w:rPr>
          <w:rFonts w:ascii="Times New Roman" w:eastAsia="Calibri" w:hAnsi="Times New Roman" w:cs="Times New Roman"/>
          <w:sz w:val="24"/>
          <w:szCs w:val="24"/>
        </w:rPr>
        <w:t xml:space="preserve"> </w:t>
      </w:r>
      <w:r w:rsidRPr="005B44AC">
        <w:rPr>
          <w:rFonts w:ascii="Times New Roman" w:eastAsia="Calibri" w:hAnsi="Times New Roman" w:cs="Times New Roman"/>
          <w:sz w:val="24"/>
          <w:szCs w:val="24"/>
        </w:rPr>
        <w:t xml:space="preserve">Plan 2003. </w:t>
      </w:r>
    </w:p>
    <w:p w:rsidR="005B44AC" w:rsidRPr="005B44AC" w:rsidRDefault="005B44AC" w:rsidP="005B44AC">
      <w:pPr>
        <w:pStyle w:val="ListParagraph"/>
        <w:rPr>
          <w:rFonts w:ascii="Times New Roman" w:eastAsia="Calibri" w:hAnsi="Times New Roman" w:cs="Times New Roman"/>
          <w:sz w:val="24"/>
          <w:szCs w:val="24"/>
        </w:rPr>
      </w:pPr>
    </w:p>
    <w:p w:rsidR="008C3943" w:rsidRDefault="008C3943" w:rsidP="005B44AC">
      <w:pPr>
        <w:pStyle w:val="ListParagraph"/>
        <w:numPr>
          <w:ilvl w:val="0"/>
          <w:numId w:val="7"/>
        </w:numPr>
        <w:rPr>
          <w:rFonts w:ascii="Times New Roman" w:eastAsia="Calibri" w:hAnsi="Times New Roman" w:cs="Times New Roman"/>
          <w:sz w:val="24"/>
          <w:szCs w:val="24"/>
        </w:rPr>
      </w:pPr>
      <w:r w:rsidRPr="005B44AC">
        <w:rPr>
          <w:rFonts w:ascii="Times New Roman" w:eastAsia="Calibri" w:hAnsi="Times New Roman" w:cs="Times New Roman"/>
          <w:sz w:val="24"/>
          <w:szCs w:val="24"/>
        </w:rPr>
        <w:t xml:space="preserve">The Queensland Department of Agriculture, Fisheries and Forestry to inform the Department of the Environment of any intended material changes to the Queensland Marine Aquarium Fish Fishery management arrangements that may affect the assessment against which </w:t>
      </w:r>
      <w:r w:rsidRPr="005B44AC">
        <w:rPr>
          <w:rFonts w:ascii="Times New Roman" w:eastAsia="Calibri" w:hAnsi="Times New Roman" w:cs="Times New Roman"/>
          <w:i/>
          <w:iCs/>
          <w:sz w:val="24"/>
          <w:szCs w:val="24"/>
        </w:rPr>
        <w:t>Environment Protection and Biodiversity Conservation Act 1999</w:t>
      </w:r>
      <w:r w:rsidRPr="005B44AC">
        <w:rPr>
          <w:rFonts w:ascii="Times New Roman" w:eastAsia="Calibri" w:hAnsi="Times New Roman" w:cs="Times New Roman"/>
          <w:sz w:val="24"/>
          <w:szCs w:val="24"/>
        </w:rPr>
        <w:t xml:space="preserve"> decisions are made.</w:t>
      </w:r>
    </w:p>
    <w:p w:rsidR="005B44AC" w:rsidRPr="005B44AC" w:rsidRDefault="005B44AC" w:rsidP="005B44AC">
      <w:pPr>
        <w:pStyle w:val="ListParagraph"/>
        <w:rPr>
          <w:rFonts w:ascii="Times New Roman" w:eastAsia="Calibri" w:hAnsi="Times New Roman" w:cs="Times New Roman"/>
          <w:sz w:val="24"/>
          <w:szCs w:val="24"/>
        </w:rPr>
      </w:pPr>
    </w:p>
    <w:p w:rsidR="008C3943" w:rsidRPr="005B44AC" w:rsidRDefault="008C3943" w:rsidP="005B44AC">
      <w:pPr>
        <w:pStyle w:val="ListParagraph"/>
        <w:numPr>
          <w:ilvl w:val="0"/>
          <w:numId w:val="7"/>
        </w:numPr>
        <w:rPr>
          <w:rFonts w:ascii="Times New Roman" w:eastAsia="Calibri" w:hAnsi="Times New Roman" w:cs="Times New Roman"/>
          <w:sz w:val="24"/>
          <w:szCs w:val="24"/>
        </w:rPr>
      </w:pPr>
      <w:r w:rsidRPr="005B44AC">
        <w:rPr>
          <w:rFonts w:ascii="Times New Roman" w:eastAsia="Calibri" w:hAnsi="Times New Roman" w:cs="Times New Roman"/>
          <w:sz w:val="24"/>
          <w:szCs w:val="24"/>
        </w:rPr>
        <w:t xml:space="preserve">The Queensland Department of Agriculture, Fisheries and Forestry to produce and present reports to the Department of the Environment annually as per Appendix B of the </w:t>
      </w:r>
      <w:r w:rsidRPr="005B44AC">
        <w:rPr>
          <w:rFonts w:ascii="Times New Roman" w:eastAsia="Calibri" w:hAnsi="Times New Roman" w:cs="Times New Roman"/>
          <w:i/>
          <w:iCs/>
          <w:sz w:val="24"/>
          <w:szCs w:val="24"/>
        </w:rPr>
        <w:t>Guidelines for the Ecologically Sustainable Management of Fisheries - 2nd Edition.</w:t>
      </w:r>
    </w:p>
    <w:p w:rsidR="00D609B7" w:rsidRDefault="00D609B7" w:rsidP="00424B97"/>
    <w:p w:rsidR="00D609B7" w:rsidRDefault="00D609B7" w:rsidP="00424B97"/>
    <w:p w:rsidR="00D609B7" w:rsidRPr="00424B97" w:rsidRDefault="00D609B7" w:rsidP="00424B97"/>
    <w:sectPr w:rsidR="00D609B7" w:rsidRPr="00424B97" w:rsidSect="008E4F6C">
      <w:headerReference w:type="first" r:id="rId14"/>
      <w:type w:val="continuous"/>
      <w:pgSz w:w="11906" w:h="16838" w:code="9"/>
      <w:pgMar w:top="1134" w:right="1134" w:bottom="1134" w:left="1134" w:header="567" w:footer="510" w:gutter="0"/>
      <w:cols w:space="120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9A" w:rsidRDefault="008D099A" w:rsidP="003A707F">
      <w:pPr>
        <w:spacing w:after="0" w:line="240" w:lineRule="auto"/>
      </w:pPr>
      <w:r>
        <w:separator/>
      </w:r>
    </w:p>
  </w:endnote>
  <w:endnote w:type="continuationSeparator" w:id="0">
    <w:p w:rsidR="008D099A" w:rsidRDefault="008D099A" w:rsidP="003A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9A" w:rsidRDefault="008D099A" w:rsidP="003A707F">
      <w:pPr>
        <w:spacing w:after="0" w:line="240" w:lineRule="auto"/>
      </w:pPr>
      <w:r>
        <w:separator/>
      </w:r>
    </w:p>
  </w:footnote>
  <w:footnote w:type="continuationSeparator" w:id="0">
    <w:p w:rsidR="008D099A" w:rsidRDefault="008D099A" w:rsidP="003A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7" w:type="dxa"/>
      <w:tblInd w:w="80" w:type="dxa"/>
      <w:tblLayout w:type="fixed"/>
      <w:tblLook w:val="01E0"/>
    </w:tblPr>
    <w:tblGrid>
      <w:gridCol w:w="1263"/>
      <w:gridCol w:w="4435"/>
      <w:gridCol w:w="3979"/>
    </w:tblGrid>
    <w:tr w:rsidR="008D099A" w:rsidRPr="00CE796A" w:rsidTr="008D099A">
      <w:trPr>
        <w:trHeight w:val="984"/>
      </w:trPr>
      <w:tc>
        <w:tcPr>
          <w:tcW w:w="1263" w:type="dxa"/>
          <w:tcBorders>
            <w:top w:val="single" w:sz="4" w:space="0" w:color="auto"/>
            <w:left w:val="nil"/>
            <w:bottom w:val="single" w:sz="4" w:space="0" w:color="auto"/>
            <w:right w:val="nil"/>
            <w:tl2br w:val="nil"/>
            <w:tr2bl w:val="nil"/>
          </w:tcBorders>
          <w:shd w:val="clear" w:color="auto" w:fill="auto"/>
        </w:tcPr>
        <w:p w:rsidR="008D099A" w:rsidRPr="00CE796A" w:rsidRDefault="008D099A" w:rsidP="00840A06">
          <w:pPr>
            <w:spacing w:before="60" w:after="0"/>
            <w:ind w:left="-51"/>
            <w:rPr>
              <w:rFonts w:ascii="Arial" w:hAnsi="Arial"/>
              <w:sz w:val="12"/>
            </w:rPr>
          </w:pPr>
          <w:bookmarkStart w:id="0" w:name="OLE_LINK2"/>
          <w:r>
            <w:rPr>
              <w:rFonts w:ascii="Arial" w:hAnsi="Arial"/>
              <w:noProof/>
              <w:sz w:val="12"/>
              <w:lang w:eastAsia="en-AU"/>
            </w:rPr>
            <w:drawing>
              <wp:inline distT="0" distB="0" distL="0" distR="0">
                <wp:extent cx="702945"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8D099A" w:rsidRPr="00CE796A" w:rsidRDefault="008D099A"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 xml:space="preserve">of </w:t>
          </w:r>
          <w:smartTag w:uri="urn:schemas-microsoft-com:office:smarttags" w:element="country-region">
            <w:smartTag w:uri="urn:schemas-microsoft-com:office:smarttags" w:element="place">
              <w:r w:rsidRPr="00CE796A">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l2br w:val="nil"/>
            <w:tr2bl w:val="nil"/>
          </w:tcBorders>
          <w:shd w:val="clear" w:color="auto" w:fill="auto"/>
        </w:tcPr>
        <w:p w:rsidR="008D099A" w:rsidRPr="00CE796A" w:rsidRDefault="008D099A"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8D099A"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8D099A" w:rsidRPr="00CE796A" w:rsidRDefault="008D099A" w:rsidP="00840A06">
          <w:pPr>
            <w:spacing w:after="0"/>
            <w:ind w:left="-51"/>
            <w:rPr>
              <w:rFonts w:ascii="Arial" w:hAnsi="Arial" w:cs="Arial"/>
              <w:sz w:val="14"/>
              <w:szCs w:val="14"/>
            </w:rPr>
          </w:pPr>
          <w:bookmarkStart w:id="1" w:name="GazNo"/>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8D099A" w:rsidRPr="00840A06" w:rsidRDefault="008D099A"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0"/>
  </w:tbl>
  <w:p w:rsidR="008D099A" w:rsidRPr="003A707F" w:rsidRDefault="008D099A" w:rsidP="00F40885">
    <w:pPr>
      <w:pStyle w:val="Header"/>
      <w:rPr>
        <w:sz w:val="2"/>
        <w:szCs w:val="2"/>
      </w:rPr>
    </w:pPr>
  </w:p>
  <w:p w:rsidR="008D099A" w:rsidRPr="00F40885" w:rsidRDefault="008D099A">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521F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3D265F8"/>
    <w:multiLevelType w:val="hybridMultilevel"/>
    <w:tmpl w:val="60AAC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174ED2"/>
    <w:multiLevelType w:val="hybridMultilevel"/>
    <w:tmpl w:val="23829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2A1B49"/>
    <w:multiLevelType w:val="singleLevel"/>
    <w:tmpl w:val="03B6DC94"/>
    <w:lvl w:ilvl="0">
      <w:start w:val="1"/>
      <w:numFmt w:val="lowerLetter"/>
      <w:lvlText w:val="%1)"/>
      <w:lvlJc w:val="left"/>
      <w:pPr>
        <w:tabs>
          <w:tab w:val="num" w:pos="1440"/>
        </w:tabs>
        <w:ind w:left="1440" w:hanging="720"/>
      </w:pPr>
      <w:rPr>
        <w:rFonts w:hint="default"/>
      </w:rPr>
    </w:lvl>
  </w:abstractNum>
  <w:abstractNum w:abstractNumId="4">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5">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BD02C08"/>
    <w:multiLevelType w:val="multilevel"/>
    <w:tmpl w:val="46C8E7D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rsids>
    <w:rsidRoot w:val="008E4F6C"/>
    <w:rsid w:val="0001026C"/>
    <w:rsid w:val="0006288D"/>
    <w:rsid w:val="000E1F2B"/>
    <w:rsid w:val="0016321B"/>
    <w:rsid w:val="00191D85"/>
    <w:rsid w:val="001C2AAD"/>
    <w:rsid w:val="001F6E54"/>
    <w:rsid w:val="00280BCD"/>
    <w:rsid w:val="00330CEA"/>
    <w:rsid w:val="00375587"/>
    <w:rsid w:val="003A707F"/>
    <w:rsid w:val="003B0EC1"/>
    <w:rsid w:val="003B573B"/>
    <w:rsid w:val="003F2CBD"/>
    <w:rsid w:val="004019F7"/>
    <w:rsid w:val="00424B97"/>
    <w:rsid w:val="004B2753"/>
    <w:rsid w:val="004E245A"/>
    <w:rsid w:val="00520873"/>
    <w:rsid w:val="00573D44"/>
    <w:rsid w:val="005B44AC"/>
    <w:rsid w:val="00840A06"/>
    <w:rsid w:val="008439B7"/>
    <w:rsid w:val="00846B2D"/>
    <w:rsid w:val="0087253F"/>
    <w:rsid w:val="008C3943"/>
    <w:rsid w:val="008D099A"/>
    <w:rsid w:val="008E2F6C"/>
    <w:rsid w:val="008E4F6C"/>
    <w:rsid w:val="00903F24"/>
    <w:rsid w:val="009539C7"/>
    <w:rsid w:val="009766A0"/>
    <w:rsid w:val="00992A48"/>
    <w:rsid w:val="009B6C55"/>
    <w:rsid w:val="00A00F21"/>
    <w:rsid w:val="00B84226"/>
    <w:rsid w:val="00BF1CBA"/>
    <w:rsid w:val="00C63C4E"/>
    <w:rsid w:val="00C86FCA"/>
    <w:rsid w:val="00D609B7"/>
    <w:rsid w:val="00D77A88"/>
    <w:rsid w:val="00F40885"/>
    <w:rsid w:val="00F929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ListBullet">
    <w:name w:val="List Bullet"/>
    <w:basedOn w:val="Normal"/>
    <w:uiPriority w:val="99"/>
    <w:unhideWhenUsed/>
    <w:rsid w:val="00D609B7"/>
    <w:pPr>
      <w:numPr>
        <w:numId w:val="2"/>
      </w:numPr>
      <w:contextualSpacing/>
    </w:pPr>
  </w:style>
  <w:style w:type="paragraph" w:styleId="ListParagraph">
    <w:name w:val="List Paragraph"/>
    <w:basedOn w:val="Normal"/>
    <w:uiPriority w:val="34"/>
    <w:qFormat/>
    <w:rsid w:val="00191D85"/>
    <w:pPr>
      <w:ind w:left="720"/>
      <w:contextualSpacing/>
    </w:pPr>
  </w:style>
  <w:style w:type="paragraph" w:customStyle="1" w:styleId="normal-dot">
    <w:name w:val="normal-dot"/>
    <w:basedOn w:val="Normal"/>
    <w:rsid w:val="008C3943"/>
    <w:pPr>
      <w:numPr>
        <w:numId w:val="5"/>
      </w:numPr>
      <w:spacing w:before="120" w:after="0" w:line="240" w:lineRule="auto"/>
      <w:ind w:left="357" w:hanging="357"/>
    </w:pPr>
    <w:rPr>
      <w:rFonts w:ascii="Times New Roman" w:eastAsia="Times New Roman" w:hAnsi="Times New Roman" w:cs="Times New Roman"/>
      <w:szCs w:val="20"/>
    </w:rPr>
  </w:style>
  <w:style w:type="table" w:styleId="TableGrid">
    <w:name w:val="Table Grid"/>
    <w:basedOn w:val="TableNormal"/>
    <w:rsid w:val="008C394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841C706EC42F36488E878CEA66D5CB61" ma:contentTypeVersion="6" ma:contentTypeDescription="Create a new Word Document" ma:contentTypeScope="" ma:versionID="26de00711b20960803311806088cc2b6">
  <xsd:schema xmlns:xsd="http://www.w3.org/2001/XMLSchema" xmlns:p="http://schemas.microsoft.com/office/2006/metadata/properties" xmlns:ns2="344c6e69-c594-4ca4-b341-09ae9dfc1422" targetNamespace="http://schemas.microsoft.com/office/2006/metadata/properties" ma:root="true" ma:fieldsID="a92609f4632278862e9b8abf514989f4"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dms="http://schemas.microsoft.com/office/2006/documentManagement/types" targetNamespace="344c6e69-c594-4ca4-b341-09ae9dfc1422"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pproval xmlns="344c6e69-c594-4ca4-b341-09ae9dfc1422" xsi:nil="true"/>
    <Function xmlns="344c6e69-c594-4ca4-b341-09ae9dfc1422">Regulation</Function>
    <DocumentDescription xmlns="344c6e69-c594-4ca4-b341-09ae9dfc1422">This document needs to be used for every instrument that is going to be gazetted. Do not change the layout of the document as it has been set to OPC's Specifications</DocumentDescription>
    <RecordNumber xmlns="344c6e69-c594-4ca4-b341-09ae9dfc1422">000085109</Record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B82A-C271-4CE2-B9BE-2C058889A06F}">
  <ds:schemaRefs>
    <ds:schemaRef ds:uri="http://schemas.microsoft.com/sharepoint/events"/>
  </ds:schemaRefs>
</ds:datastoreItem>
</file>

<file path=customXml/itemProps2.xml><?xml version="1.0" encoding="utf-8"?>
<ds:datastoreItem xmlns:ds="http://schemas.openxmlformats.org/officeDocument/2006/customXml" ds:itemID="{EE63525B-7530-4039-B7AE-ACDE7D75A032}">
  <ds:schemaRefs>
    <ds:schemaRef ds:uri="http://schemas.microsoft.com/office/2006/metadata/customXsn"/>
  </ds:schemaRefs>
</ds:datastoreItem>
</file>

<file path=customXml/itemProps3.xml><?xml version="1.0" encoding="utf-8"?>
<ds:datastoreItem xmlns:ds="http://schemas.openxmlformats.org/officeDocument/2006/customXml" ds:itemID="{48B11C78-0D0B-4FF8-A0B6-9CB5D39E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70DB1A-6F42-4AEB-926F-C34B15FFCAD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44c6e69-c594-4ca4-b341-09ae9dfc1422"/>
    <ds:schemaRef ds:uri="http://schemas.openxmlformats.org/package/2006/metadata/core-properties"/>
  </ds:schemaRefs>
</ds:datastoreItem>
</file>

<file path=customXml/itemProps5.xml><?xml version="1.0" encoding="utf-8"?>
<ds:datastoreItem xmlns:ds="http://schemas.openxmlformats.org/officeDocument/2006/customXml" ds:itemID="{4E5D3FBB-4ED4-42BD-982F-608BD16A2AEF}">
  <ds:schemaRefs>
    <ds:schemaRef ds:uri="http://schemas.microsoft.com/sharepoint/v3/contenttype/forms"/>
  </ds:schemaRefs>
</ds:datastoreItem>
</file>

<file path=customXml/itemProps6.xml><?xml version="1.0" encoding="utf-8"?>
<ds:datastoreItem xmlns:ds="http://schemas.openxmlformats.org/officeDocument/2006/customXml" ds:itemID="{C07CA399-8DB7-4A78-B492-4B9B982B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Gazette Notice Template</vt:lpstr>
    </vt:vector>
  </TitlesOfParts>
  <Company>Office of Parliamentary Counsel</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 Notice Template</dc:title>
  <dc:creator>Miller, Kelli</dc:creator>
  <cp:lastModifiedBy>a15139</cp:lastModifiedBy>
  <cp:revision>3</cp:revision>
  <cp:lastPrinted>2013-06-24T01:35:00Z</cp:lastPrinted>
  <dcterms:created xsi:type="dcterms:W3CDTF">2014-11-24T23:23:00Z</dcterms:created>
  <dcterms:modified xsi:type="dcterms:W3CDTF">2014-11-25T00:01:00Z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0x0101009DB8618430E8D149BA674DA7B0E0C3F00100841C706EC42F36488E878CEA66D5CB61</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RecordFormat">
    <vt:lpwstr/>
  </property>
  <property fmtid="{D5CDD505-2E9C-101B-9397-08002B2CF9AE}" pid="8" name="RecordPoint_ActiveItemMoved">
    <vt:lpwstr/>
  </property>
  <property fmtid="{D5CDD505-2E9C-101B-9397-08002B2CF9AE}" pid="9" name="RecordPoint_SubmissionCompleted">
    <vt:lpwstr/>
  </property>
  <property fmtid="{D5CDD505-2E9C-101B-9397-08002B2CF9AE}" pid="10" name="RecordPoint_ActiveItemUniqueId">
    <vt:lpwstr>{622f44c6-66e0-4d9b-8920-13a80311c42f}</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y fmtid="{D5CDD505-2E9C-101B-9397-08002B2CF9AE}" pid="13" name="IconOverlay">
    <vt:lpwstr/>
  </property>
</Properties>
</file>