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7BCED" w14:textId="77777777" w:rsidR="00FF215B" w:rsidRDefault="00FF215B" w:rsidP="00FF215B">
      <w:pPr>
        <w:spacing w:line="1800" w:lineRule="atLeast"/>
        <w:ind w:left="142" w:right="397"/>
      </w:pPr>
    </w:p>
    <w:p w14:paraId="52130D3A" w14:textId="77777777" w:rsidR="00E72A5D" w:rsidRPr="00A73669" w:rsidRDefault="00E72A5D" w:rsidP="00FF215B">
      <w:pPr>
        <w:spacing w:line="1800" w:lineRule="atLeast"/>
        <w:ind w:left="142" w:right="397"/>
      </w:pPr>
      <w:r w:rsidRPr="00A73669">
        <w:rPr>
          <w:noProof/>
          <w:lang w:eastAsia="ko-KR"/>
        </w:rPr>
        <w:drawing>
          <wp:inline distT="0" distB="0" distL="0" distR="0" wp14:anchorId="13183C81" wp14:editId="23D5D4A4">
            <wp:extent cx="141922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F506C" w14:textId="77777777" w:rsidR="00E72A5D" w:rsidRPr="00A73669" w:rsidRDefault="00E72A5D" w:rsidP="00FF215B">
      <w:pPr>
        <w:pStyle w:val="Title"/>
        <w:pBdr>
          <w:bottom w:val="single" w:sz="2" w:space="3" w:color="auto"/>
        </w:pBdr>
        <w:ind w:left="142" w:right="397"/>
      </w:pPr>
      <w:bookmarkStart w:id="0" w:name="citation"/>
      <w:r w:rsidRPr="00A73669">
        <w:t>Radiocommunications (Accreditation Body) Determination </w:t>
      </w:r>
      <w:bookmarkEnd w:id="0"/>
      <w:r>
        <w:t>2014</w:t>
      </w:r>
    </w:p>
    <w:p w14:paraId="5AED1DB8" w14:textId="77777777" w:rsidR="00E72A5D" w:rsidRPr="00A73669" w:rsidRDefault="00E72A5D" w:rsidP="00FF215B">
      <w:pPr>
        <w:spacing w:before="600" w:line="300" w:lineRule="atLeast"/>
        <w:ind w:left="142" w:right="397"/>
        <w:jc w:val="both"/>
      </w:pPr>
      <w:r w:rsidRPr="00A73669">
        <w:t xml:space="preserve">THE AUSTRALIAN COMMUNICATIONS </w:t>
      </w:r>
      <w:r>
        <w:t xml:space="preserve">AND MEDIA </w:t>
      </w:r>
      <w:r w:rsidRPr="00A73669">
        <w:t xml:space="preserve">AUTHORITY makes this determination under subsection 183(1) of the </w:t>
      </w:r>
      <w:bookmarkStart w:id="1" w:name="Act"/>
      <w:r w:rsidRPr="00A73669">
        <w:rPr>
          <w:i/>
        </w:rPr>
        <w:t>Radiocommunications Act 1992</w:t>
      </w:r>
      <w:bookmarkEnd w:id="1"/>
      <w:r w:rsidRPr="00A73669">
        <w:t>.</w:t>
      </w:r>
    </w:p>
    <w:p w14:paraId="5599F78E" w14:textId="3F0391B4" w:rsidR="00E72A5D" w:rsidRDefault="00E72A5D" w:rsidP="00FF215B">
      <w:pPr>
        <w:tabs>
          <w:tab w:val="center" w:pos="3119"/>
        </w:tabs>
        <w:spacing w:before="600" w:after="360" w:line="300" w:lineRule="atLeast"/>
        <w:ind w:left="142" w:right="397"/>
      </w:pPr>
      <w:r w:rsidRPr="00A73669">
        <w:t xml:space="preserve">Dated </w:t>
      </w:r>
      <w:r w:rsidR="000628C4" w:rsidRPr="000628C4">
        <w:rPr>
          <w:i/>
        </w:rPr>
        <w:t>9</w:t>
      </w:r>
      <w:r w:rsidR="000628C4" w:rsidRPr="000628C4">
        <w:rPr>
          <w:i/>
          <w:vertAlign w:val="superscript"/>
        </w:rPr>
        <w:t>th</w:t>
      </w:r>
      <w:r w:rsidR="000628C4" w:rsidRPr="000628C4">
        <w:rPr>
          <w:i/>
        </w:rPr>
        <w:t xml:space="preserve"> September 2014</w:t>
      </w:r>
    </w:p>
    <w:p w14:paraId="0EBAE904" w14:textId="05B483B9" w:rsidR="00E72A5D" w:rsidRDefault="000628C4" w:rsidP="00FF215B">
      <w:pPr>
        <w:tabs>
          <w:tab w:val="center" w:pos="3119"/>
        </w:tabs>
        <w:spacing w:before="600" w:after="360" w:line="300" w:lineRule="atLeast"/>
        <w:ind w:left="142" w:right="397"/>
        <w:jc w:val="right"/>
      </w:pPr>
      <w:r w:rsidRPr="000628C4">
        <w:rPr>
          <w:i/>
        </w:rPr>
        <w:t>Chris Chapman</w:t>
      </w:r>
      <w:r>
        <w:t xml:space="preserve"> </w:t>
      </w:r>
      <w:r>
        <w:br/>
        <w:t xml:space="preserve">[signed] </w:t>
      </w:r>
      <w:r>
        <w:br/>
      </w:r>
      <w:r w:rsidR="00E72A5D">
        <w:t>Member</w:t>
      </w:r>
    </w:p>
    <w:p w14:paraId="3389FD8B" w14:textId="2585225D" w:rsidR="00E72A5D" w:rsidRDefault="000628C4" w:rsidP="00FF215B">
      <w:pPr>
        <w:tabs>
          <w:tab w:val="center" w:pos="3119"/>
        </w:tabs>
        <w:spacing w:before="600" w:after="360" w:line="300" w:lineRule="atLeast"/>
        <w:ind w:left="142" w:right="397"/>
        <w:jc w:val="right"/>
      </w:pPr>
      <w:r w:rsidRPr="000628C4">
        <w:rPr>
          <w:i/>
        </w:rPr>
        <w:t>Richard Bean</w:t>
      </w:r>
      <w:r>
        <w:t xml:space="preserve"> </w:t>
      </w:r>
      <w:r>
        <w:br/>
        <w:t xml:space="preserve">[signed] </w:t>
      </w:r>
      <w:r>
        <w:br/>
      </w:r>
      <w:r w:rsidR="00E72A5D">
        <w:t>Member/</w:t>
      </w:r>
      <w:r w:rsidR="00E72A5D" w:rsidRPr="000628C4">
        <w:rPr>
          <w:strike/>
        </w:rPr>
        <w:t>General Manager</w:t>
      </w:r>
    </w:p>
    <w:p w14:paraId="4FD09516" w14:textId="77777777" w:rsidR="00E72A5D" w:rsidRDefault="00E72A5D" w:rsidP="00FF215B">
      <w:pPr>
        <w:tabs>
          <w:tab w:val="left" w:pos="7088"/>
        </w:tabs>
        <w:spacing w:before="480"/>
        <w:ind w:left="142" w:right="397"/>
        <w:jc w:val="center"/>
      </w:pPr>
    </w:p>
    <w:p w14:paraId="0FF453CC" w14:textId="77777777" w:rsidR="00E72A5D" w:rsidRDefault="00E72A5D" w:rsidP="00FF215B">
      <w:pPr>
        <w:ind w:left="142"/>
      </w:pPr>
    </w:p>
    <w:p w14:paraId="2B3F74AE" w14:textId="77777777" w:rsidR="00E72A5D" w:rsidRDefault="00E72A5D" w:rsidP="00FF215B">
      <w:pPr>
        <w:ind w:left="142"/>
      </w:pPr>
    </w:p>
    <w:p w14:paraId="3C6BFA33" w14:textId="77777777" w:rsidR="00E72A5D" w:rsidRDefault="00E72A5D" w:rsidP="00FF215B">
      <w:pPr>
        <w:ind w:left="142"/>
      </w:pPr>
    </w:p>
    <w:p w14:paraId="156A38D8" w14:textId="77777777" w:rsidR="00D05B54" w:rsidRDefault="00E72A5D" w:rsidP="00FF215B">
      <w:pPr>
        <w:ind w:left="142"/>
      </w:pPr>
      <w:r w:rsidRPr="00A73669">
        <w:t xml:space="preserve">Australian Communications </w:t>
      </w:r>
      <w:r>
        <w:t xml:space="preserve">and Media </w:t>
      </w:r>
      <w:r w:rsidRPr="00A73669">
        <w:t>Authority</w:t>
      </w:r>
    </w:p>
    <w:p w14:paraId="2713606E" w14:textId="77777777" w:rsidR="00E72A5D" w:rsidRDefault="00E72A5D" w:rsidP="00FF215B">
      <w:pPr>
        <w:pBdr>
          <w:bottom w:val="single" w:sz="4" w:space="1" w:color="auto"/>
        </w:pBdr>
        <w:ind w:left="142"/>
      </w:pPr>
    </w:p>
    <w:p w14:paraId="2D672B03" w14:textId="77777777" w:rsidR="00E72A5D" w:rsidRDefault="00E72A5D" w:rsidP="00FF215B">
      <w:pPr>
        <w:ind w:left="142"/>
        <w:sectPr w:rsidR="00E72A5D" w:rsidSect="00FF215B">
          <w:headerReference w:type="first" r:id="rId8"/>
          <w:pgSz w:w="11906" w:h="16838"/>
          <w:pgMar w:top="1440" w:right="1440" w:bottom="1440" w:left="1134" w:header="708" w:footer="708" w:gutter="0"/>
          <w:cols w:space="708"/>
          <w:titlePg/>
          <w:docGrid w:linePitch="360"/>
        </w:sectPr>
      </w:pPr>
    </w:p>
    <w:p w14:paraId="74435367" w14:textId="77777777" w:rsidR="00E72A5D" w:rsidRPr="00A73669" w:rsidRDefault="00E72A5D" w:rsidP="007E3ACC">
      <w:pPr>
        <w:pStyle w:val="HR"/>
        <w:tabs>
          <w:tab w:val="clear" w:pos="964"/>
        </w:tabs>
        <w:ind w:left="1134" w:hanging="992"/>
      </w:pPr>
      <w:bookmarkStart w:id="4" w:name="MinisterSign"/>
      <w:bookmarkStart w:id="5" w:name="_Toc430581701"/>
      <w:bookmarkEnd w:id="4"/>
      <w:r w:rsidRPr="00A73669">
        <w:rPr>
          <w:rStyle w:val="CharSectno"/>
        </w:rPr>
        <w:lastRenderedPageBreak/>
        <w:t>1</w:t>
      </w:r>
      <w:r w:rsidRPr="00A73669">
        <w:tab/>
        <w:t>Name of determination</w:t>
      </w:r>
      <w:bookmarkEnd w:id="5"/>
    </w:p>
    <w:p w14:paraId="55E390ED" w14:textId="38178C56" w:rsidR="00E72A5D" w:rsidRPr="00A73669" w:rsidRDefault="00E72A5D" w:rsidP="007E3ACC">
      <w:pPr>
        <w:pStyle w:val="R1"/>
        <w:tabs>
          <w:tab w:val="clear" w:pos="964"/>
        </w:tabs>
        <w:ind w:left="1134" w:hanging="992"/>
        <w:jc w:val="left"/>
        <w:rPr>
          <w:i/>
        </w:rPr>
      </w:pPr>
      <w:r w:rsidRPr="00A73669">
        <w:tab/>
      </w:r>
      <w:r w:rsidRPr="00A73669">
        <w:tab/>
        <w:t>This determination is the</w:t>
      </w:r>
      <w:r w:rsidR="0047608C">
        <w:t xml:space="preserve"> </w:t>
      </w:r>
      <w:proofErr w:type="spellStart"/>
      <w:r w:rsidR="0047608C">
        <w:rPr>
          <w:i/>
        </w:rPr>
        <w:t>Radiocommunications</w:t>
      </w:r>
      <w:proofErr w:type="spellEnd"/>
      <w:r w:rsidR="0047608C">
        <w:rPr>
          <w:i/>
        </w:rPr>
        <w:t xml:space="preserve"> (Accreditation Body) Determination 2014.</w:t>
      </w:r>
    </w:p>
    <w:p w14:paraId="163BAD57" w14:textId="77777777" w:rsidR="00E72A5D" w:rsidRPr="00A73669" w:rsidRDefault="00E72A5D" w:rsidP="007E3ACC">
      <w:pPr>
        <w:pStyle w:val="HR"/>
        <w:tabs>
          <w:tab w:val="clear" w:pos="964"/>
        </w:tabs>
        <w:ind w:left="1134" w:hanging="992"/>
      </w:pPr>
      <w:bookmarkStart w:id="6" w:name="_Toc430581702"/>
      <w:r w:rsidRPr="00A73669">
        <w:rPr>
          <w:rStyle w:val="CharSectno"/>
        </w:rPr>
        <w:t>2</w:t>
      </w:r>
      <w:r w:rsidRPr="00A73669">
        <w:tab/>
        <w:t>Commencement</w:t>
      </w:r>
      <w:bookmarkEnd w:id="6"/>
    </w:p>
    <w:p w14:paraId="0A75A2E6" w14:textId="73EA1714" w:rsidR="00345F89" w:rsidRDefault="00E72A5D" w:rsidP="007E3ACC">
      <w:pPr>
        <w:pStyle w:val="R1"/>
        <w:tabs>
          <w:tab w:val="clear" w:pos="964"/>
        </w:tabs>
        <w:ind w:left="1134" w:hanging="992"/>
        <w:jc w:val="left"/>
      </w:pPr>
      <w:r w:rsidRPr="00A73669">
        <w:tab/>
      </w:r>
      <w:r w:rsidRPr="00A73669">
        <w:tab/>
        <w:t>This dete</w:t>
      </w:r>
      <w:r>
        <w:t xml:space="preserve">rmination commences </w:t>
      </w:r>
      <w:r w:rsidR="00345F89">
        <w:t>on the later of:</w:t>
      </w:r>
    </w:p>
    <w:p w14:paraId="5DF6FF2F" w14:textId="77777777" w:rsidR="00345F89" w:rsidRDefault="00E72A5D" w:rsidP="007E3ACC">
      <w:pPr>
        <w:pStyle w:val="R1"/>
        <w:numPr>
          <w:ilvl w:val="0"/>
          <w:numId w:val="1"/>
        </w:numPr>
        <w:tabs>
          <w:tab w:val="clear" w:pos="794"/>
          <w:tab w:val="clear" w:pos="964"/>
        </w:tabs>
        <w:ind w:left="1560" w:hanging="426"/>
        <w:jc w:val="left"/>
      </w:pPr>
      <w:r>
        <w:t>the day after it is registered</w:t>
      </w:r>
      <w:r w:rsidR="00345F89">
        <w:t>; or</w:t>
      </w:r>
    </w:p>
    <w:p w14:paraId="67A89FAA" w14:textId="76845824" w:rsidR="00E72A5D" w:rsidRDefault="00345F89" w:rsidP="007E3ACC">
      <w:pPr>
        <w:pStyle w:val="R1"/>
        <w:numPr>
          <w:ilvl w:val="0"/>
          <w:numId w:val="1"/>
        </w:numPr>
        <w:tabs>
          <w:tab w:val="clear" w:pos="794"/>
          <w:tab w:val="clear" w:pos="964"/>
        </w:tabs>
        <w:ind w:left="1560" w:hanging="426"/>
        <w:jc w:val="left"/>
      </w:pPr>
      <w:proofErr w:type="gramStart"/>
      <w:r>
        <w:t>the</w:t>
      </w:r>
      <w:proofErr w:type="gramEnd"/>
      <w:r>
        <w:t xml:space="preserve"> day on which it is published in the </w:t>
      </w:r>
      <w:r>
        <w:rPr>
          <w:i/>
        </w:rPr>
        <w:t>Gazette</w:t>
      </w:r>
      <w:r>
        <w:t>.</w:t>
      </w:r>
      <w:r w:rsidR="00E72A5D">
        <w:t xml:space="preserve"> </w:t>
      </w:r>
    </w:p>
    <w:p w14:paraId="4B0224AF" w14:textId="77777777" w:rsidR="00935F94" w:rsidRDefault="00E72A5D" w:rsidP="007E3ACC">
      <w:pPr>
        <w:spacing w:before="120" w:after="120"/>
        <w:ind w:left="1134"/>
        <w:rPr>
          <w:rStyle w:val="Hyperlink"/>
          <w:iCs/>
          <w:sz w:val="20"/>
        </w:rPr>
      </w:pPr>
      <w:r w:rsidRPr="00D91251">
        <w:rPr>
          <w:sz w:val="20"/>
          <w:lang w:eastAsia="en-US"/>
        </w:rPr>
        <w:t>Note</w:t>
      </w:r>
      <w:r w:rsidR="00935F94" w:rsidRPr="00D91251">
        <w:rPr>
          <w:sz w:val="20"/>
          <w:lang w:eastAsia="en-US"/>
        </w:rPr>
        <w:t xml:space="preserve"> 1</w:t>
      </w:r>
      <w:r w:rsidRPr="00687143">
        <w:rPr>
          <w:sz w:val="20"/>
          <w:lang w:eastAsia="en-US"/>
        </w:rPr>
        <w:t>:</w:t>
      </w:r>
      <w:r w:rsidRPr="006B17D1">
        <w:rPr>
          <w:i/>
          <w:sz w:val="20"/>
          <w:lang w:eastAsia="en-US"/>
        </w:rPr>
        <w:tab/>
      </w:r>
      <w:r w:rsidRPr="006B17D1">
        <w:rPr>
          <w:iCs/>
          <w:color w:val="000000"/>
          <w:sz w:val="20"/>
        </w:rPr>
        <w:t xml:space="preserve">All legislative instruments and compilations are registered on the Federal Register of Legislative Instruments kept under the </w:t>
      </w:r>
      <w:r w:rsidRPr="00F05076">
        <w:rPr>
          <w:i/>
          <w:iCs/>
          <w:color w:val="000000"/>
          <w:sz w:val="20"/>
        </w:rPr>
        <w:t>Legislative Instruments Act 2003</w:t>
      </w:r>
      <w:r w:rsidRPr="006B17D1">
        <w:rPr>
          <w:iCs/>
          <w:color w:val="000000"/>
          <w:sz w:val="20"/>
        </w:rPr>
        <w:t xml:space="preserve">. See </w:t>
      </w:r>
      <w:hyperlink r:id="rId9" w:history="1">
        <w:r w:rsidRPr="00231133">
          <w:rPr>
            <w:rStyle w:val="Hyperlink"/>
            <w:iCs/>
            <w:sz w:val="20"/>
          </w:rPr>
          <w:t>www.comlaw.gov.au</w:t>
        </w:r>
      </w:hyperlink>
      <w:r w:rsidR="00935F94">
        <w:rPr>
          <w:rStyle w:val="Hyperlink"/>
          <w:iCs/>
          <w:sz w:val="20"/>
        </w:rPr>
        <w:t>.</w:t>
      </w:r>
    </w:p>
    <w:p w14:paraId="2C4624F1" w14:textId="2DDF8B27" w:rsidR="00E72A5D" w:rsidRDefault="00935F94" w:rsidP="007E3ACC">
      <w:pPr>
        <w:spacing w:before="120" w:after="120"/>
        <w:ind w:left="1134"/>
        <w:rPr>
          <w:sz w:val="20"/>
        </w:rPr>
      </w:pPr>
      <w:r w:rsidRPr="00AA500F">
        <w:rPr>
          <w:sz w:val="20"/>
          <w:lang w:eastAsia="en-US"/>
        </w:rPr>
        <w:t xml:space="preserve">Note </w:t>
      </w:r>
      <w:r w:rsidR="00D91251">
        <w:rPr>
          <w:sz w:val="20"/>
          <w:lang w:eastAsia="en-US"/>
        </w:rPr>
        <w:t>2</w:t>
      </w:r>
      <w:r w:rsidRPr="00AA500F">
        <w:rPr>
          <w:sz w:val="20"/>
          <w:lang w:eastAsia="en-US"/>
        </w:rPr>
        <w:t>:</w:t>
      </w:r>
      <w:r w:rsidRPr="006B17D1">
        <w:rPr>
          <w:i/>
          <w:sz w:val="20"/>
          <w:lang w:eastAsia="en-US"/>
        </w:rPr>
        <w:tab/>
      </w:r>
      <w:r>
        <w:rPr>
          <w:iCs/>
          <w:color w:val="000000"/>
          <w:sz w:val="20"/>
        </w:rPr>
        <w:t>Both (a) and (b) must occur for this determination to commence.</w:t>
      </w:r>
      <w:r w:rsidR="00E72A5D">
        <w:rPr>
          <w:sz w:val="20"/>
        </w:rPr>
        <w:t xml:space="preserve"> </w:t>
      </w:r>
    </w:p>
    <w:p w14:paraId="1A040373" w14:textId="77777777" w:rsidR="00E72A5D" w:rsidRDefault="00E72A5D" w:rsidP="007E3ACC">
      <w:pPr>
        <w:pStyle w:val="HR"/>
        <w:tabs>
          <w:tab w:val="clear" w:pos="964"/>
        </w:tabs>
        <w:ind w:left="1134" w:hanging="992"/>
      </w:pPr>
      <w:bookmarkStart w:id="7" w:name="_Toc288485852"/>
      <w:bookmarkStart w:id="8" w:name="_Toc430581703"/>
      <w:r w:rsidRPr="00C940BA">
        <w:rPr>
          <w:rStyle w:val="CharSectno"/>
        </w:rPr>
        <w:t>3</w:t>
      </w:r>
      <w:r>
        <w:tab/>
        <w:t>Revocation</w:t>
      </w:r>
      <w:bookmarkEnd w:id="7"/>
    </w:p>
    <w:p w14:paraId="27051AB6" w14:textId="77777777" w:rsidR="00E72A5D" w:rsidRPr="0047608C" w:rsidRDefault="00E72A5D" w:rsidP="007E3ACC">
      <w:pPr>
        <w:pStyle w:val="R1"/>
        <w:tabs>
          <w:tab w:val="clear" w:pos="964"/>
        </w:tabs>
        <w:ind w:left="1134" w:hanging="992"/>
        <w:jc w:val="left"/>
        <w:rPr>
          <w:rStyle w:val="CharSectno"/>
          <w:szCs w:val="24"/>
        </w:rPr>
      </w:pPr>
      <w:r>
        <w:tab/>
      </w:r>
      <w:r w:rsidRPr="00F05076">
        <w:rPr>
          <w:sz w:val="22"/>
          <w:szCs w:val="22"/>
          <w:lang w:eastAsia="en-US"/>
        </w:rPr>
        <w:tab/>
      </w:r>
      <w:r w:rsidRPr="0047608C">
        <w:rPr>
          <w:szCs w:val="24"/>
          <w:lang w:eastAsia="en-US"/>
        </w:rPr>
        <w:t xml:space="preserve">The </w:t>
      </w:r>
      <w:r w:rsidRPr="0047608C">
        <w:rPr>
          <w:i/>
          <w:iCs/>
          <w:szCs w:val="24"/>
          <w:lang w:eastAsia="en-US"/>
        </w:rPr>
        <w:t xml:space="preserve">Radiocommunications (Accreditation Body) Determination 1998 </w:t>
      </w:r>
      <w:r w:rsidRPr="0047608C">
        <w:rPr>
          <w:szCs w:val="24"/>
          <w:lang w:eastAsia="en-US"/>
        </w:rPr>
        <w:t>[F2005B01372] is revoked.</w:t>
      </w:r>
    </w:p>
    <w:p w14:paraId="09DE79FC" w14:textId="77777777" w:rsidR="00E72A5D" w:rsidRPr="00A73669" w:rsidRDefault="00E72A5D" w:rsidP="007E3ACC">
      <w:pPr>
        <w:pStyle w:val="HR"/>
        <w:tabs>
          <w:tab w:val="clear" w:pos="964"/>
        </w:tabs>
        <w:ind w:left="1134" w:hanging="992"/>
      </w:pPr>
      <w:r>
        <w:rPr>
          <w:rStyle w:val="CharSectno"/>
        </w:rPr>
        <w:t>4</w:t>
      </w:r>
      <w:r w:rsidRPr="00A73669">
        <w:tab/>
        <w:t>Accreditation body</w:t>
      </w:r>
      <w:bookmarkEnd w:id="8"/>
    </w:p>
    <w:p w14:paraId="36FA5F10" w14:textId="66532730" w:rsidR="00E72A5D" w:rsidRPr="00A73669" w:rsidRDefault="00E72A5D" w:rsidP="007E3ACC">
      <w:pPr>
        <w:pStyle w:val="R1"/>
        <w:tabs>
          <w:tab w:val="clear" w:pos="964"/>
        </w:tabs>
        <w:ind w:left="1134" w:hanging="992"/>
        <w:jc w:val="left"/>
      </w:pPr>
      <w:r w:rsidRPr="00A73669">
        <w:tab/>
      </w:r>
      <w:r w:rsidRPr="00A73669">
        <w:tab/>
        <w:t xml:space="preserve">The National Association of Testing Authorities, Australia </w:t>
      </w:r>
      <w:r w:rsidR="00DF53D3" w:rsidRPr="00DF53D3">
        <w:t>ABN 59 004 379 748</w:t>
      </w:r>
      <w:r w:rsidR="00DF53D3">
        <w:t xml:space="preserve"> </w:t>
      </w:r>
      <w:r w:rsidRPr="00A73669">
        <w:t xml:space="preserve">is an accreditation body for </w:t>
      </w:r>
      <w:r>
        <w:t xml:space="preserve">the purposes of </w:t>
      </w:r>
      <w:r w:rsidRPr="00A73669">
        <w:t xml:space="preserve">section 183 of the </w:t>
      </w:r>
      <w:r w:rsidRPr="00A73669">
        <w:rPr>
          <w:i/>
        </w:rPr>
        <w:t>Radiocommunications Act 1992</w:t>
      </w:r>
      <w:r w:rsidRPr="00A73669">
        <w:t>.</w:t>
      </w:r>
    </w:p>
    <w:p w14:paraId="3E1DAA3A" w14:textId="77777777" w:rsidR="00E72A5D" w:rsidRPr="00E72A5D" w:rsidRDefault="00E72A5D" w:rsidP="007E3ACC">
      <w:pPr>
        <w:ind w:left="1134" w:hanging="992"/>
      </w:pPr>
      <w:bookmarkStart w:id="9" w:name="_GoBack"/>
      <w:bookmarkEnd w:id="9"/>
    </w:p>
    <w:sectPr w:rsidR="00E72A5D" w:rsidRPr="00E72A5D" w:rsidSect="00FF215B">
      <w:headerReference w:type="even" r:id="rId10"/>
      <w:headerReference w:type="default" r:id="rId11"/>
      <w:headerReference w:type="first" r:id="rId12"/>
      <w:footerReference w:type="first" r:id="rId13"/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9D9F3" w14:textId="77777777" w:rsidR="00383568" w:rsidRDefault="00383568" w:rsidP="00E72A5D">
      <w:r>
        <w:separator/>
      </w:r>
    </w:p>
  </w:endnote>
  <w:endnote w:type="continuationSeparator" w:id="0">
    <w:p w14:paraId="0D08BDA1" w14:textId="77777777" w:rsidR="00383568" w:rsidRDefault="00383568" w:rsidP="00E72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vant Garde">
    <w:altName w:val="Century Gothic"/>
    <w:charset w:val="4D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2AAA3" w14:textId="77777777" w:rsidR="0087419C" w:rsidRDefault="00F660F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2A5D">
      <w:rPr>
        <w:noProof/>
      </w:rPr>
      <w:t>2</w:t>
    </w:r>
    <w:r>
      <w:rPr>
        <w:noProof/>
      </w:rPr>
      <w:fldChar w:fldCharType="end"/>
    </w:r>
  </w:p>
  <w:p w14:paraId="539934BC" w14:textId="77777777" w:rsidR="00A73669" w:rsidRPr="0087419C" w:rsidRDefault="00383568" w:rsidP="0087419C">
    <w:pPr>
      <w:pStyle w:val="Footer"/>
      <w:jc w:val="center"/>
      <w:rPr>
        <w:rFonts w:ascii="Times New Roman" w:hAnsi="Times New Roman"/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E6598" w14:textId="77777777" w:rsidR="00383568" w:rsidRDefault="00383568" w:rsidP="00E72A5D">
      <w:r>
        <w:separator/>
      </w:r>
    </w:p>
  </w:footnote>
  <w:footnote w:type="continuationSeparator" w:id="0">
    <w:p w14:paraId="403ED0AA" w14:textId="77777777" w:rsidR="00383568" w:rsidRDefault="00383568" w:rsidP="00E72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F215B" w:rsidRPr="00CE796A" w14:paraId="04A5FBBD" w14:textId="77777777" w:rsidTr="002A4A15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7E6B34B" w14:textId="77777777" w:rsidR="00FF215B" w:rsidRPr="00CE796A" w:rsidRDefault="00FF215B" w:rsidP="00FF215B">
          <w:pPr>
            <w:spacing w:before="60"/>
            <w:ind w:left="-51"/>
            <w:rPr>
              <w:rFonts w:ascii="Arial" w:hAnsi="Arial"/>
              <w:sz w:val="12"/>
            </w:rPr>
          </w:pPr>
          <w:bookmarkStart w:id="2" w:name="OLE_LINK2"/>
          <w:r>
            <w:rPr>
              <w:rFonts w:ascii="Arial" w:hAnsi="Arial"/>
              <w:noProof/>
              <w:sz w:val="12"/>
              <w:lang w:eastAsia="ko-KR"/>
            </w:rPr>
            <w:drawing>
              <wp:inline distT="0" distB="0" distL="0" distR="0" wp14:anchorId="0A5F83F6" wp14:editId="0D561FE7">
                <wp:extent cx="702945" cy="544195"/>
                <wp:effectExtent l="0" t="0" r="0" b="8255"/>
                <wp:docPr id="6" name="Picture 6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878F541" w14:textId="77777777" w:rsidR="00FF215B" w:rsidRPr="00CE796A" w:rsidRDefault="00FF215B" w:rsidP="00FF215B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23656A26" w14:textId="77777777" w:rsidR="00FF215B" w:rsidRPr="00CE796A" w:rsidRDefault="00FF215B" w:rsidP="00FF215B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F215B" w:rsidRPr="00CE796A" w14:paraId="0ED48784" w14:textId="77777777" w:rsidTr="002A4A15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6EB74385" w14:textId="77777777" w:rsidR="00FF215B" w:rsidRPr="00CE796A" w:rsidRDefault="00FF215B" w:rsidP="00FF215B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3" w:name="GazNo"/>
          <w:bookmarkEnd w:id="3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07A6388F" w14:textId="77777777" w:rsidR="00FF215B" w:rsidRPr="00840A06" w:rsidRDefault="00FF215B" w:rsidP="00FF215B">
          <w:pPr>
            <w:jc w:val="right"/>
            <w:rPr>
              <w:rFonts w:ascii="Arial" w:hAnsi="Arial" w:cs="Arial"/>
              <w:b/>
              <w:szCs w:val="24"/>
            </w:rPr>
          </w:pPr>
          <w:r w:rsidRPr="00840A06">
            <w:rPr>
              <w:rFonts w:ascii="Arial" w:hAnsi="Arial" w:cs="Arial"/>
              <w:b/>
              <w:szCs w:val="24"/>
            </w:rPr>
            <w:t>GOVERNMENT NOTICES</w:t>
          </w:r>
        </w:p>
      </w:tc>
    </w:tr>
    <w:bookmarkEnd w:id="2"/>
  </w:tbl>
  <w:p w14:paraId="13CE2195" w14:textId="77777777" w:rsidR="00FF215B" w:rsidRDefault="00FF215B" w:rsidP="00FF215B">
    <w:pPr>
      <w:pStyle w:val="Header"/>
      <w:ind w:left="-14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242"/>
      <w:gridCol w:w="6054"/>
    </w:tblGrid>
    <w:tr w:rsidR="00A73669" w14:paraId="4D2A9606" w14:textId="77777777">
      <w:tc>
        <w:tcPr>
          <w:tcW w:w="1242" w:type="dxa"/>
        </w:tcPr>
        <w:p w14:paraId="4858E86C" w14:textId="77777777" w:rsidR="00A73669" w:rsidRDefault="00F660F6">
          <w:pPr>
            <w:widowControl w:val="0"/>
            <w:spacing w:before="60"/>
            <w:rPr>
              <w:rFonts w:ascii="Helvetica" w:hAnsi="Helvetica"/>
              <w:i/>
              <w:sz w:val="18"/>
            </w:rPr>
          </w:pPr>
          <w:r>
            <w:rPr>
              <w:rFonts w:ascii="Helvetica" w:hAnsi="Helvetica"/>
              <w:sz w:val="18"/>
            </w:rPr>
            <w:fldChar w:fldCharType="begin"/>
          </w:r>
          <w:r>
            <w:rPr>
              <w:rFonts w:ascii="Helvetica" w:hAnsi="Helvetica"/>
              <w:sz w:val="18"/>
            </w:rPr>
            <w:instrText xml:space="preserve"> STYLEREF  CharPartNo </w:instrText>
          </w:r>
          <w:r>
            <w:rPr>
              <w:rFonts w:ascii="Helvetica" w:hAnsi="Helvetica"/>
              <w:sz w:val="18"/>
            </w:rPr>
            <w:fldChar w:fldCharType="end"/>
          </w:r>
        </w:p>
      </w:tc>
      <w:tc>
        <w:tcPr>
          <w:tcW w:w="6054" w:type="dxa"/>
        </w:tcPr>
        <w:p w14:paraId="15D951FA" w14:textId="77777777" w:rsidR="00A73669" w:rsidRDefault="00F660F6">
          <w:pPr>
            <w:widowControl w:val="0"/>
            <w:spacing w:before="60"/>
            <w:rPr>
              <w:rFonts w:ascii="Helvetica" w:hAnsi="Helvetica"/>
              <w:sz w:val="18"/>
            </w:rPr>
          </w:pPr>
          <w:r>
            <w:rPr>
              <w:rFonts w:ascii="Helvetica" w:hAnsi="Helvetica"/>
              <w:sz w:val="18"/>
            </w:rPr>
            <w:fldChar w:fldCharType="begin"/>
          </w:r>
          <w:r>
            <w:rPr>
              <w:rFonts w:ascii="Helvetica" w:hAnsi="Helvetica"/>
              <w:sz w:val="18"/>
            </w:rPr>
            <w:instrText xml:space="preserve"> STYLEREF  CharPartText </w:instrText>
          </w:r>
          <w:r>
            <w:rPr>
              <w:rFonts w:ascii="Helvetica" w:hAnsi="Helvetica"/>
              <w:sz w:val="18"/>
            </w:rPr>
            <w:fldChar w:fldCharType="end"/>
          </w:r>
        </w:p>
      </w:tc>
    </w:tr>
    <w:tr w:rsidR="00A73669" w14:paraId="29C83CA4" w14:textId="77777777">
      <w:tc>
        <w:tcPr>
          <w:tcW w:w="1242" w:type="dxa"/>
        </w:tcPr>
        <w:p w14:paraId="75CA327A" w14:textId="77777777" w:rsidR="00A73669" w:rsidRDefault="00F660F6">
          <w:pPr>
            <w:widowControl w:val="0"/>
            <w:spacing w:before="60"/>
            <w:rPr>
              <w:rFonts w:ascii="Helvetica" w:hAnsi="Helvetica"/>
              <w:sz w:val="18"/>
            </w:rPr>
          </w:pPr>
          <w:r>
            <w:rPr>
              <w:rFonts w:ascii="Helvetica" w:hAnsi="Helvetica"/>
              <w:sz w:val="18"/>
            </w:rPr>
            <w:fldChar w:fldCharType="begin"/>
          </w:r>
          <w:r>
            <w:rPr>
              <w:rFonts w:ascii="Helvetica" w:hAnsi="Helvetica"/>
              <w:sz w:val="18"/>
            </w:rPr>
            <w:instrText xml:space="preserve"> STYLEREF  CharDivNo </w:instrText>
          </w:r>
          <w:r>
            <w:rPr>
              <w:rFonts w:ascii="Helvetica" w:hAnsi="Helvetica"/>
              <w:sz w:val="18"/>
            </w:rPr>
            <w:fldChar w:fldCharType="end"/>
          </w:r>
        </w:p>
      </w:tc>
      <w:tc>
        <w:tcPr>
          <w:tcW w:w="6054" w:type="dxa"/>
        </w:tcPr>
        <w:p w14:paraId="68FF6B67" w14:textId="77777777" w:rsidR="00A73669" w:rsidRDefault="00F660F6">
          <w:pPr>
            <w:widowControl w:val="0"/>
            <w:spacing w:before="60"/>
            <w:rPr>
              <w:rFonts w:ascii="Helvetica" w:hAnsi="Helvetica"/>
              <w:sz w:val="18"/>
            </w:rPr>
          </w:pPr>
          <w:r>
            <w:rPr>
              <w:rFonts w:ascii="Helvetica" w:hAnsi="Helvetica"/>
              <w:sz w:val="18"/>
            </w:rPr>
            <w:fldChar w:fldCharType="begin"/>
          </w:r>
          <w:r>
            <w:rPr>
              <w:rFonts w:ascii="Helvetica" w:hAnsi="Helvetica"/>
              <w:sz w:val="18"/>
            </w:rPr>
            <w:instrText xml:space="preserve"> STYLEREF  CharDivText </w:instrText>
          </w:r>
          <w:r>
            <w:rPr>
              <w:rFonts w:ascii="Helvetica" w:hAnsi="Helvetica"/>
              <w:sz w:val="18"/>
            </w:rPr>
            <w:fldChar w:fldCharType="end"/>
          </w:r>
        </w:p>
      </w:tc>
    </w:tr>
    <w:tr w:rsidR="00A73669" w14:paraId="67C364F4" w14:textId="77777777">
      <w:tc>
        <w:tcPr>
          <w:tcW w:w="7296" w:type="dxa"/>
          <w:gridSpan w:val="2"/>
          <w:tcBorders>
            <w:bottom w:val="single" w:sz="2" w:space="0" w:color="auto"/>
          </w:tcBorders>
        </w:tcPr>
        <w:p w14:paraId="01CB1A7A" w14:textId="77777777" w:rsidR="00A73669" w:rsidRDefault="00F660F6">
          <w:pPr>
            <w:widowControl w:val="0"/>
            <w:spacing w:before="120" w:after="60"/>
            <w:rPr>
              <w:rFonts w:ascii="Helvetica" w:hAnsi="Helvetica"/>
              <w:b/>
              <w:sz w:val="18"/>
            </w:rPr>
          </w:pPr>
          <w:r>
            <w:rPr>
              <w:rFonts w:ascii="Helvetica" w:hAnsi="Helvetica"/>
              <w:b/>
              <w:sz w:val="20"/>
            </w:rPr>
            <w:t xml:space="preserve">Section </w:t>
          </w:r>
          <w:r>
            <w:rPr>
              <w:rFonts w:ascii="Helvetica" w:hAnsi="Helvetica"/>
              <w:b/>
              <w:sz w:val="20"/>
            </w:rPr>
            <w:fldChar w:fldCharType="begin"/>
          </w:r>
          <w:r>
            <w:rPr>
              <w:rFonts w:ascii="Helvetica" w:hAnsi="Helvetica"/>
              <w:b/>
              <w:sz w:val="20"/>
            </w:rPr>
            <w:instrText xml:space="preserve"> STYLEREF  CharSectno</w:instrText>
          </w:r>
          <w:r>
            <w:rPr>
              <w:rFonts w:ascii="Helvetica" w:hAnsi="Helvetica"/>
              <w:b/>
              <w:sz w:val="20"/>
            </w:rPr>
            <w:fldChar w:fldCharType="separate"/>
          </w:r>
          <w:r w:rsidR="0047608C">
            <w:rPr>
              <w:rFonts w:ascii="Helvetica" w:hAnsi="Helvetica"/>
              <w:b/>
              <w:noProof/>
              <w:sz w:val="20"/>
            </w:rPr>
            <w:t>1</w:t>
          </w:r>
          <w:r>
            <w:rPr>
              <w:rFonts w:ascii="Helvetica" w:hAnsi="Helvetica"/>
              <w:b/>
              <w:sz w:val="20"/>
            </w:rPr>
            <w:fldChar w:fldCharType="end"/>
          </w:r>
        </w:p>
      </w:tc>
    </w:tr>
  </w:tbl>
  <w:p w14:paraId="4E04CC0B" w14:textId="77777777" w:rsidR="00A73669" w:rsidRDefault="0038356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9272B" w14:textId="77777777" w:rsidR="00CA0718" w:rsidRDefault="00CA0718" w:rsidP="00FF215B">
    <w:pPr>
      <w:ind w:right="196"/>
      <w:jc w:val="right"/>
      <w:rPr>
        <w:rFonts w:ascii="Arial" w:hAnsi="Arial" w:cs="Arial"/>
        <w:b/>
        <w:sz w:val="20"/>
        <w:lang w:val="en-US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3C227" w14:textId="77777777" w:rsidR="00A73669" w:rsidRPr="0087419C" w:rsidRDefault="00383568">
    <w:pPr>
      <w:pStyle w:val="Header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340BAF"/>
    <w:multiLevelType w:val="hybridMultilevel"/>
    <w:tmpl w:val="36B6570C"/>
    <w:lvl w:ilvl="0" w:tplc="69069EB0">
      <w:start w:val="1"/>
      <w:numFmt w:val="lowerLetter"/>
      <w:lvlText w:val="(%1)"/>
      <w:lvlJc w:val="left"/>
      <w:pPr>
        <w:ind w:left="363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56" w:hanging="360"/>
      </w:pPr>
    </w:lvl>
    <w:lvl w:ilvl="2" w:tplc="0C09001B" w:tentative="1">
      <w:start w:val="1"/>
      <w:numFmt w:val="lowerRoman"/>
      <w:lvlText w:val="%3."/>
      <w:lvlJc w:val="right"/>
      <w:pPr>
        <w:ind w:left="5076" w:hanging="180"/>
      </w:pPr>
    </w:lvl>
    <w:lvl w:ilvl="3" w:tplc="0C09000F" w:tentative="1">
      <w:start w:val="1"/>
      <w:numFmt w:val="decimal"/>
      <w:lvlText w:val="%4."/>
      <w:lvlJc w:val="left"/>
      <w:pPr>
        <w:ind w:left="5796" w:hanging="360"/>
      </w:pPr>
    </w:lvl>
    <w:lvl w:ilvl="4" w:tplc="0C090019" w:tentative="1">
      <w:start w:val="1"/>
      <w:numFmt w:val="lowerLetter"/>
      <w:lvlText w:val="%5."/>
      <w:lvlJc w:val="left"/>
      <w:pPr>
        <w:ind w:left="6516" w:hanging="360"/>
      </w:pPr>
    </w:lvl>
    <w:lvl w:ilvl="5" w:tplc="0C09001B" w:tentative="1">
      <w:start w:val="1"/>
      <w:numFmt w:val="lowerRoman"/>
      <w:lvlText w:val="%6."/>
      <w:lvlJc w:val="right"/>
      <w:pPr>
        <w:ind w:left="7236" w:hanging="180"/>
      </w:pPr>
    </w:lvl>
    <w:lvl w:ilvl="6" w:tplc="0C09000F" w:tentative="1">
      <w:start w:val="1"/>
      <w:numFmt w:val="decimal"/>
      <w:lvlText w:val="%7."/>
      <w:lvlJc w:val="left"/>
      <w:pPr>
        <w:ind w:left="7956" w:hanging="360"/>
      </w:pPr>
    </w:lvl>
    <w:lvl w:ilvl="7" w:tplc="0C090019" w:tentative="1">
      <w:start w:val="1"/>
      <w:numFmt w:val="lowerLetter"/>
      <w:lvlText w:val="%8."/>
      <w:lvlJc w:val="left"/>
      <w:pPr>
        <w:ind w:left="8676" w:hanging="360"/>
      </w:pPr>
    </w:lvl>
    <w:lvl w:ilvl="8" w:tplc="0C09001B" w:tentative="1">
      <w:start w:val="1"/>
      <w:numFmt w:val="lowerRoman"/>
      <w:lvlText w:val="%9."/>
      <w:lvlJc w:val="right"/>
      <w:pPr>
        <w:ind w:left="93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A5D"/>
    <w:rsid w:val="000628C4"/>
    <w:rsid w:val="00121A62"/>
    <w:rsid w:val="00274B44"/>
    <w:rsid w:val="002930A2"/>
    <w:rsid w:val="00345F89"/>
    <w:rsid w:val="00383568"/>
    <w:rsid w:val="0047608C"/>
    <w:rsid w:val="004838C5"/>
    <w:rsid w:val="00552348"/>
    <w:rsid w:val="00661C34"/>
    <w:rsid w:val="00687143"/>
    <w:rsid w:val="00694CBB"/>
    <w:rsid w:val="007E3ACC"/>
    <w:rsid w:val="008C14BA"/>
    <w:rsid w:val="00935F94"/>
    <w:rsid w:val="009A2589"/>
    <w:rsid w:val="009A59F6"/>
    <w:rsid w:val="00AD0E99"/>
    <w:rsid w:val="00BE194B"/>
    <w:rsid w:val="00BF3BC5"/>
    <w:rsid w:val="00C41A2D"/>
    <w:rsid w:val="00C62E8F"/>
    <w:rsid w:val="00CA0718"/>
    <w:rsid w:val="00CD07B6"/>
    <w:rsid w:val="00D05B54"/>
    <w:rsid w:val="00D91251"/>
    <w:rsid w:val="00DA161E"/>
    <w:rsid w:val="00DF53D3"/>
    <w:rsid w:val="00E34353"/>
    <w:rsid w:val="00E45165"/>
    <w:rsid w:val="00E72A5D"/>
    <w:rsid w:val="00F660F6"/>
    <w:rsid w:val="00FF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C6DA9"/>
  <w15:chartTrackingRefBased/>
  <w15:docId w15:val="{7BA8FCEB-8812-4665-8D0D-A5E06F70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A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p,h2"/>
    <w:basedOn w:val="Heading1"/>
    <w:next w:val="Normal"/>
    <w:link w:val="Heading2Char"/>
    <w:qFormat/>
    <w:rsid w:val="00E72A5D"/>
    <w:pPr>
      <w:keepLines w:val="0"/>
      <w:spacing w:after="60"/>
      <w:outlineLvl w:val="1"/>
    </w:pPr>
    <w:rPr>
      <w:rFonts w:ascii="Avant Garde" w:eastAsia="Times New Roman" w:hAnsi="Avant Garde" w:cs="Times New Roman"/>
      <w:i/>
      <w:color w:val="auto"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E72A5D"/>
    <w:pPr>
      <w:spacing w:before="480"/>
    </w:pPr>
    <w:rPr>
      <w:rFonts w:ascii="Helvetica" w:hAnsi="Helvetica"/>
      <w:b/>
      <w:sz w:val="40"/>
    </w:rPr>
  </w:style>
  <w:style w:type="character" w:customStyle="1" w:styleId="TitleChar">
    <w:name w:val="Title Char"/>
    <w:basedOn w:val="DefaultParagraphFont"/>
    <w:link w:val="Title"/>
    <w:rsid w:val="00E72A5D"/>
    <w:rPr>
      <w:rFonts w:ascii="Helvetica" w:eastAsia="Times New Roman" w:hAnsi="Helvetica" w:cs="Times New Roman"/>
      <w:b/>
      <w:sz w:val="40"/>
      <w:szCs w:val="20"/>
      <w:lang w:eastAsia="en-AU"/>
    </w:rPr>
  </w:style>
  <w:style w:type="character" w:customStyle="1" w:styleId="Heading2Char">
    <w:name w:val="Heading 2 Char"/>
    <w:aliases w:val="p Char,h2 Char"/>
    <w:basedOn w:val="DefaultParagraphFont"/>
    <w:link w:val="Heading2"/>
    <w:rsid w:val="00E72A5D"/>
    <w:rPr>
      <w:rFonts w:ascii="Avant Garde" w:eastAsia="Times New Roman" w:hAnsi="Avant Garde" w:cs="Times New Roman"/>
      <w:i/>
      <w:kern w:val="28"/>
      <w:sz w:val="28"/>
      <w:szCs w:val="20"/>
      <w:lang w:eastAsia="en-AU"/>
    </w:rPr>
  </w:style>
  <w:style w:type="paragraph" w:styleId="Footer">
    <w:name w:val="footer"/>
    <w:link w:val="FooterChar"/>
    <w:uiPriority w:val="99"/>
    <w:rsid w:val="00E72A5D"/>
    <w:pPr>
      <w:tabs>
        <w:tab w:val="center" w:pos="3600"/>
        <w:tab w:val="right" w:pos="720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elvetica" w:eastAsia="Times New Roman" w:hAnsi="Helvetica" w:cs="Times New Roman"/>
      <w:sz w:val="12"/>
      <w:szCs w:val="20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E72A5D"/>
    <w:rPr>
      <w:rFonts w:ascii="Helvetica" w:eastAsia="Times New Roman" w:hAnsi="Helvetica" w:cs="Times New Roman"/>
      <w:sz w:val="12"/>
      <w:szCs w:val="20"/>
      <w:lang w:eastAsia="en-AU"/>
    </w:rPr>
  </w:style>
  <w:style w:type="paragraph" w:styleId="Header">
    <w:name w:val="header"/>
    <w:basedOn w:val="Normal"/>
    <w:link w:val="HeaderChar"/>
    <w:rsid w:val="00E72A5D"/>
    <w:pPr>
      <w:tabs>
        <w:tab w:val="center" w:pos="3969"/>
        <w:tab w:val="right" w:pos="8504"/>
      </w:tabs>
      <w:jc w:val="both"/>
    </w:pPr>
    <w:rPr>
      <w:sz w:val="26"/>
    </w:rPr>
  </w:style>
  <w:style w:type="character" w:customStyle="1" w:styleId="HeaderChar">
    <w:name w:val="Header Char"/>
    <w:basedOn w:val="DefaultParagraphFont"/>
    <w:link w:val="Header"/>
    <w:rsid w:val="00E72A5D"/>
    <w:rPr>
      <w:rFonts w:ascii="Times" w:eastAsia="Times New Roman" w:hAnsi="Times" w:cs="Times New Roman"/>
      <w:sz w:val="26"/>
      <w:szCs w:val="20"/>
      <w:lang w:eastAsia="en-AU"/>
    </w:rPr>
  </w:style>
  <w:style w:type="paragraph" w:customStyle="1" w:styleId="HR">
    <w:name w:val="HR"/>
    <w:aliases w:val="Regulation Heading"/>
    <w:basedOn w:val="Normal"/>
    <w:next w:val="R1"/>
    <w:rsid w:val="00E72A5D"/>
    <w:pPr>
      <w:keepNext/>
      <w:tabs>
        <w:tab w:val="left" w:pos="964"/>
      </w:tabs>
      <w:spacing w:before="360"/>
      <w:ind w:left="567" w:hanging="567"/>
    </w:pPr>
    <w:rPr>
      <w:rFonts w:ascii="Helvetica" w:hAnsi="Helvetica"/>
      <w:b/>
    </w:rPr>
  </w:style>
  <w:style w:type="paragraph" w:customStyle="1" w:styleId="R1">
    <w:name w:val="R1"/>
    <w:aliases w:val="1. or 1.(1)"/>
    <w:basedOn w:val="Normal"/>
    <w:next w:val="R2"/>
    <w:link w:val="R1Char"/>
    <w:rsid w:val="00E72A5D"/>
    <w:pPr>
      <w:tabs>
        <w:tab w:val="right" w:pos="794"/>
        <w:tab w:val="left" w:pos="96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R1"/>
    <w:rsid w:val="00E72A5D"/>
    <w:pPr>
      <w:spacing w:before="180"/>
    </w:pPr>
  </w:style>
  <w:style w:type="character" w:customStyle="1" w:styleId="CharDivNo">
    <w:name w:val="CharDivNo"/>
    <w:basedOn w:val="DefaultParagraphFont"/>
    <w:rsid w:val="00E72A5D"/>
  </w:style>
  <w:style w:type="character" w:customStyle="1" w:styleId="CharDivText">
    <w:name w:val="CharDivText"/>
    <w:basedOn w:val="DefaultParagraphFont"/>
    <w:rsid w:val="00E72A5D"/>
  </w:style>
  <w:style w:type="character" w:customStyle="1" w:styleId="CharPartNo">
    <w:name w:val="CharPartNo"/>
    <w:basedOn w:val="DefaultParagraphFont"/>
    <w:rsid w:val="00E72A5D"/>
  </w:style>
  <w:style w:type="character" w:customStyle="1" w:styleId="CharPartText">
    <w:name w:val="CharPartText"/>
    <w:basedOn w:val="DefaultParagraphFont"/>
    <w:rsid w:val="00E72A5D"/>
  </w:style>
  <w:style w:type="character" w:customStyle="1" w:styleId="CharSectno">
    <w:name w:val="CharSectno"/>
    <w:basedOn w:val="DefaultParagraphFont"/>
    <w:rsid w:val="00E72A5D"/>
  </w:style>
  <w:style w:type="character" w:customStyle="1" w:styleId="R1Char">
    <w:name w:val="R1 Char"/>
    <w:aliases w:val="1. or 1.(1) Char"/>
    <w:link w:val="R1"/>
    <w:rsid w:val="00E72A5D"/>
    <w:rPr>
      <w:rFonts w:ascii="Times" w:eastAsia="Times New Roman" w:hAnsi="Times" w:cs="Times New Roman"/>
      <w:sz w:val="24"/>
      <w:szCs w:val="20"/>
      <w:lang w:eastAsia="en-AU"/>
    </w:rPr>
  </w:style>
  <w:style w:type="character" w:styleId="Hyperlink">
    <w:name w:val="Hyperlink"/>
    <w:rsid w:val="00E72A5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72A5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871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1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7143"/>
    <w:rPr>
      <w:rFonts w:ascii="Times" w:eastAsia="Times New Roman" w:hAnsi="Times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1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143"/>
    <w:rPr>
      <w:rFonts w:ascii="Times" w:eastAsia="Times New Roman" w:hAnsi="Times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687143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1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143"/>
    <w:rPr>
      <w:rFonts w:ascii="Segoe UI" w:eastAsia="Times New Roman" w:hAnsi="Segoe UI" w:cs="Segoe UI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comlaw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Communications and Media Authority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Vaudrey</dc:creator>
  <cp:keywords/>
  <dc:description/>
  <cp:lastModifiedBy>Morgan Vaudrey</cp:lastModifiedBy>
  <cp:revision>3</cp:revision>
  <cp:lastPrinted>2014-09-09T01:40:00Z</cp:lastPrinted>
  <dcterms:created xsi:type="dcterms:W3CDTF">2014-09-15T05:01:00Z</dcterms:created>
  <dcterms:modified xsi:type="dcterms:W3CDTF">2014-09-15T05:06:00Z</dcterms:modified>
</cp:coreProperties>
</file>