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B2" w:rsidRDefault="00114CB2" w:rsidP="0094219E">
      <w:pPr>
        <w:rPr>
          <w:noProof/>
        </w:rPr>
      </w:pPr>
    </w:p>
    <w:p w:rsidR="00114CB2" w:rsidRPr="00141674" w:rsidRDefault="00114CB2" w:rsidP="0094219E">
      <w:pPr>
        <w:spacing w:after="80"/>
        <w:jc w:val="center"/>
        <w:rPr>
          <w:rFonts w:ascii="Arial" w:hAnsi="Arial" w:cs="Arial"/>
          <w:b/>
          <w:sz w:val="18"/>
          <w:szCs w:val="18"/>
        </w:rPr>
      </w:pPr>
      <w:r w:rsidRPr="00141674">
        <w:rPr>
          <w:rFonts w:ascii="Arial" w:hAnsi="Arial" w:cs="Arial"/>
          <w:b/>
          <w:sz w:val="18"/>
          <w:szCs w:val="18"/>
        </w:rPr>
        <w:t>COMMISSIONER OF TAXATION</w:t>
      </w:r>
    </w:p>
    <w:p w:rsidR="00114CB2" w:rsidRDefault="00114CB2" w:rsidP="0094219E">
      <w:pPr>
        <w:spacing w:after="120"/>
        <w:rPr>
          <w:rFonts w:ascii="Arial" w:hAnsi="Arial" w:cs="Arial"/>
          <w:sz w:val="18"/>
          <w:szCs w:val="18"/>
        </w:rPr>
      </w:pPr>
      <w:r w:rsidRPr="00141674">
        <w:rPr>
          <w:rFonts w:ascii="Arial" w:hAnsi="Arial" w:cs="Arial"/>
          <w:sz w:val="18"/>
          <w:szCs w:val="18"/>
        </w:rPr>
        <w:t xml:space="preserve">The Commissioner of Taxation, </w:t>
      </w:r>
      <w:smartTag w:uri="urn:schemas:contacts" w:element="GivenName">
        <w:smartTag w:uri="urn:schemas-microsoft-com:office:smarttags" w:element="PersonName">
          <w:r>
            <w:rPr>
              <w:rFonts w:ascii="Arial" w:hAnsi="Arial" w:cs="Arial"/>
              <w:sz w:val="18"/>
              <w:szCs w:val="18"/>
            </w:rPr>
            <w:t>Chris</w:t>
          </w:r>
        </w:smartTag>
        <w:r>
          <w:rPr>
            <w:rFonts w:ascii="Arial" w:hAnsi="Arial" w:cs="Arial"/>
            <w:sz w:val="18"/>
            <w:szCs w:val="18"/>
          </w:rPr>
          <w:t xml:space="preserve"> </w:t>
        </w:r>
        <w:smartTag w:uri="urn:schemas-microsoft-com:office:smarttags" w:element="country-region">
          <w:smartTag w:uri="urn:schemas:contacts" w:element="Sn">
            <w:r>
              <w:rPr>
                <w:rFonts w:ascii="Arial" w:hAnsi="Arial" w:cs="Arial"/>
                <w:sz w:val="18"/>
                <w:szCs w:val="18"/>
              </w:rPr>
              <w:t>Jordan</w:t>
            </w:r>
          </w:smartTag>
        </w:smartTag>
      </w:smartTag>
      <w:r>
        <w:rPr>
          <w:rFonts w:ascii="Arial" w:hAnsi="Arial" w:cs="Arial"/>
          <w:sz w:val="18"/>
          <w:szCs w:val="18"/>
        </w:rPr>
        <w:t>,</w:t>
      </w:r>
      <w:r w:rsidRPr="00141674">
        <w:rPr>
          <w:rFonts w:ascii="Arial" w:hAnsi="Arial" w:cs="Arial"/>
          <w:sz w:val="18"/>
          <w:szCs w:val="18"/>
        </w:rPr>
        <w:t xml:space="preserve"> gives notice of the following Rulings, copies of which can be obtained from Branches of the Australian Taxation Office or at </w:t>
      </w:r>
      <w:hyperlink r:id="rId8" w:history="1">
        <w:r w:rsidRPr="00141674">
          <w:rPr>
            <w:rStyle w:val="Hyperlink"/>
            <w:rFonts w:ascii="Arial" w:hAnsi="Arial" w:cs="Arial"/>
            <w:sz w:val="18"/>
            <w:szCs w:val="18"/>
          </w:rPr>
          <w:t>http://law.ato.gov.au</w:t>
        </w:r>
      </w:hyperlink>
      <w:r w:rsidRPr="00141674">
        <w:rPr>
          <w:rFonts w:ascii="Arial" w:hAnsi="Arial" w:cs="Arial"/>
          <w:sz w:val="18"/>
          <w:szCs w:val="18"/>
        </w:rPr>
        <w:t>.</w:t>
      </w:r>
    </w:p>
    <w:tbl>
      <w:tblPr>
        <w:tblW w:w="9648" w:type="dxa"/>
        <w:tblLayout w:type="fixed"/>
        <w:tblLook w:val="0000" w:firstRow="0" w:lastRow="0" w:firstColumn="0" w:lastColumn="0" w:noHBand="0" w:noVBand="0"/>
      </w:tblPr>
      <w:tblGrid>
        <w:gridCol w:w="1728"/>
        <w:gridCol w:w="3780"/>
        <w:gridCol w:w="4140"/>
      </w:tblGrid>
      <w:tr w:rsidR="00114CB2" w:rsidRPr="00773255" w:rsidTr="008D17C9">
        <w:trPr>
          <w:cantSplit/>
          <w:trHeight w:val="72"/>
          <w:tblHeader/>
        </w:trPr>
        <w:tc>
          <w:tcPr>
            <w:tcW w:w="9648" w:type="dxa"/>
            <w:gridSpan w:val="3"/>
            <w:tcBorders>
              <w:top w:val="single" w:sz="6" w:space="0" w:color="auto"/>
              <w:left w:val="single" w:sz="6" w:space="0" w:color="auto"/>
              <w:bottom w:val="single" w:sz="6" w:space="0" w:color="auto"/>
              <w:right w:val="single" w:sz="6" w:space="0" w:color="auto"/>
            </w:tcBorders>
          </w:tcPr>
          <w:p w:rsidR="00114CB2" w:rsidRPr="00773255" w:rsidRDefault="00114CB2" w:rsidP="008D17C9">
            <w:pPr>
              <w:pStyle w:val="Heading3"/>
              <w:keepLines/>
              <w:spacing w:before="80" w:after="80"/>
              <w:jc w:val="center"/>
              <w:rPr>
                <w:sz w:val="22"/>
                <w:szCs w:val="22"/>
              </w:rPr>
            </w:pPr>
            <w:r w:rsidRPr="00773255">
              <w:rPr>
                <w:sz w:val="22"/>
                <w:szCs w:val="22"/>
              </w:rPr>
              <w:t xml:space="preserve">NOTICE OF </w:t>
            </w:r>
            <w:r>
              <w:rPr>
                <w:sz w:val="22"/>
                <w:szCs w:val="22"/>
              </w:rPr>
              <w:t>RULINGS</w:t>
            </w:r>
          </w:p>
        </w:tc>
      </w:tr>
      <w:tr w:rsidR="00114CB2"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Ruling Number</w:t>
            </w:r>
          </w:p>
        </w:tc>
        <w:tc>
          <w:tcPr>
            <w:tcW w:w="378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Subject</w:t>
            </w:r>
          </w:p>
        </w:tc>
        <w:tc>
          <w:tcPr>
            <w:tcW w:w="414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Brief Description</w:t>
            </w:r>
          </w:p>
        </w:tc>
      </w:tr>
      <w:tr w:rsidR="00114CB2"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114CB2" w:rsidRPr="000D7BC1" w:rsidRDefault="00A36A69" w:rsidP="000D7BC1">
            <w:pPr>
              <w:spacing w:after="120" w:line="240" w:lineRule="auto"/>
              <w:rPr>
                <w:rFonts w:ascii="Arial" w:hAnsi="Arial" w:cs="Arial"/>
                <w:sz w:val="20"/>
                <w:szCs w:val="20"/>
              </w:rPr>
            </w:pPr>
            <w:r w:rsidRPr="000D7BC1">
              <w:rPr>
                <w:rFonts w:ascii="Arial" w:hAnsi="Arial" w:cs="Arial"/>
                <w:sz w:val="20"/>
                <w:szCs w:val="20"/>
              </w:rPr>
              <w:t>TD 2014/18</w:t>
            </w:r>
          </w:p>
        </w:tc>
        <w:tc>
          <w:tcPr>
            <w:tcW w:w="3780" w:type="dxa"/>
            <w:tcBorders>
              <w:top w:val="single" w:sz="6" w:space="0" w:color="auto"/>
              <w:left w:val="single" w:sz="6" w:space="0" w:color="auto"/>
              <w:bottom w:val="single" w:sz="6" w:space="0" w:color="auto"/>
              <w:right w:val="single" w:sz="6" w:space="0" w:color="auto"/>
            </w:tcBorders>
          </w:tcPr>
          <w:p w:rsidR="00114CB2" w:rsidRPr="000D7BC1" w:rsidDel="00F44FF5" w:rsidRDefault="00A36A69" w:rsidP="000D7BC1">
            <w:pPr>
              <w:pStyle w:val="Header"/>
              <w:tabs>
                <w:tab w:val="left" w:pos="720"/>
              </w:tabs>
              <w:spacing w:after="120"/>
              <w:rPr>
                <w:rFonts w:ascii="Arial" w:hAnsi="Arial" w:cs="Arial"/>
                <w:sz w:val="20"/>
                <w:szCs w:val="20"/>
              </w:rPr>
            </w:pPr>
            <w:r w:rsidRPr="000D7BC1">
              <w:rPr>
                <w:rFonts w:ascii="Arial" w:hAnsi="Arial" w:cs="Arial"/>
                <w:sz w:val="20"/>
                <w:szCs w:val="20"/>
              </w:rPr>
              <w:t xml:space="preserve">Income tax:  can the exemption in section 820-39 of the </w:t>
            </w:r>
            <w:r w:rsidRPr="000D7BC1">
              <w:rPr>
                <w:rFonts w:ascii="Arial" w:hAnsi="Arial" w:cs="Arial"/>
                <w:i/>
                <w:sz w:val="20"/>
                <w:szCs w:val="20"/>
              </w:rPr>
              <w:t xml:space="preserve">Income Tax Assessment Act 1997 </w:t>
            </w:r>
            <w:r w:rsidRPr="000D7BC1">
              <w:rPr>
                <w:rFonts w:ascii="Arial" w:hAnsi="Arial" w:cs="Arial"/>
                <w:sz w:val="20"/>
                <w:szCs w:val="20"/>
              </w:rPr>
              <w:t>apply to the special purpose finance entity established as part of the ‘securitised licence structure’ used in some social infrastructure Public Private Partnerships?</w:t>
            </w:r>
          </w:p>
        </w:tc>
        <w:tc>
          <w:tcPr>
            <w:tcW w:w="4140" w:type="dxa"/>
            <w:tcBorders>
              <w:top w:val="single" w:sz="6" w:space="0" w:color="auto"/>
              <w:left w:val="single" w:sz="6" w:space="0" w:color="auto"/>
              <w:bottom w:val="single" w:sz="6" w:space="0" w:color="auto"/>
              <w:right w:val="single" w:sz="6" w:space="0" w:color="auto"/>
            </w:tcBorders>
          </w:tcPr>
          <w:p w:rsidR="00A36A69" w:rsidRPr="000D7BC1" w:rsidRDefault="00A36A69" w:rsidP="000D7BC1">
            <w:pPr>
              <w:spacing w:after="120" w:line="240" w:lineRule="auto"/>
              <w:rPr>
                <w:rFonts w:ascii="Arial" w:hAnsi="Arial" w:cs="Arial"/>
                <w:sz w:val="20"/>
                <w:szCs w:val="20"/>
              </w:rPr>
            </w:pPr>
            <w:r w:rsidRPr="000D7BC1">
              <w:rPr>
                <w:rFonts w:ascii="Arial" w:hAnsi="Arial" w:cs="Arial"/>
                <w:sz w:val="20"/>
                <w:szCs w:val="20"/>
              </w:rPr>
              <w:t>The Determination sets out the Commissioner’s position for special purpose finance entities that are established as part of the ‘securitised licence structure’ and used in some social infrastructure Public Private Partnerships.</w:t>
            </w:r>
          </w:p>
          <w:p w:rsidR="00A36A69" w:rsidRPr="000D7BC1" w:rsidRDefault="00A36A69" w:rsidP="007D16BC">
            <w:pPr>
              <w:spacing w:after="60" w:line="240" w:lineRule="auto"/>
              <w:rPr>
                <w:rFonts w:ascii="Arial" w:hAnsi="Arial" w:cs="Arial"/>
                <w:sz w:val="20"/>
                <w:szCs w:val="20"/>
              </w:rPr>
            </w:pPr>
          </w:p>
          <w:p w:rsidR="00E823AE" w:rsidRPr="000D7BC1" w:rsidRDefault="00A36A69" w:rsidP="000D7BC1">
            <w:pPr>
              <w:spacing w:after="120" w:line="240" w:lineRule="auto"/>
              <w:rPr>
                <w:rFonts w:ascii="Arial" w:hAnsi="Arial" w:cs="Arial"/>
                <w:sz w:val="20"/>
                <w:szCs w:val="20"/>
              </w:rPr>
            </w:pPr>
            <w:r w:rsidRPr="000D7BC1">
              <w:rPr>
                <w:rFonts w:ascii="Arial" w:hAnsi="Arial" w:cs="Arial"/>
                <w:sz w:val="20"/>
                <w:szCs w:val="20"/>
              </w:rPr>
              <w:t>The Determination applies to years of income commencing both before and after its date of issue.</w:t>
            </w:r>
          </w:p>
        </w:tc>
      </w:tr>
      <w:tr w:rsidR="003C06D3"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3C06D3" w:rsidRPr="000D7BC1" w:rsidRDefault="003C06D3" w:rsidP="000D7BC1">
            <w:pPr>
              <w:spacing w:after="120" w:line="240" w:lineRule="auto"/>
              <w:rPr>
                <w:rFonts w:ascii="Arial" w:hAnsi="Arial" w:cs="Arial"/>
                <w:sz w:val="20"/>
                <w:szCs w:val="20"/>
              </w:rPr>
            </w:pPr>
            <w:r w:rsidRPr="000D7BC1">
              <w:rPr>
                <w:rFonts w:ascii="Arial" w:hAnsi="Arial" w:cs="Arial"/>
                <w:sz w:val="20"/>
                <w:szCs w:val="20"/>
              </w:rPr>
              <w:t>CR 2014/54</w:t>
            </w:r>
          </w:p>
        </w:tc>
        <w:tc>
          <w:tcPr>
            <w:tcW w:w="3780" w:type="dxa"/>
            <w:tcBorders>
              <w:top w:val="single" w:sz="6" w:space="0" w:color="auto"/>
              <w:left w:val="single" w:sz="6" w:space="0" w:color="auto"/>
              <w:bottom w:val="single" w:sz="6" w:space="0" w:color="auto"/>
              <w:right w:val="single" w:sz="6" w:space="0" w:color="auto"/>
            </w:tcBorders>
          </w:tcPr>
          <w:p w:rsidR="003C06D3" w:rsidRPr="000D7BC1" w:rsidRDefault="003C06D3" w:rsidP="000D7BC1">
            <w:pPr>
              <w:pStyle w:val="Header"/>
              <w:spacing w:after="120"/>
              <w:rPr>
                <w:rFonts w:ascii="Arial" w:hAnsi="Arial" w:cs="Arial"/>
                <w:sz w:val="20"/>
                <w:szCs w:val="20"/>
              </w:rPr>
            </w:pPr>
            <w:r w:rsidRPr="000D7BC1">
              <w:rPr>
                <w:rFonts w:ascii="Arial" w:hAnsi="Arial" w:cs="Arial"/>
                <w:sz w:val="20"/>
                <w:szCs w:val="20"/>
              </w:rPr>
              <w:t>Income tax:  Goodman Group Long Term Incentive Plan</w:t>
            </w:r>
          </w:p>
        </w:tc>
        <w:tc>
          <w:tcPr>
            <w:tcW w:w="4140" w:type="dxa"/>
            <w:tcBorders>
              <w:top w:val="single" w:sz="6" w:space="0" w:color="auto"/>
              <w:left w:val="single" w:sz="6" w:space="0" w:color="auto"/>
              <w:bottom w:val="single" w:sz="6" w:space="0" w:color="auto"/>
              <w:right w:val="single" w:sz="6" w:space="0" w:color="auto"/>
            </w:tcBorders>
          </w:tcPr>
          <w:p w:rsidR="003C06D3" w:rsidRPr="000D7BC1" w:rsidRDefault="003C06D3" w:rsidP="000D7BC1">
            <w:pPr>
              <w:spacing w:after="120" w:line="240" w:lineRule="auto"/>
              <w:rPr>
                <w:rFonts w:ascii="Arial" w:hAnsi="Arial" w:cs="Arial"/>
                <w:sz w:val="20"/>
                <w:szCs w:val="20"/>
              </w:rPr>
            </w:pPr>
            <w:r w:rsidRPr="000D7BC1">
              <w:rPr>
                <w:rFonts w:ascii="Arial" w:hAnsi="Arial" w:cs="Arial"/>
                <w:sz w:val="20"/>
                <w:szCs w:val="20"/>
              </w:rPr>
              <w:t xml:space="preserve">The Ruling sets out the Commissioner’s position about </w:t>
            </w:r>
            <w:r w:rsidRPr="000D7BC1">
              <w:rPr>
                <w:rStyle w:val="Italic"/>
                <w:rFonts w:ascii="Arial" w:hAnsi="Arial" w:cs="Arial"/>
                <w:i w:val="0"/>
                <w:sz w:val="20"/>
                <w:szCs w:val="20"/>
              </w:rPr>
              <w:t xml:space="preserve">employees and other individuals providing services to Goodman Property Services (Aust) Pty Limited and Moorabbin Airport Corporation Pty Limited </w:t>
            </w:r>
            <w:r w:rsidRPr="000D7BC1">
              <w:rPr>
                <w:rFonts w:ascii="Arial" w:hAnsi="Arial" w:cs="Arial"/>
                <w:sz w:val="20"/>
                <w:szCs w:val="20"/>
                <w:lang w:val="en-US"/>
              </w:rPr>
              <w:t>(together, the Employers and each an Employer) which are subsidiaries of Goodman Limited (Goodman)</w:t>
            </w:r>
          </w:p>
          <w:p w:rsidR="003C06D3" w:rsidRPr="000D7BC1" w:rsidRDefault="003C06D3" w:rsidP="007D16BC">
            <w:pPr>
              <w:spacing w:after="60" w:line="240" w:lineRule="auto"/>
              <w:rPr>
                <w:rFonts w:ascii="Arial" w:hAnsi="Arial" w:cs="Arial"/>
                <w:sz w:val="20"/>
                <w:szCs w:val="20"/>
              </w:rPr>
            </w:pPr>
          </w:p>
          <w:p w:rsidR="003C06D3" w:rsidRPr="000D7BC1" w:rsidRDefault="003C06D3" w:rsidP="000D7BC1">
            <w:pPr>
              <w:spacing w:after="120" w:line="240" w:lineRule="auto"/>
              <w:rPr>
                <w:rFonts w:ascii="Arial" w:hAnsi="Arial" w:cs="Arial"/>
                <w:sz w:val="20"/>
                <w:szCs w:val="20"/>
              </w:rPr>
            </w:pPr>
            <w:r w:rsidRPr="000D7BC1">
              <w:rPr>
                <w:rFonts w:ascii="Arial" w:hAnsi="Arial" w:cs="Arial"/>
                <w:sz w:val="20"/>
                <w:szCs w:val="20"/>
              </w:rPr>
              <w:t>The Ruling applies from 1 July 2012.</w:t>
            </w:r>
          </w:p>
        </w:tc>
      </w:tr>
      <w:tr w:rsidR="00745909"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745909" w:rsidRPr="000D7BC1" w:rsidRDefault="00745909" w:rsidP="000D7BC1">
            <w:pPr>
              <w:spacing w:after="120" w:line="240" w:lineRule="auto"/>
              <w:rPr>
                <w:rFonts w:ascii="Arial" w:hAnsi="Arial" w:cs="Arial"/>
                <w:sz w:val="20"/>
                <w:szCs w:val="20"/>
              </w:rPr>
            </w:pPr>
            <w:r w:rsidRPr="000D7BC1">
              <w:rPr>
                <w:rFonts w:ascii="Arial" w:hAnsi="Arial" w:cs="Arial"/>
                <w:sz w:val="20"/>
                <w:szCs w:val="20"/>
              </w:rPr>
              <w:t>CR 2014/55</w:t>
            </w:r>
          </w:p>
        </w:tc>
        <w:tc>
          <w:tcPr>
            <w:tcW w:w="3780" w:type="dxa"/>
            <w:tcBorders>
              <w:top w:val="single" w:sz="6" w:space="0" w:color="auto"/>
              <w:left w:val="single" w:sz="6" w:space="0" w:color="auto"/>
              <w:bottom w:val="single" w:sz="6" w:space="0" w:color="auto"/>
              <w:right w:val="single" w:sz="6" w:space="0" w:color="auto"/>
            </w:tcBorders>
          </w:tcPr>
          <w:p w:rsidR="00745909" w:rsidRPr="000D7BC1" w:rsidRDefault="00745909" w:rsidP="000D7BC1">
            <w:pPr>
              <w:pStyle w:val="Header"/>
              <w:spacing w:after="120"/>
              <w:rPr>
                <w:rFonts w:ascii="Arial" w:hAnsi="Arial" w:cs="Arial"/>
                <w:color w:val="000000"/>
                <w:sz w:val="20"/>
                <w:szCs w:val="20"/>
              </w:rPr>
            </w:pPr>
            <w:r w:rsidRPr="000D7BC1">
              <w:rPr>
                <w:rFonts w:ascii="Arial" w:hAnsi="Arial" w:cs="Arial"/>
                <w:sz w:val="20"/>
                <w:szCs w:val="20"/>
              </w:rPr>
              <w:t>Income tax:  Australian Government Bond holders electing to exchange Bonds for CHESS Depositary Interests (CDIs)</w:t>
            </w:r>
          </w:p>
        </w:tc>
        <w:tc>
          <w:tcPr>
            <w:tcW w:w="4140" w:type="dxa"/>
            <w:tcBorders>
              <w:top w:val="single" w:sz="6" w:space="0" w:color="auto"/>
              <w:left w:val="single" w:sz="6" w:space="0" w:color="auto"/>
              <w:bottom w:val="single" w:sz="6" w:space="0" w:color="auto"/>
              <w:right w:val="single" w:sz="6" w:space="0" w:color="auto"/>
            </w:tcBorders>
          </w:tcPr>
          <w:p w:rsidR="00F21A5B" w:rsidRPr="000D7BC1" w:rsidRDefault="00745909" w:rsidP="000D7BC1">
            <w:pPr>
              <w:spacing w:after="120" w:line="240" w:lineRule="auto"/>
              <w:rPr>
                <w:rFonts w:ascii="Arial" w:hAnsi="Arial" w:cs="Arial"/>
                <w:sz w:val="20"/>
                <w:szCs w:val="20"/>
              </w:rPr>
            </w:pPr>
            <w:r w:rsidRPr="000D7BC1">
              <w:rPr>
                <w:rFonts w:ascii="Arial" w:hAnsi="Arial" w:cs="Arial"/>
                <w:sz w:val="20"/>
                <w:szCs w:val="20"/>
              </w:rPr>
              <w:t xml:space="preserve">The Ruling sets out the Commissioner’s position </w:t>
            </w:r>
            <w:r w:rsidR="00F21A5B" w:rsidRPr="000D7BC1">
              <w:rPr>
                <w:rFonts w:ascii="Arial" w:hAnsi="Arial" w:cs="Arial"/>
                <w:sz w:val="20"/>
                <w:szCs w:val="20"/>
              </w:rPr>
              <w:t>on inscribed stock holders of Treasury Bonds and Treasury Indexed Bonds whose names are entered in the Commonwealth Government Inscribed Stock Registry and who:</w:t>
            </w:r>
          </w:p>
          <w:p w:rsidR="00F21A5B" w:rsidRPr="000D7BC1" w:rsidRDefault="00F21A5B" w:rsidP="000D7BC1">
            <w:pPr>
              <w:numPr>
                <w:ilvl w:val="0"/>
                <w:numId w:val="5"/>
              </w:numPr>
              <w:tabs>
                <w:tab w:val="clear" w:pos="1069"/>
                <w:tab w:val="num" w:pos="588"/>
              </w:tabs>
              <w:spacing w:after="120" w:line="240" w:lineRule="auto"/>
              <w:ind w:left="588" w:hanging="426"/>
              <w:rPr>
                <w:rFonts w:ascii="Arial" w:hAnsi="Arial" w:cs="Arial"/>
                <w:sz w:val="20"/>
                <w:szCs w:val="20"/>
              </w:rPr>
            </w:pPr>
            <w:r w:rsidRPr="000D7BC1">
              <w:rPr>
                <w:rFonts w:ascii="Arial" w:hAnsi="Arial" w:cs="Arial"/>
                <w:sz w:val="20"/>
                <w:szCs w:val="20"/>
              </w:rPr>
              <w:t>elect to exchange their existing holding of a Bond for a CHESS Depositary Interest in that Bond recorded against a CHESS Holder Identification Number in their name; and</w:t>
            </w:r>
          </w:p>
          <w:p w:rsidR="00F21A5B" w:rsidRPr="000D7BC1" w:rsidRDefault="00F21A5B" w:rsidP="000D7BC1">
            <w:pPr>
              <w:numPr>
                <w:ilvl w:val="0"/>
                <w:numId w:val="5"/>
              </w:numPr>
              <w:tabs>
                <w:tab w:val="clear" w:pos="1069"/>
                <w:tab w:val="num" w:pos="588"/>
              </w:tabs>
              <w:spacing w:after="120" w:line="240" w:lineRule="auto"/>
              <w:ind w:left="588" w:hanging="426"/>
              <w:rPr>
                <w:rFonts w:ascii="Arial" w:hAnsi="Arial" w:cs="Arial"/>
                <w:color w:val="000000"/>
                <w:sz w:val="20"/>
                <w:szCs w:val="20"/>
              </w:rPr>
            </w:pPr>
            <w:proofErr w:type="gramStart"/>
            <w:r w:rsidRPr="000D7BC1">
              <w:rPr>
                <w:rFonts w:ascii="Arial" w:hAnsi="Arial" w:cs="Arial"/>
                <w:sz w:val="20"/>
                <w:szCs w:val="20"/>
              </w:rPr>
              <w:t>do</w:t>
            </w:r>
            <w:proofErr w:type="gramEnd"/>
            <w:r w:rsidRPr="000D7BC1">
              <w:rPr>
                <w:rFonts w:ascii="Arial" w:hAnsi="Arial" w:cs="Arial"/>
                <w:sz w:val="20"/>
                <w:szCs w:val="20"/>
              </w:rPr>
              <w:t xml:space="preserve"> not hold their Bonds a</w:t>
            </w:r>
            <w:r w:rsidRPr="000D7BC1">
              <w:rPr>
                <w:rFonts w:ascii="Arial" w:hAnsi="Arial" w:cs="Arial"/>
                <w:color w:val="000000"/>
                <w:sz w:val="20"/>
                <w:szCs w:val="20"/>
              </w:rPr>
              <w:t>s trading stock for income tax purposes.</w:t>
            </w:r>
          </w:p>
          <w:p w:rsidR="00745909" w:rsidRPr="000D7BC1" w:rsidRDefault="00745909" w:rsidP="007D16BC">
            <w:pPr>
              <w:spacing w:after="60" w:line="240" w:lineRule="auto"/>
              <w:rPr>
                <w:rFonts w:ascii="Arial" w:hAnsi="Arial" w:cs="Arial"/>
                <w:sz w:val="20"/>
                <w:szCs w:val="20"/>
              </w:rPr>
            </w:pPr>
          </w:p>
          <w:p w:rsidR="00745909" w:rsidRPr="000D7BC1" w:rsidRDefault="00745909" w:rsidP="000D7BC1">
            <w:pPr>
              <w:spacing w:after="120" w:line="240" w:lineRule="auto"/>
              <w:rPr>
                <w:rFonts w:ascii="Arial" w:hAnsi="Arial" w:cs="Arial"/>
                <w:sz w:val="20"/>
                <w:szCs w:val="20"/>
              </w:rPr>
            </w:pPr>
            <w:r w:rsidRPr="000D7BC1">
              <w:rPr>
                <w:rFonts w:ascii="Arial" w:hAnsi="Arial" w:cs="Arial"/>
                <w:sz w:val="20"/>
                <w:szCs w:val="20"/>
              </w:rPr>
              <w:t>The Ruling applies from the income years ending 30 June 2014 to 30 June 2018.</w:t>
            </w:r>
          </w:p>
        </w:tc>
      </w:tr>
      <w:tr w:rsidR="00745909"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745909" w:rsidRPr="000D7BC1" w:rsidRDefault="00745909" w:rsidP="000D7BC1">
            <w:pPr>
              <w:spacing w:after="120" w:line="240" w:lineRule="auto"/>
              <w:rPr>
                <w:rFonts w:ascii="Arial" w:hAnsi="Arial" w:cs="Arial"/>
                <w:sz w:val="20"/>
                <w:szCs w:val="20"/>
              </w:rPr>
            </w:pPr>
            <w:r w:rsidRPr="000D7BC1">
              <w:rPr>
                <w:rFonts w:ascii="Arial" w:hAnsi="Arial" w:cs="Arial"/>
                <w:sz w:val="20"/>
                <w:szCs w:val="20"/>
              </w:rPr>
              <w:lastRenderedPageBreak/>
              <w:t>CR 2014/56</w:t>
            </w:r>
          </w:p>
        </w:tc>
        <w:tc>
          <w:tcPr>
            <w:tcW w:w="3780" w:type="dxa"/>
            <w:tcBorders>
              <w:top w:val="single" w:sz="6" w:space="0" w:color="auto"/>
              <w:left w:val="single" w:sz="6" w:space="0" w:color="auto"/>
              <w:bottom w:val="single" w:sz="6" w:space="0" w:color="auto"/>
              <w:right w:val="single" w:sz="6" w:space="0" w:color="auto"/>
            </w:tcBorders>
          </w:tcPr>
          <w:p w:rsidR="00745909" w:rsidRPr="000D7BC1" w:rsidRDefault="00F21A5B" w:rsidP="000D7BC1">
            <w:pPr>
              <w:pStyle w:val="Header"/>
              <w:spacing w:after="120"/>
              <w:rPr>
                <w:rFonts w:ascii="Arial" w:hAnsi="Arial" w:cs="Arial"/>
                <w:color w:val="000000"/>
                <w:sz w:val="20"/>
                <w:szCs w:val="20"/>
              </w:rPr>
            </w:pPr>
            <w:r w:rsidRPr="000D7BC1">
              <w:rPr>
                <w:rFonts w:ascii="Arial" w:hAnsi="Arial" w:cs="Arial"/>
                <w:color w:val="000000"/>
                <w:sz w:val="20"/>
                <w:szCs w:val="20"/>
              </w:rPr>
              <w:t>Fringe benefits tax:  corporate clients of Dell Australia Pty Ltd (Dell Australia) who participate in the Dell Australia employee purchase program (EPP)</w:t>
            </w:r>
          </w:p>
        </w:tc>
        <w:tc>
          <w:tcPr>
            <w:tcW w:w="4140" w:type="dxa"/>
            <w:tcBorders>
              <w:top w:val="single" w:sz="6" w:space="0" w:color="auto"/>
              <w:left w:val="single" w:sz="6" w:space="0" w:color="auto"/>
              <w:bottom w:val="single" w:sz="6" w:space="0" w:color="auto"/>
              <w:right w:val="single" w:sz="6" w:space="0" w:color="auto"/>
            </w:tcBorders>
          </w:tcPr>
          <w:p w:rsidR="00F21A5B" w:rsidRPr="000D7BC1" w:rsidRDefault="00F21A5B" w:rsidP="000D7BC1">
            <w:pPr>
              <w:spacing w:after="120" w:line="240" w:lineRule="auto"/>
              <w:rPr>
                <w:rFonts w:ascii="Arial" w:hAnsi="Arial" w:cs="Arial"/>
                <w:sz w:val="20"/>
                <w:szCs w:val="20"/>
              </w:rPr>
            </w:pPr>
            <w:r w:rsidRPr="000D7BC1">
              <w:rPr>
                <w:rFonts w:ascii="Arial" w:hAnsi="Arial" w:cs="Arial"/>
                <w:sz w:val="20"/>
                <w:szCs w:val="20"/>
              </w:rPr>
              <w:t>The Ruling sets out the Commissioner’s position about employers who enter into an agreement with Dell Australia Pty Ltd to enable the employees to participate in the Dell Employee Purchase Program.</w:t>
            </w:r>
          </w:p>
          <w:p w:rsidR="00F21A5B" w:rsidRPr="000D7BC1" w:rsidRDefault="00F21A5B" w:rsidP="007D16BC">
            <w:pPr>
              <w:spacing w:after="60" w:line="240" w:lineRule="auto"/>
              <w:rPr>
                <w:rFonts w:ascii="Arial" w:hAnsi="Arial" w:cs="Arial"/>
                <w:sz w:val="20"/>
                <w:szCs w:val="20"/>
              </w:rPr>
            </w:pPr>
          </w:p>
          <w:p w:rsidR="00745909" w:rsidRPr="000D7BC1" w:rsidRDefault="00F21A5B" w:rsidP="000D7BC1">
            <w:pPr>
              <w:spacing w:after="120" w:line="240" w:lineRule="auto"/>
              <w:rPr>
                <w:rFonts w:ascii="Arial" w:hAnsi="Arial" w:cs="Arial"/>
                <w:sz w:val="20"/>
                <w:szCs w:val="20"/>
              </w:rPr>
            </w:pPr>
            <w:r w:rsidRPr="000D7BC1">
              <w:rPr>
                <w:rFonts w:ascii="Arial" w:hAnsi="Arial" w:cs="Arial"/>
                <w:sz w:val="20"/>
                <w:szCs w:val="20"/>
              </w:rPr>
              <w:t>The Ruling applies from 1 April 2012.</w:t>
            </w:r>
          </w:p>
        </w:tc>
      </w:tr>
      <w:tr w:rsidR="00051793"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051793" w:rsidRPr="000D7BC1" w:rsidRDefault="00E941B0" w:rsidP="000D7BC1">
            <w:pPr>
              <w:pStyle w:val="Header"/>
              <w:spacing w:after="120"/>
              <w:rPr>
                <w:rFonts w:ascii="Arial" w:hAnsi="Arial" w:cs="Arial"/>
                <w:sz w:val="20"/>
                <w:szCs w:val="20"/>
              </w:rPr>
            </w:pPr>
            <w:r w:rsidRPr="000D7BC1">
              <w:rPr>
                <w:rFonts w:ascii="Arial" w:hAnsi="Arial" w:cs="Arial"/>
                <w:sz w:val="20"/>
                <w:szCs w:val="20"/>
              </w:rPr>
              <w:t>PR 2014/13</w:t>
            </w:r>
          </w:p>
        </w:tc>
        <w:tc>
          <w:tcPr>
            <w:tcW w:w="3780" w:type="dxa"/>
            <w:tcBorders>
              <w:top w:val="single" w:sz="6" w:space="0" w:color="auto"/>
              <w:left w:val="single" w:sz="6" w:space="0" w:color="auto"/>
              <w:bottom w:val="single" w:sz="6" w:space="0" w:color="auto"/>
              <w:right w:val="single" w:sz="6" w:space="0" w:color="auto"/>
            </w:tcBorders>
          </w:tcPr>
          <w:p w:rsidR="00051793" w:rsidRPr="000D7BC1" w:rsidRDefault="005B48BB" w:rsidP="000D7BC1">
            <w:pPr>
              <w:pStyle w:val="Header"/>
              <w:tabs>
                <w:tab w:val="left" w:pos="720"/>
              </w:tabs>
              <w:spacing w:after="120"/>
              <w:rPr>
                <w:rFonts w:ascii="Arial" w:hAnsi="Arial" w:cs="Arial"/>
                <w:color w:val="000000"/>
                <w:sz w:val="20"/>
                <w:szCs w:val="20"/>
              </w:rPr>
            </w:pPr>
            <w:r w:rsidRPr="000D7BC1">
              <w:rPr>
                <w:rFonts w:ascii="Arial" w:hAnsi="Arial" w:cs="Arial"/>
                <w:color w:val="000000"/>
                <w:sz w:val="20"/>
                <w:szCs w:val="20"/>
              </w:rPr>
              <w:t>Income tax:  CommInsure Protection – Split TPD Cover</w:t>
            </w:r>
          </w:p>
        </w:tc>
        <w:tc>
          <w:tcPr>
            <w:tcW w:w="4140" w:type="dxa"/>
            <w:tcBorders>
              <w:top w:val="single" w:sz="6" w:space="0" w:color="auto"/>
              <w:left w:val="single" w:sz="6" w:space="0" w:color="auto"/>
              <w:bottom w:val="single" w:sz="6" w:space="0" w:color="auto"/>
              <w:right w:val="single" w:sz="6" w:space="0" w:color="auto"/>
            </w:tcBorders>
          </w:tcPr>
          <w:p w:rsidR="005B48BB" w:rsidRPr="000D7BC1" w:rsidRDefault="005B48BB" w:rsidP="000D7BC1">
            <w:pPr>
              <w:spacing w:after="120" w:line="240" w:lineRule="auto"/>
              <w:rPr>
                <w:rFonts w:ascii="Arial" w:hAnsi="Arial" w:cs="Arial"/>
                <w:sz w:val="20"/>
                <w:szCs w:val="20"/>
              </w:rPr>
            </w:pPr>
            <w:r w:rsidRPr="000D7BC1">
              <w:rPr>
                <w:rFonts w:ascii="Arial" w:hAnsi="Arial" w:cs="Arial"/>
                <w:sz w:val="20"/>
                <w:szCs w:val="20"/>
              </w:rPr>
              <w:t>The Ruling sets out the Commissioner’s position about the purchase and holding of a CommInsure Protection product referred to as Split TPD Cover issued by The Colonial Mutual Life Assurance Society Limited and offered under the CommInsure Protection Combined Product Disclosure Statement and Policy dated 11 May 2014.</w:t>
            </w:r>
          </w:p>
          <w:p w:rsidR="00051793" w:rsidRPr="000D7BC1" w:rsidRDefault="00051793" w:rsidP="007D16BC">
            <w:pPr>
              <w:spacing w:after="60" w:line="240" w:lineRule="auto"/>
              <w:rPr>
                <w:rFonts w:ascii="Arial" w:hAnsi="Arial" w:cs="Arial"/>
                <w:sz w:val="20"/>
                <w:szCs w:val="20"/>
              </w:rPr>
            </w:pPr>
          </w:p>
          <w:p w:rsidR="005B48BB" w:rsidRPr="000D7BC1" w:rsidRDefault="005B48BB" w:rsidP="000D7BC1">
            <w:pPr>
              <w:spacing w:after="120" w:line="240" w:lineRule="auto"/>
              <w:rPr>
                <w:rFonts w:ascii="Arial" w:hAnsi="Arial" w:cs="Arial"/>
                <w:sz w:val="20"/>
                <w:szCs w:val="20"/>
              </w:rPr>
            </w:pPr>
            <w:r w:rsidRPr="000D7BC1">
              <w:rPr>
                <w:rFonts w:ascii="Arial" w:hAnsi="Arial" w:cs="Arial"/>
                <w:sz w:val="20"/>
                <w:szCs w:val="20"/>
              </w:rPr>
              <w:t>The Product Ruling applies from 1 July 2014.</w:t>
            </w:r>
          </w:p>
        </w:tc>
      </w:tr>
      <w:tr w:rsidR="00051793"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051793" w:rsidRPr="000D7BC1" w:rsidRDefault="00E941B0" w:rsidP="000D7BC1">
            <w:pPr>
              <w:pStyle w:val="Header"/>
              <w:spacing w:after="120"/>
              <w:rPr>
                <w:rFonts w:ascii="Arial" w:hAnsi="Arial" w:cs="Arial"/>
                <w:sz w:val="20"/>
                <w:szCs w:val="20"/>
              </w:rPr>
            </w:pPr>
            <w:r w:rsidRPr="000D7BC1">
              <w:rPr>
                <w:rFonts w:ascii="Arial" w:hAnsi="Arial" w:cs="Arial"/>
                <w:sz w:val="20"/>
                <w:szCs w:val="20"/>
              </w:rPr>
              <w:t>PR 2014/14</w:t>
            </w:r>
          </w:p>
        </w:tc>
        <w:tc>
          <w:tcPr>
            <w:tcW w:w="3780" w:type="dxa"/>
            <w:tcBorders>
              <w:top w:val="single" w:sz="6" w:space="0" w:color="auto"/>
              <w:left w:val="single" w:sz="6" w:space="0" w:color="auto"/>
              <w:bottom w:val="single" w:sz="6" w:space="0" w:color="auto"/>
              <w:right w:val="single" w:sz="6" w:space="0" w:color="auto"/>
            </w:tcBorders>
          </w:tcPr>
          <w:p w:rsidR="00051793" w:rsidRPr="000D7BC1" w:rsidRDefault="00E941B0" w:rsidP="000D7BC1">
            <w:pPr>
              <w:pStyle w:val="Header"/>
              <w:tabs>
                <w:tab w:val="left" w:pos="720"/>
              </w:tabs>
              <w:spacing w:after="120"/>
              <w:rPr>
                <w:rFonts w:ascii="Arial" w:hAnsi="Arial" w:cs="Arial"/>
                <w:sz w:val="20"/>
                <w:szCs w:val="20"/>
              </w:rPr>
            </w:pPr>
            <w:r w:rsidRPr="000D7BC1">
              <w:rPr>
                <w:rFonts w:ascii="Arial" w:hAnsi="Arial" w:cs="Arial"/>
                <w:sz w:val="20"/>
                <w:szCs w:val="20"/>
              </w:rPr>
              <w:t>Income tax:  OnePath Life Limited – OneCare Policy – Life Cover, Total and Permanent Disability Cover and/or Trauma Cover</w:t>
            </w:r>
          </w:p>
        </w:tc>
        <w:tc>
          <w:tcPr>
            <w:tcW w:w="4140" w:type="dxa"/>
            <w:tcBorders>
              <w:top w:val="single" w:sz="6" w:space="0" w:color="auto"/>
              <w:left w:val="single" w:sz="6" w:space="0" w:color="auto"/>
              <w:bottom w:val="single" w:sz="6" w:space="0" w:color="auto"/>
              <w:right w:val="single" w:sz="6" w:space="0" w:color="auto"/>
            </w:tcBorders>
          </w:tcPr>
          <w:p w:rsidR="005B48BB" w:rsidRPr="000D7BC1" w:rsidRDefault="00E941B0" w:rsidP="000D7BC1">
            <w:pPr>
              <w:spacing w:after="120" w:line="240" w:lineRule="auto"/>
              <w:rPr>
                <w:rFonts w:ascii="Arial" w:hAnsi="Arial" w:cs="Arial"/>
                <w:sz w:val="20"/>
                <w:szCs w:val="20"/>
              </w:rPr>
            </w:pPr>
            <w:r w:rsidRPr="000D7BC1">
              <w:rPr>
                <w:rFonts w:ascii="Arial" w:hAnsi="Arial" w:cs="Arial"/>
                <w:sz w:val="20"/>
                <w:szCs w:val="20"/>
              </w:rPr>
              <w:t>The Ruling sets out the Commissioner’s position</w:t>
            </w:r>
            <w:r w:rsidR="005B48BB" w:rsidRPr="000D7BC1">
              <w:rPr>
                <w:rFonts w:ascii="Arial" w:hAnsi="Arial" w:cs="Arial"/>
                <w:sz w:val="20"/>
                <w:szCs w:val="20"/>
              </w:rPr>
              <w:t xml:space="preserve"> about recipients of the OneCare Policy offered by </w:t>
            </w:r>
            <w:proofErr w:type="spellStart"/>
            <w:r w:rsidR="005B48BB" w:rsidRPr="000D7BC1">
              <w:rPr>
                <w:rFonts w:ascii="Arial" w:hAnsi="Arial" w:cs="Arial"/>
                <w:sz w:val="20"/>
                <w:szCs w:val="20"/>
              </w:rPr>
              <w:t>OnePath</w:t>
            </w:r>
            <w:proofErr w:type="spellEnd"/>
            <w:r w:rsidR="005B48BB" w:rsidRPr="000D7BC1">
              <w:rPr>
                <w:rFonts w:ascii="Arial" w:hAnsi="Arial" w:cs="Arial"/>
                <w:sz w:val="20"/>
                <w:szCs w:val="20"/>
              </w:rPr>
              <w:t xml:space="preserve"> Life Limited in respect of Life Cover, Total and Permanent Disability (TPD) Cover and/or Trauma Cover.</w:t>
            </w:r>
          </w:p>
          <w:p w:rsidR="005B48BB" w:rsidRPr="000D7BC1" w:rsidRDefault="005B48BB" w:rsidP="007D16BC">
            <w:pPr>
              <w:spacing w:after="60" w:line="240" w:lineRule="auto"/>
              <w:rPr>
                <w:rFonts w:ascii="Arial" w:hAnsi="Arial" w:cs="Arial"/>
                <w:sz w:val="20"/>
                <w:szCs w:val="20"/>
              </w:rPr>
            </w:pPr>
          </w:p>
          <w:p w:rsidR="00051793" w:rsidRPr="000D7BC1" w:rsidRDefault="005B48BB" w:rsidP="000D7BC1">
            <w:pPr>
              <w:spacing w:after="120" w:line="240" w:lineRule="auto"/>
              <w:rPr>
                <w:rFonts w:ascii="Arial" w:hAnsi="Arial" w:cs="Arial"/>
                <w:sz w:val="20"/>
                <w:szCs w:val="20"/>
              </w:rPr>
            </w:pPr>
            <w:r w:rsidRPr="000D7BC1">
              <w:rPr>
                <w:rFonts w:ascii="Arial" w:hAnsi="Arial" w:cs="Arial"/>
                <w:sz w:val="20"/>
                <w:szCs w:val="20"/>
              </w:rPr>
              <w:t>The Product Ruling applies from 1 July 2014.</w:t>
            </w:r>
          </w:p>
        </w:tc>
      </w:tr>
      <w:tr w:rsidR="00E823AE"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tcPr>
          <w:p w:rsidR="00E823AE" w:rsidRPr="000D7BC1" w:rsidRDefault="00051793" w:rsidP="000D7BC1">
            <w:pPr>
              <w:pStyle w:val="Header"/>
              <w:spacing w:after="120"/>
              <w:rPr>
                <w:rFonts w:ascii="Arial" w:hAnsi="Arial" w:cs="Arial"/>
                <w:sz w:val="20"/>
                <w:szCs w:val="20"/>
              </w:rPr>
            </w:pPr>
            <w:r w:rsidRPr="000D7BC1">
              <w:rPr>
                <w:rFonts w:ascii="Arial" w:hAnsi="Arial" w:cs="Arial"/>
                <w:sz w:val="20"/>
                <w:szCs w:val="20"/>
              </w:rPr>
              <w:t>PR 2014/15</w:t>
            </w:r>
          </w:p>
        </w:tc>
        <w:tc>
          <w:tcPr>
            <w:tcW w:w="3780" w:type="dxa"/>
            <w:tcBorders>
              <w:top w:val="single" w:sz="6" w:space="0" w:color="auto"/>
              <w:left w:val="single" w:sz="6" w:space="0" w:color="auto"/>
              <w:bottom w:val="single" w:sz="6" w:space="0" w:color="auto"/>
              <w:right w:val="single" w:sz="6" w:space="0" w:color="auto"/>
            </w:tcBorders>
          </w:tcPr>
          <w:p w:rsidR="00E823AE" w:rsidRPr="000D7BC1" w:rsidRDefault="00051793" w:rsidP="000D7BC1">
            <w:pPr>
              <w:pStyle w:val="Header"/>
              <w:spacing w:after="120"/>
              <w:rPr>
                <w:rFonts w:ascii="Arial" w:hAnsi="Arial" w:cs="Arial"/>
                <w:sz w:val="20"/>
                <w:szCs w:val="20"/>
              </w:rPr>
            </w:pPr>
            <w:r w:rsidRPr="000D7BC1">
              <w:rPr>
                <w:rFonts w:ascii="Arial" w:hAnsi="Arial" w:cs="Arial"/>
                <w:sz w:val="20"/>
                <w:szCs w:val="20"/>
              </w:rPr>
              <w:t>Income tax:  deductibility of interest in relation to investment in a Property Investor Trust</w:t>
            </w:r>
          </w:p>
        </w:tc>
        <w:tc>
          <w:tcPr>
            <w:tcW w:w="4140" w:type="dxa"/>
            <w:tcBorders>
              <w:top w:val="single" w:sz="6" w:space="0" w:color="auto"/>
              <w:left w:val="single" w:sz="6" w:space="0" w:color="auto"/>
              <w:bottom w:val="single" w:sz="6" w:space="0" w:color="auto"/>
              <w:right w:val="single" w:sz="6" w:space="0" w:color="auto"/>
            </w:tcBorders>
          </w:tcPr>
          <w:p w:rsidR="00900CF8" w:rsidRPr="000D7BC1" w:rsidRDefault="00E463B5" w:rsidP="000D7BC1">
            <w:pPr>
              <w:spacing w:after="120" w:line="240" w:lineRule="auto"/>
              <w:rPr>
                <w:rFonts w:ascii="Arial" w:hAnsi="Arial" w:cs="Arial"/>
                <w:sz w:val="20"/>
                <w:szCs w:val="20"/>
              </w:rPr>
            </w:pPr>
            <w:r w:rsidRPr="000D7BC1">
              <w:rPr>
                <w:rFonts w:ascii="Arial" w:hAnsi="Arial" w:cs="Arial"/>
                <w:sz w:val="20"/>
                <w:szCs w:val="20"/>
              </w:rPr>
              <w:t xml:space="preserve">The Ruling sets out the Commissioner’s position </w:t>
            </w:r>
            <w:r w:rsidR="005B48BB" w:rsidRPr="000D7BC1">
              <w:rPr>
                <w:rFonts w:ascii="Arial" w:hAnsi="Arial" w:cs="Arial"/>
                <w:sz w:val="20"/>
                <w:szCs w:val="20"/>
              </w:rPr>
              <w:t xml:space="preserve">about </w:t>
            </w:r>
            <w:r w:rsidR="00900CF8" w:rsidRPr="000D7BC1">
              <w:rPr>
                <w:rFonts w:ascii="Arial" w:hAnsi="Arial" w:cs="Arial"/>
                <w:sz w:val="20"/>
                <w:szCs w:val="20"/>
              </w:rPr>
              <w:t>participants that invest in the Property Investor Trust offered by Chan &amp; Naylor Australia Pty Ltd.</w:t>
            </w:r>
          </w:p>
          <w:p w:rsidR="00900CF8" w:rsidRPr="000D7BC1" w:rsidRDefault="00900CF8" w:rsidP="007D16BC">
            <w:pPr>
              <w:spacing w:after="60" w:line="240" w:lineRule="auto"/>
              <w:rPr>
                <w:rFonts w:ascii="Arial" w:hAnsi="Arial" w:cs="Arial"/>
                <w:sz w:val="20"/>
                <w:szCs w:val="20"/>
              </w:rPr>
            </w:pPr>
          </w:p>
          <w:p w:rsidR="00EE0F9A" w:rsidRPr="000D7BC1" w:rsidRDefault="00900CF8" w:rsidP="000D7BC1">
            <w:pPr>
              <w:spacing w:after="120" w:line="240" w:lineRule="auto"/>
              <w:rPr>
                <w:rFonts w:ascii="Arial" w:hAnsi="Arial" w:cs="Arial"/>
                <w:sz w:val="20"/>
                <w:szCs w:val="20"/>
              </w:rPr>
            </w:pPr>
            <w:r w:rsidRPr="000D7BC1">
              <w:rPr>
                <w:rFonts w:ascii="Arial" w:hAnsi="Arial" w:cs="Arial"/>
                <w:sz w:val="20"/>
                <w:szCs w:val="20"/>
              </w:rPr>
              <w:t>The Product Ruling applies prospectively from 1 July 2014.</w:t>
            </w:r>
          </w:p>
        </w:tc>
      </w:tr>
    </w:tbl>
    <w:p w:rsidR="00114CB2" w:rsidRDefault="00114CB2" w:rsidP="0094219E">
      <w:pPr>
        <w:spacing w:after="120"/>
        <w:rPr>
          <w:rFonts w:ascii="Arial" w:hAnsi="Arial" w:cs="Arial"/>
          <w:sz w:val="18"/>
          <w:szCs w:val="18"/>
        </w:rPr>
      </w:pPr>
    </w:p>
    <w:tbl>
      <w:tblPr>
        <w:tblW w:w="9648" w:type="dxa"/>
        <w:tblLayout w:type="fixed"/>
        <w:tblLook w:val="0000" w:firstRow="0" w:lastRow="0" w:firstColumn="0" w:lastColumn="0" w:noHBand="0" w:noVBand="0"/>
      </w:tblPr>
      <w:tblGrid>
        <w:gridCol w:w="1728"/>
        <w:gridCol w:w="3780"/>
        <w:gridCol w:w="4140"/>
      </w:tblGrid>
      <w:tr w:rsidR="00114CB2" w:rsidRPr="00773255" w:rsidTr="008D17C9">
        <w:trPr>
          <w:cantSplit/>
          <w:trHeight w:val="72"/>
          <w:tblHeader/>
        </w:trPr>
        <w:tc>
          <w:tcPr>
            <w:tcW w:w="9648" w:type="dxa"/>
            <w:gridSpan w:val="3"/>
            <w:tcBorders>
              <w:top w:val="single" w:sz="6" w:space="0" w:color="auto"/>
              <w:left w:val="single" w:sz="6" w:space="0" w:color="auto"/>
              <w:bottom w:val="single" w:sz="6" w:space="0" w:color="auto"/>
              <w:right w:val="single" w:sz="6" w:space="0" w:color="auto"/>
            </w:tcBorders>
          </w:tcPr>
          <w:p w:rsidR="00114CB2" w:rsidRPr="00773255" w:rsidRDefault="00114CB2" w:rsidP="008D17C9">
            <w:pPr>
              <w:pStyle w:val="Heading3"/>
              <w:keepLines/>
              <w:spacing w:before="80" w:after="80"/>
              <w:jc w:val="center"/>
              <w:rPr>
                <w:sz w:val="22"/>
                <w:szCs w:val="22"/>
              </w:rPr>
            </w:pPr>
            <w:r w:rsidRPr="00773255">
              <w:rPr>
                <w:sz w:val="22"/>
                <w:szCs w:val="22"/>
              </w:rPr>
              <w:t>NOTICE OF</w:t>
            </w:r>
            <w:r>
              <w:rPr>
                <w:sz w:val="22"/>
                <w:szCs w:val="22"/>
              </w:rPr>
              <w:t xml:space="preserve"> WITHDRAWALS</w:t>
            </w:r>
          </w:p>
        </w:tc>
      </w:tr>
      <w:tr w:rsidR="00114CB2" w:rsidRPr="00773255" w:rsidTr="008D17C9">
        <w:trPr>
          <w:cantSplit/>
          <w:trHeight w:val="72"/>
          <w:tblHeader/>
        </w:trPr>
        <w:tc>
          <w:tcPr>
            <w:tcW w:w="1728"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Ruling Number</w:t>
            </w:r>
          </w:p>
        </w:tc>
        <w:tc>
          <w:tcPr>
            <w:tcW w:w="378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Subject</w:t>
            </w:r>
          </w:p>
        </w:tc>
        <w:tc>
          <w:tcPr>
            <w:tcW w:w="4140" w:type="dxa"/>
            <w:tcBorders>
              <w:top w:val="single" w:sz="6" w:space="0" w:color="auto"/>
              <w:left w:val="single" w:sz="6" w:space="0" w:color="auto"/>
              <w:bottom w:val="single" w:sz="6" w:space="0" w:color="auto"/>
              <w:right w:val="single" w:sz="6" w:space="0" w:color="auto"/>
            </w:tcBorders>
            <w:vAlign w:val="center"/>
          </w:tcPr>
          <w:p w:rsidR="00114CB2" w:rsidRPr="00773255" w:rsidRDefault="00114CB2" w:rsidP="008D17C9">
            <w:pPr>
              <w:pStyle w:val="Heading3"/>
              <w:keepLines/>
              <w:spacing w:before="80" w:after="80"/>
              <w:jc w:val="center"/>
              <w:rPr>
                <w:sz w:val="22"/>
                <w:szCs w:val="22"/>
              </w:rPr>
            </w:pPr>
            <w:r w:rsidRPr="00773255">
              <w:rPr>
                <w:sz w:val="22"/>
                <w:szCs w:val="22"/>
              </w:rPr>
              <w:t>Brief Description</w:t>
            </w:r>
          </w:p>
        </w:tc>
      </w:tr>
      <w:tr w:rsidR="00114CB2" w:rsidRPr="00C51D3C" w:rsidTr="008D17C9">
        <w:trPr>
          <w:cantSplit/>
          <w:trHeight w:val="72"/>
        </w:trPr>
        <w:tc>
          <w:tcPr>
            <w:tcW w:w="1728" w:type="dxa"/>
            <w:tcBorders>
              <w:top w:val="single" w:sz="6" w:space="0" w:color="auto"/>
              <w:left w:val="single" w:sz="6" w:space="0" w:color="auto"/>
              <w:bottom w:val="single" w:sz="6" w:space="0" w:color="auto"/>
              <w:right w:val="single" w:sz="6" w:space="0" w:color="auto"/>
            </w:tcBorders>
          </w:tcPr>
          <w:p w:rsidR="00114CB2" w:rsidRPr="000D7BC1" w:rsidRDefault="00414CB5" w:rsidP="000D7BC1">
            <w:pPr>
              <w:spacing w:after="120" w:line="240" w:lineRule="auto"/>
              <w:rPr>
                <w:rFonts w:ascii="Arial" w:hAnsi="Arial" w:cs="Arial"/>
                <w:sz w:val="20"/>
                <w:szCs w:val="20"/>
              </w:rPr>
            </w:pPr>
            <w:r w:rsidRPr="000D7BC1">
              <w:rPr>
                <w:rFonts w:ascii="Arial" w:hAnsi="Arial" w:cs="Arial"/>
                <w:sz w:val="20"/>
                <w:szCs w:val="20"/>
              </w:rPr>
              <w:t>GSTA TPP 053</w:t>
            </w:r>
          </w:p>
        </w:tc>
        <w:tc>
          <w:tcPr>
            <w:tcW w:w="3780" w:type="dxa"/>
            <w:tcBorders>
              <w:top w:val="single" w:sz="6" w:space="0" w:color="auto"/>
              <w:left w:val="single" w:sz="6" w:space="0" w:color="auto"/>
              <w:bottom w:val="single" w:sz="6" w:space="0" w:color="auto"/>
              <w:right w:val="single" w:sz="6" w:space="0" w:color="auto"/>
            </w:tcBorders>
          </w:tcPr>
          <w:p w:rsidR="00114CB2" w:rsidRPr="000D7BC1" w:rsidRDefault="00414CB5" w:rsidP="000D7BC1">
            <w:pPr>
              <w:pStyle w:val="Header"/>
              <w:spacing w:after="120"/>
              <w:rPr>
                <w:rFonts w:ascii="Arial" w:hAnsi="Arial" w:cs="Arial"/>
                <w:sz w:val="20"/>
                <w:szCs w:val="20"/>
              </w:rPr>
            </w:pPr>
            <w:bookmarkStart w:id="0" w:name="GTopicHeader"/>
            <w:r w:rsidRPr="000D7BC1">
              <w:rPr>
                <w:rFonts w:ascii="Arial" w:hAnsi="Arial" w:cs="Arial"/>
                <w:sz w:val="20"/>
                <w:szCs w:val="20"/>
              </w:rPr>
              <w:t>Goods and services tax:  is GST payable on the taxable importation of consignment stock into Australia when ownership passes to the vendor as is the case with taxable supplies?</w:t>
            </w:r>
            <w:bookmarkEnd w:id="0"/>
          </w:p>
        </w:tc>
        <w:tc>
          <w:tcPr>
            <w:tcW w:w="4140" w:type="dxa"/>
            <w:tcBorders>
              <w:top w:val="single" w:sz="6" w:space="0" w:color="auto"/>
              <w:left w:val="single" w:sz="6" w:space="0" w:color="auto"/>
              <w:bottom w:val="single" w:sz="6" w:space="0" w:color="auto"/>
              <w:right w:val="single" w:sz="6" w:space="0" w:color="auto"/>
            </w:tcBorders>
          </w:tcPr>
          <w:p w:rsidR="00114CB2" w:rsidRPr="000D7BC1" w:rsidRDefault="00414CB5" w:rsidP="007D16BC">
            <w:pPr>
              <w:spacing w:after="60" w:line="240" w:lineRule="auto"/>
              <w:rPr>
                <w:rFonts w:ascii="Arial" w:hAnsi="Arial" w:cs="Arial"/>
                <w:sz w:val="20"/>
                <w:szCs w:val="20"/>
              </w:rPr>
            </w:pPr>
            <w:r w:rsidRPr="000D7BC1">
              <w:rPr>
                <w:rFonts w:ascii="Arial" w:hAnsi="Arial" w:cs="Arial"/>
                <w:sz w:val="20"/>
                <w:szCs w:val="20"/>
              </w:rPr>
              <w:t>Withdrawn with effect from 2 July 2014.</w:t>
            </w:r>
          </w:p>
        </w:tc>
      </w:tr>
      <w:tr w:rsidR="00414CB5" w:rsidRPr="00C51D3C" w:rsidTr="008D17C9">
        <w:trPr>
          <w:cantSplit/>
          <w:trHeight w:val="72"/>
        </w:trPr>
        <w:tc>
          <w:tcPr>
            <w:tcW w:w="1728" w:type="dxa"/>
            <w:tcBorders>
              <w:top w:val="single" w:sz="6" w:space="0" w:color="auto"/>
              <w:left w:val="single" w:sz="6" w:space="0" w:color="auto"/>
              <w:bottom w:val="single" w:sz="6" w:space="0" w:color="auto"/>
              <w:right w:val="single" w:sz="6" w:space="0" w:color="auto"/>
            </w:tcBorders>
          </w:tcPr>
          <w:p w:rsidR="00414CB5" w:rsidRPr="000D7BC1" w:rsidRDefault="00414CB5" w:rsidP="000D7BC1">
            <w:pPr>
              <w:spacing w:after="120" w:line="240" w:lineRule="auto"/>
              <w:rPr>
                <w:rFonts w:ascii="Arial" w:hAnsi="Arial" w:cs="Arial"/>
                <w:sz w:val="20"/>
                <w:szCs w:val="20"/>
              </w:rPr>
            </w:pPr>
            <w:r w:rsidRPr="000D7BC1">
              <w:rPr>
                <w:rFonts w:ascii="Arial" w:hAnsi="Arial" w:cs="Arial"/>
                <w:sz w:val="20"/>
                <w:szCs w:val="20"/>
              </w:rPr>
              <w:t>GSTA TPP 054</w:t>
            </w:r>
          </w:p>
        </w:tc>
        <w:tc>
          <w:tcPr>
            <w:tcW w:w="3780" w:type="dxa"/>
            <w:tcBorders>
              <w:top w:val="single" w:sz="6" w:space="0" w:color="auto"/>
              <w:left w:val="single" w:sz="6" w:space="0" w:color="auto"/>
              <w:bottom w:val="single" w:sz="6" w:space="0" w:color="auto"/>
              <w:right w:val="single" w:sz="6" w:space="0" w:color="auto"/>
            </w:tcBorders>
          </w:tcPr>
          <w:p w:rsidR="00414CB5" w:rsidRPr="000D7BC1" w:rsidRDefault="00414CB5" w:rsidP="000D7BC1">
            <w:pPr>
              <w:pStyle w:val="Header"/>
              <w:tabs>
                <w:tab w:val="left" w:pos="720"/>
              </w:tabs>
              <w:spacing w:after="120"/>
              <w:rPr>
                <w:rFonts w:ascii="Arial" w:hAnsi="Arial" w:cs="Arial"/>
                <w:sz w:val="20"/>
                <w:szCs w:val="20"/>
              </w:rPr>
            </w:pPr>
            <w:r w:rsidRPr="000D7BC1">
              <w:rPr>
                <w:rFonts w:ascii="Arial" w:hAnsi="Arial" w:cs="Arial"/>
                <w:sz w:val="20"/>
                <w:szCs w:val="20"/>
              </w:rPr>
              <w:t>Goods and services tax:  is B’s payment to A consideration for A’s supply to B where, under an agreement between A and B:</w:t>
            </w:r>
          </w:p>
          <w:p w:rsidR="00414CB5" w:rsidRPr="000D7BC1" w:rsidRDefault="00414CB5" w:rsidP="00D211F2">
            <w:pPr>
              <w:pStyle w:val="Header"/>
              <w:numPr>
                <w:ilvl w:val="0"/>
                <w:numId w:val="2"/>
              </w:numPr>
              <w:tabs>
                <w:tab w:val="clear" w:pos="4513"/>
                <w:tab w:val="clear" w:pos="9026"/>
              </w:tabs>
              <w:spacing w:after="60"/>
              <w:ind w:left="538" w:hanging="357"/>
              <w:rPr>
                <w:rFonts w:ascii="Arial" w:hAnsi="Arial" w:cs="Arial"/>
                <w:sz w:val="20"/>
                <w:szCs w:val="20"/>
              </w:rPr>
            </w:pPr>
            <w:r w:rsidRPr="000D7BC1">
              <w:rPr>
                <w:rFonts w:ascii="Arial" w:hAnsi="Arial" w:cs="Arial"/>
                <w:sz w:val="20"/>
                <w:szCs w:val="20"/>
              </w:rPr>
              <w:t>A licences intellectual property to B (who sublicenses it to C)</w:t>
            </w:r>
            <w:r w:rsidR="005F4CFB" w:rsidRPr="000D7BC1">
              <w:rPr>
                <w:rFonts w:ascii="Arial" w:hAnsi="Arial" w:cs="Arial"/>
                <w:sz w:val="20"/>
                <w:szCs w:val="20"/>
              </w:rPr>
              <w:t>;</w:t>
            </w:r>
            <w:r w:rsidRPr="000D7BC1">
              <w:rPr>
                <w:rFonts w:ascii="Arial" w:hAnsi="Arial" w:cs="Arial"/>
                <w:sz w:val="20"/>
                <w:szCs w:val="20"/>
              </w:rPr>
              <w:t xml:space="preserve"> and</w:t>
            </w:r>
          </w:p>
          <w:p w:rsidR="00414CB5" w:rsidRPr="000D7BC1" w:rsidRDefault="00414CB5" w:rsidP="000D7BC1">
            <w:pPr>
              <w:pStyle w:val="Header"/>
              <w:numPr>
                <w:ilvl w:val="0"/>
                <w:numId w:val="2"/>
              </w:numPr>
              <w:tabs>
                <w:tab w:val="clear" w:pos="4513"/>
                <w:tab w:val="clear" w:pos="9026"/>
              </w:tabs>
              <w:spacing w:after="120"/>
              <w:ind w:left="540" w:hanging="357"/>
              <w:rPr>
                <w:rFonts w:ascii="Arial" w:hAnsi="Arial" w:cs="Arial"/>
                <w:sz w:val="20"/>
                <w:szCs w:val="20"/>
              </w:rPr>
            </w:pPr>
            <w:proofErr w:type="gramStart"/>
            <w:r w:rsidRPr="000D7BC1">
              <w:rPr>
                <w:rFonts w:ascii="Arial" w:hAnsi="Arial" w:cs="Arial"/>
                <w:sz w:val="20"/>
                <w:szCs w:val="20"/>
              </w:rPr>
              <w:t>the</w:t>
            </w:r>
            <w:proofErr w:type="gramEnd"/>
            <w:r w:rsidRPr="000D7BC1">
              <w:rPr>
                <w:rFonts w:ascii="Arial" w:hAnsi="Arial" w:cs="Arial"/>
                <w:sz w:val="20"/>
                <w:szCs w:val="20"/>
              </w:rPr>
              <w:t xml:space="preserve"> amount B pays A is calculated by reference to the extent of B’s supply to C?</w:t>
            </w:r>
          </w:p>
        </w:tc>
        <w:tc>
          <w:tcPr>
            <w:tcW w:w="4140" w:type="dxa"/>
            <w:tcBorders>
              <w:top w:val="single" w:sz="6" w:space="0" w:color="auto"/>
              <w:left w:val="single" w:sz="6" w:space="0" w:color="auto"/>
              <w:bottom w:val="single" w:sz="6" w:space="0" w:color="auto"/>
              <w:right w:val="single" w:sz="6" w:space="0" w:color="auto"/>
            </w:tcBorders>
          </w:tcPr>
          <w:p w:rsidR="00414CB5" w:rsidRPr="000D7BC1" w:rsidRDefault="00414CB5" w:rsidP="007D16BC">
            <w:pPr>
              <w:spacing w:after="60" w:line="240" w:lineRule="auto"/>
              <w:rPr>
                <w:rFonts w:ascii="Arial" w:hAnsi="Arial" w:cs="Arial"/>
                <w:sz w:val="20"/>
                <w:szCs w:val="20"/>
              </w:rPr>
            </w:pPr>
            <w:r w:rsidRPr="000D7BC1">
              <w:rPr>
                <w:rFonts w:ascii="Arial" w:hAnsi="Arial" w:cs="Arial"/>
                <w:sz w:val="20"/>
                <w:szCs w:val="20"/>
              </w:rPr>
              <w:t>W</w:t>
            </w:r>
            <w:bookmarkStart w:id="1" w:name="_GoBack"/>
            <w:bookmarkEnd w:id="1"/>
            <w:r w:rsidRPr="000D7BC1">
              <w:rPr>
                <w:rFonts w:ascii="Arial" w:hAnsi="Arial" w:cs="Arial"/>
                <w:sz w:val="20"/>
                <w:szCs w:val="20"/>
              </w:rPr>
              <w:t>ithdrawn with effect from 2 July 2014.</w:t>
            </w:r>
          </w:p>
        </w:tc>
      </w:tr>
    </w:tbl>
    <w:p w:rsidR="00114CB2" w:rsidRPr="00424B97" w:rsidRDefault="00114CB2" w:rsidP="000D7BC1"/>
    <w:sectPr w:rsidR="00114CB2" w:rsidRPr="00424B9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B2" w:rsidRDefault="00114CB2" w:rsidP="003A707F">
      <w:pPr>
        <w:spacing w:after="0" w:line="240" w:lineRule="auto"/>
      </w:pPr>
      <w:r>
        <w:separator/>
      </w:r>
    </w:p>
  </w:endnote>
  <w:endnote w:type="continuationSeparator" w:id="0">
    <w:p w:rsidR="00114CB2" w:rsidRDefault="00114CB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B2" w:rsidRDefault="00114CB2" w:rsidP="003A707F">
      <w:pPr>
        <w:spacing w:after="0" w:line="240" w:lineRule="auto"/>
      </w:pPr>
      <w:r>
        <w:separator/>
      </w:r>
    </w:p>
  </w:footnote>
  <w:footnote w:type="continuationSeparator" w:id="0">
    <w:p w:rsidR="00114CB2" w:rsidRDefault="00114CB2"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rsidTr="0095650D">
      <w:trPr>
        <w:trHeight w:val="984"/>
      </w:trPr>
      <w:tc>
        <w:tcPr>
          <w:tcW w:w="1263" w:type="dxa"/>
          <w:tcBorders>
            <w:top w:val="single" w:sz="4" w:space="0" w:color="auto"/>
            <w:left w:val="nil"/>
            <w:bottom w:val="single" w:sz="4" w:space="0" w:color="auto"/>
            <w:right w:val="nil"/>
          </w:tcBorders>
        </w:tcPr>
        <w:p w:rsidR="00114CB2" w:rsidRPr="005E7AE5" w:rsidRDefault="00612E24"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extent cx="657225"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2387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rsidR="00114CB2" w:rsidRPr="005E7AE5" w:rsidRDefault="00114CB2" w:rsidP="00840A06">
          <w:pPr>
            <w:spacing w:before="60" w:after="0" w:line="460" w:lineRule="exact"/>
            <w:rPr>
              <w:rFonts w:ascii="Arial" w:hAnsi="Arial" w:cs="Arial"/>
              <w:b/>
              <w:spacing w:val="-2"/>
              <w:sz w:val="44"/>
              <w:szCs w:val="44"/>
            </w:rPr>
          </w:pPr>
          <w:r w:rsidRPr="005E7AE5">
            <w:rPr>
              <w:rFonts w:ascii="Arial" w:hAnsi="Arial" w:cs="Arial"/>
              <w:b/>
              <w:spacing w:val="-2"/>
              <w:sz w:val="44"/>
              <w:szCs w:val="44"/>
            </w:rPr>
            <w:t>Commonwealth</w:t>
          </w:r>
          <w:r w:rsidRPr="005E7AE5">
            <w:rPr>
              <w:rFonts w:ascii="Arial" w:hAnsi="Arial" w:cs="Arial"/>
              <w:b/>
              <w:spacing w:val="-2"/>
              <w:sz w:val="44"/>
              <w:szCs w:val="44"/>
            </w:rPr>
            <w:br/>
            <w:t xml:space="preserve">of </w:t>
          </w:r>
          <w:smartTag w:uri="urn:schemas-microsoft-com:office:smarttags" w:element="country-region">
            <w:smartTag w:uri="urn:schemas-microsoft-com:office:smarttags" w:element="place">
              <w:r w:rsidRPr="005E7AE5">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114CB2" w:rsidRPr="005E7AE5" w:rsidRDefault="00114CB2" w:rsidP="00840A06">
          <w:pPr>
            <w:spacing w:before="180" w:after="0" w:line="800" w:lineRule="exact"/>
            <w:jc w:val="right"/>
            <w:rPr>
              <w:rFonts w:ascii="Arial" w:hAnsi="Arial" w:cs="Arial"/>
              <w:b/>
              <w:sz w:val="100"/>
              <w:szCs w:val="100"/>
            </w:rPr>
          </w:pPr>
          <w:r w:rsidRPr="005E7AE5">
            <w:rPr>
              <w:rFonts w:ascii="Arial" w:hAnsi="Arial" w:cs="Arial"/>
              <w:b/>
              <w:sz w:val="100"/>
              <w:szCs w:val="100"/>
            </w:rPr>
            <w:t>Gazette</w:t>
          </w:r>
        </w:p>
      </w:tc>
    </w:tr>
    <w:tr w:rsidR="00114CB2" w:rsidRPr="005E7AE5" w:rsidTr="00840A06">
      <w:trPr>
        <w:trHeight w:val="340"/>
      </w:trPr>
      <w:tc>
        <w:tcPr>
          <w:tcW w:w="5698" w:type="dxa"/>
          <w:gridSpan w:val="2"/>
          <w:tcBorders>
            <w:top w:val="single" w:sz="4" w:space="0" w:color="auto"/>
            <w:left w:val="nil"/>
            <w:bottom w:val="single" w:sz="4" w:space="0" w:color="auto"/>
            <w:right w:val="nil"/>
          </w:tcBorders>
          <w:vAlign w:val="bottom"/>
        </w:tcPr>
        <w:p w:rsidR="00114CB2" w:rsidRPr="005E7AE5" w:rsidRDefault="00114CB2" w:rsidP="00840A06">
          <w:pPr>
            <w:spacing w:after="0"/>
            <w:ind w:left="-51"/>
            <w:rPr>
              <w:rFonts w:ascii="Arial" w:hAnsi="Arial" w:cs="Arial"/>
              <w:sz w:val="14"/>
              <w:szCs w:val="14"/>
            </w:rPr>
          </w:pPr>
          <w:bookmarkStart w:id="3" w:name="GazNo"/>
          <w:bookmarkEnd w:id="3"/>
          <w:r w:rsidRPr="005E7AE5">
            <w:rPr>
              <w:rFonts w:ascii="Arial" w:hAnsi="Arial" w:cs="Arial"/>
              <w:sz w:val="14"/>
              <w:szCs w:val="14"/>
            </w:rPr>
            <w:t xml:space="preserve">Published by the Commonwealth of </w:t>
          </w:r>
          <w:smartTag w:uri="urn:schemas-microsoft-com:office:smarttags" w:element="place">
            <w:smartTag w:uri="urn:schemas-microsoft-com:office:smarttags" w:element="country-region">
              <w:r w:rsidRPr="005E7AE5">
                <w:rPr>
                  <w:rFonts w:ascii="Arial" w:hAnsi="Arial"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114CB2" w:rsidRPr="005E7AE5" w:rsidRDefault="00114CB2" w:rsidP="00840A06">
          <w:pPr>
            <w:spacing w:after="0"/>
            <w:jc w:val="right"/>
            <w:rPr>
              <w:rFonts w:ascii="Arial" w:hAnsi="Arial" w:cs="Arial"/>
              <w:b/>
              <w:sz w:val="24"/>
              <w:szCs w:val="24"/>
            </w:rPr>
          </w:pPr>
          <w:r w:rsidRPr="005E7AE5">
            <w:rPr>
              <w:rFonts w:ascii="Arial" w:hAnsi="Arial" w:cs="Arial"/>
              <w:b/>
              <w:sz w:val="24"/>
              <w:szCs w:val="24"/>
            </w:rPr>
            <w:t>GOVERNMENT NOTICES</w:t>
          </w:r>
        </w:p>
      </w:tc>
    </w:tr>
    <w:bookmarkEnd w:id="2"/>
  </w:tbl>
  <w:p w:rsidR="00114CB2" w:rsidRPr="003A707F" w:rsidRDefault="00114CB2" w:rsidP="00F40885">
    <w:pPr>
      <w:pStyle w:val="Header"/>
      <w:rPr>
        <w:sz w:val="2"/>
        <w:szCs w:val="2"/>
      </w:rPr>
    </w:pPr>
  </w:p>
  <w:p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602A0"/>
    <w:multiLevelType w:val="multilevel"/>
    <w:tmpl w:val="006803AC"/>
    <w:lvl w:ilvl="0">
      <w:start w:val="1"/>
      <w:numFmt w:val="decimal"/>
      <w:lvlText w:val="%1."/>
      <w:lvlJc w:val="left"/>
      <w:pPr>
        <w:tabs>
          <w:tab w:val="num" w:pos="360"/>
        </w:tabs>
        <w:ind w:left="360" w:hanging="360"/>
      </w:pPr>
      <w:rPr>
        <w:rFonts w:ascii="Arial" w:hAnsi="Arial" w:cs="Arial" w:hint="default"/>
        <w:i w:val="0"/>
        <w:sz w:val="22"/>
        <w:szCs w:val="22"/>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6BC3A12"/>
    <w:multiLevelType w:val="hybridMultilevel"/>
    <w:tmpl w:val="BF640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5B627AA0"/>
    <w:multiLevelType w:val="hybridMultilevel"/>
    <w:tmpl w:val="2FDA2906"/>
    <w:lvl w:ilvl="0" w:tplc="318AC0F2">
      <w:start w:val="1"/>
      <w:numFmt w:val="lowerLetter"/>
      <w:lvlText w:val="(%1)"/>
      <w:lvlJc w:val="left"/>
      <w:pPr>
        <w:tabs>
          <w:tab w:val="num" w:pos="1069"/>
        </w:tabs>
        <w:ind w:left="1069" w:hanging="360"/>
      </w:pPr>
      <w:rPr>
        <w:rFonts w:hint="default"/>
      </w:rPr>
    </w:lvl>
    <w:lvl w:ilvl="1" w:tplc="0B121E4E">
      <w:start w:val="1"/>
      <w:numFmt w:val="lowerRoman"/>
      <w:lvlText w:val="(%2)"/>
      <w:lvlJc w:val="right"/>
      <w:pPr>
        <w:tabs>
          <w:tab w:val="num" w:pos="1609"/>
        </w:tabs>
        <w:ind w:left="1609" w:hanging="180"/>
      </w:pPr>
      <w:rPr>
        <w:rFonts w:hint="default"/>
      </w:rPr>
    </w:lvl>
    <w:lvl w:ilvl="2" w:tplc="58CAA57E">
      <w:start w:val="1"/>
      <w:numFmt w:val="decimal"/>
      <w:lvlText w:val="%3."/>
      <w:lvlJc w:val="left"/>
      <w:pPr>
        <w:ind w:left="3049" w:hanging="720"/>
      </w:pPr>
      <w:rPr>
        <w:rFonts w:hint="default"/>
      </w:r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abstractNum w:abstractNumId="3">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07360"/>
    <w:rsid w:val="00051793"/>
    <w:rsid w:val="000D7BC1"/>
    <w:rsid w:val="000E1F2B"/>
    <w:rsid w:val="00114CB2"/>
    <w:rsid w:val="00141674"/>
    <w:rsid w:val="001C2AAD"/>
    <w:rsid w:val="001F6E54"/>
    <w:rsid w:val="00280BCD"/>
    <w:rsid w:val="003979E3"/>
    <w:rsid w:val="003A707F"/>
    <w:rsid w:val="003B0EC1"/>
    <w:rsid w:val="003B573B"/>
    <w:rsid w:val="003C06D3"/>
    <w:rsid w:val="003F2CBD"/>
    <w:rsid w:val="00414CB5"/>
    <w:rsid w:val="00424B97"/>
    <w:rsid w:val="004B2753"/>
    <w:rsid w:val="004C5A5D"/>
    <w:rsid w:val="00520873"/>
    <w:rsid w:val="00573D44"/>
    <w:rsid w:val="00595AA2"/>
    <w:rsid w:val="005B48BB"/>
    <w:rsid w:val="005E7AE5"/>
    <w:rsid w:val="005F4CFB"/>
    <w:rsid w:val="00612E24"/>
    <w:rsid w:val="006B38CC"/>
    <w:rsid w:val="00703286"/>
    <w:rsid w:val="00745909"/>
    <w:rsid w:val="00773255"/>
    <w:rsid w:val="007C490F"/>
    <w:rsid w:val="007D16BC"/>
    <w:rsid w:val="007E2CA6"/>
    <w:rsid w:val="00840A06"/>
    <w:rsid w:val="008439B7"/>
    <w:rsid w:val="0087253F"/>
    <w:rsid w:val="008D17C9"/>
    <w:rsid w:val="008E4F6C"/>
    <w:rsid w:val="00900CF8"/>
    <w:rsid w:val="0094219E"/>
    <w:rsid w:val="00943B8D"/>
    <w:rsid w:val="009539C7"/>
    <w:rsid w:val="0095650D"/>
    <w:rsid w:val="00A00F21"/>
    <w:rsid w:val="00A36A69"/>
    <w:rsid w:val="00A41F5C"/>
    <w:rsid w:val="00A60CE8"/>
    <w:rsid w:val="00A83BCC"/>
    <w:rsid w:val="00AD0943"/>
    <w:rsid w:val="00B4706B"/>
    <w:rsid w:val="00B84226"/>
    <w:rsid w:val="00C51D3C"/>
    <w:rsid w:val="00C63C4E"/>
    <w:rsid w:val="00C906B4"/>
    <w:rsid w:val="00D211F2"/>
    <w:rsid w:val="00D77A88"/>
    <w:rsid w:val="00E463B5"/>
    <w:rsid w:val="00E823AE"/>
    <w:rsid w:val="00E941B0"/>
    <w:rsid w:val="00EB3C1D"/>
    <w:rsid w:val="00ED2E52"/>
    <w:rsid w:val="00EE0F9A"/>
    <w:rsid w:val="00F21A5B"/>
    <w:rsid w:val="00F40885"/>
    <w:rsid w:val="00F44FF5"/>
    <w:rsid w:val="00FF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GivenName"/>
  <w:smartTagType w:namespaceuri="urn:schemas-microsoft-com:office:smarttags" w:name="country-region"/>
  <w:smartTagType w:namespaceuri="urn:schemas:contacts" w:name="Sn"/>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8D"/>
    <w:pPr>
      <w:spacing w:after="200" w:line="276" w:lineRule="auto"/>
    </w:pPr>
    <w:rPr>
      <w:lang w:eastAsia="en-US"/>
    </w:rPr>
  </w:style>
  <w:style w:type="paragraph" w:styleId="Heading3">
    <w:name w:val="heading 3"/>
    <w:basedOn w:val="Normal"/>
    <w:next w:val="Normal"/>
    <w:link w:val="Heading3Char"/>
    <w:uiPriority w:val="99"/>
    <w:qFormat/>
    <w:locked/>
    <w:rsid w:val="0094219E"/>
    <w:pPr>
      <w:keepNext/>
      <w:spacing w:before="240" w:after="60" w:line="240" w:lineRule="auto"/>
      <w:outlineLvl w:val="2"/>
    </w:pPr>
    <w:rPr>
      <w:rFonts w:ascii="Arial"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4219E"/>
    <w:rPr>
      <w:rFonts w:ascii="Arial" w:hAnsi="Arial" w:cs="Arial"/>
      <w:b/>
      <w:bCs/>
      <w:sz w:val="26"/>
      <w:szCs w:val="26"/>
      <w:lang w:val="en-AU" w:eastAsia="en-AU" w:bidi="ar-SA"/>
    </w:rPr>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line="240" w:lineRule="auto"/>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paragraph" w:styleId="NormalWeb">
    <w:name w:val="Normal (Web)"/>
    <w:basedOn w:val="Normal"/>
    <w:unhideWhenUsed/>
    <w:rsid w:val="00A41F5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Italic">
    <w:name w:val="Italic"/>
    <w:semiHidden/>
    <w:rsid w:val="003C06D3"/>
    <w:rPr>
      <w:i/>
      <w:noProof w:val="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8D"/>
    <w:pPr>
      <w:spacing w:after="200" w:line="276" w:lineRule="auto"/>
    </w:pPr>
    <w:rPr>
      <w:lang w:eastAsia="en-US"/>
    </w:rPr>
  </w:style>
  <w:style w:type="paragraph" w:styleId="Heading3">
    <w:name w:val="heading 3"/>
    <w:basedOn w:val="Normal"/>
    <w:next w:val="Normal"/>
    <w:link w:val="Heading3Char"/>
    <w:uiPriority w:val="99"/>
    <w:qFormat/>
    <w:locked/>
    <w:rsid w:val="0094219E"/>
    <w:pPr>
      <w:keepNext/>
      <w:spacing w:before="240" w:after="60" w:line="240" w:lineRule="auto"/>
      <w:outlineLvl w:val="2"/>
    </w:pPr>
    <w:rPr>
      <w:rFonts w:ascii="Arial"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4219E"/>
    <w:rPr>
      <w:rFonts w:ascii="Arial" w:hAnsi="Arial" w:cs="Arial"/>
      <w:b/>
      <w:bCs/>
      <w:sz w:val="26"/>
      <w:szCs w:val="26"/>
      <w:lang w:val="en-AU" w:eastAsia="en-AU" w:bidi="ar-SA"/>
    </w:rPr>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line="240" w:lineRule="auto"/>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paragraph" w:styleId="NormalWeb">
    <w:name w:val="Normal (Web)"/>
    <w:basedOn w:val="Normal"/>
    <w:unhideWhenUsed/>
    <w:rsid w:val="00A41F5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Italic">
    <w:name w:val="Italic"/>
    <w:semiHidden/>
    <w:rsid w:val="003C06D3"/>
    <w:rPr>
      <w:i/>
      <w:noProof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7413">
      <w:bodyDiv w:val="1"/>
      <w:marLeft w:val="0"/>
      <w:marRight w:val="0"/>
      <w:marTop w:val="0"/>
      <w:marBottom w:val="0"/>
      <w:divBdr>
        <w:top w:val="none" w:sz="0" w:space="0" w:color="auto"/>
        <w:left w:val="none" w:sz="0" w:space="0" w:color="auto"/>
        <w:bottom w:val="none" w:sz="0" w:space="0" w:color="auto"/>
        <w:right w:val="none" w:sz="0" w:space="0" w:color="auto"/>
      </w:divBdr>
    </w:div>
    <w:div w:id="186254791">
      <w:bodyDiv w:val="1"/>
      <w:marLeft w:val="0"/>
      <w:marRight w:val="0"/>
      <w:marTop w:val="0"/>
      <w:marBottom w:val="0"/>
      <w:divBdr>
        <w:top w:val="none" w:sz="0" w:space="0" w:color="auto"/>
        <w:left w:val="none" w:sz="0" w:space="0" w:color="auto"/>
        <w:bottom w:val="none" w:sz="0" w:space="0" w:color="auto"/>
        <w:right w:val="none" w:sz="0" w:space="0" w:color="auto"/>
      </w:divBdr>
    </w:div>
    <w:div w:id="216865986">
      <w:bodyDiv w:val="1"/>
      <w:marLeft w:val="0"/>
      <w:marRight w:val="0"/>
      <w:marTop w:val="0"/>
      <w:marBottom w:val="0"/>
      <w:divBdr>
        <w:top w:val="none" w:sz="0" w:space="0" w:color="auto"/>
        <w:left w:val="none" w:sz="0" w:space="0" w:color="auto"/>
        <w:bottom w:val="none" w:sz="0" w:space="0" w:color="auto"/>
        <w:right w:val="none" w:sz="0" w:space="0" w:color="auto"/>
      </w:divBdr>
    </w:div>
    <w:div w:id="636371767">
      <w:bodyDiv w:val="1"/>
      <w:marLeft w:val="0"/>
      <w:marRight w:val="0"/>
      <w:marTop w:val="0"/>
      <w:marBottom w:val="0"/>
      <w:divBdr>
        <w:top w:val="none" w:sz="0" w:space="0" w:color="auto"/>
        <w:left w:val="none" w:sz="0" w:space="0" w:color="auto"/>
        <w:bottom w:val="none" w:sz="0" w:space="0" w:color="auto"/>
        <w:right w:val="none" w:sz="0" w:space="0" w:color="auto"/>
      </w:divBdr>
    </w:div>
    <w:div w:id="795952398">
      <w:bodyDiv w:val="1"/>
      <w:marLeft w:val="0"/>
      <w:marRight w:val="0"/>
      <w:marTop w:val="0"/>
      <w:marBottom w:val="0"/>
      <w:divBdr>
        <w:top w:val="none" w:sz="0" w:space="0" w:color="auto"/>
        <w:left w:val="none" w:sz="0" w:space="0" w:color="auto"/>
        <w:bottom w:val="none" w:sz="0" w:space="0" w:color="auto"/>
        <w:right w:val="none" w:sz="0" w:space="0" w:color="auto"/>
      </w:divBdr>
    </w:div>
    <w:div w:id="19266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ato.gov.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633</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Glover, Theresa</cp:lastModifiedBy>
  <cp:revision>19</cp:revision>
  <cp:lastPrinted>2013-06-24T01:35:00Z</cp:lastPrinted>
  <dcterms:created xsi:type="dcterms:W3CDTF">2013-12-19T22:43:00Z</dcterms:created>
  <dcterms:modified xsi:type="dcterms:W3CDTF">2014-06-27T00:15:00Z</dcterms:modified>
</cp:coreProperties>
</file>