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2F" w:rsidRDefault="0088272F" w:rsidP="0088272F">
      <w:pPr>
        <w:ind w:right="26"/>
        <w:jc w:val="center"/>
        <w:rPr>
          <w:sz w:val="20"/>
        </w:rPr>
      </w:pPr>
    </w:p>
    <w:p w:rsidR="0088272F" w:rsidRDefault="0088272F" w:rsidP="0088272F">
      <w:pPr>
        <w:ind w:right="26"/>
        <w:jc w:val="center"/>
        <w:rPr>
          <w:sz w:val="20"/>
        </w:rPr>
      </w:pPr>
      <w:r>
        <w:rPr>
          <w:noProof/>
          <w:sz w:val="20"/>
          <w:lang w:eastAsia="en-AU"/>
        </w:rPr>
        <w:drawing>
          <wp:inline distT="0" distB="0" distL="0" distR="0">
            <wp:extent cx="100965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p w:rsidR="0088272F" w:rsidRDefault="0088272F" w:rsidP="0088272F">
      <w:pPr>
        <w:ind w:right="26"/>
        <w:jc w:val="center"/>
      </w:pPr>
    </w:p>
    <w:p w:rsidR="0088272F" w:rsidRDefault="0088272F" w:rsidP="0088272F">
      <w:pPr>
        <w:shd w:val="pct10" w:color="auto" w:fill="auto"/>
        <w:spacing w:line="240" w:lineRule="atLeast"/>
        <w:ind w:right="26"/>
        <w:jc w:val="center"/>
        <w:rPr>
          <w:i/>
        </w:rPr>
      </w:pPr>
      <w:r>
        <w:rPr>
          <w:b/>
        </w:rPr>
        <w:t>LANDS</w:t>
      </w:r>
      <w:r>
        <w:t xml:space="preserve"> </w:t>
      </w:r>
      <w:r>
        <w:rPr>
          <w:b/>
        </w:rPr>
        <w:t>ACQUISITION</w:t>
      </w:r>
      <w:r>
        <w:t xml:space="preserve"> </w:t>
      </w:r>
      <w:r>
        <w:rPr>
          <w:b/>
        </w:rPr>
        <w:t>ACT 1989</w:t>
      </w:r>
    </w:p>
    <w:p w:rsidR="0088272F" w:rsidRDefault="0088272F" w:rsidP="0088272F">
      <w:pPr>
        <w:shd w:val="pct10" w:color="auto" w:fill="auto"/>
        <w:spacing w:line="240" w:lineRule="atLeast"/>
        <w:ind w:right="26"/>
        <w:jc w:val="center"/>
        <w:rPr>
          <w:b/>
          <w:sz w:val="20"/>
        </w:rPr>
      </w:pPr>
      <w:r>
        <w:rPr>
          <w:b/>
        </w:rPr>
        <w:t>PRE-ACQUISITION DECLARATION</w:t>
      </w:r>
    </w:p>
    <w:p w:rsidR="0088272F" w:rsidRDefault="0088272F" w:rsidP="0088272F">
      <w:pPr>
        <w:ind w:right="566"/>
        <w:rPr>
          <w:rFonts w:ascii="Arial" w:hAnsi="Arial"/>
        </w:rPr>
      </w:pPr>
    </w:p>
    <w:p w:rsidR="0088272F" w:rsidRDefault="0088272F" w:rsidP="0088272F">
      <w:pPr>
        <w:ind w:right="566"/>
        <w:rPr>
          <w:rFonts w:ascii="Arial" w:hAnsi="Arial"/>
        </w:rPr>
      </w:pPr>
    </w:p>
    <w:p w:rsidR="0088272F" w:rsidRDefault="0088272F" w:rsidP="0088272F">
      <w:pPr>
        <w:pStyle w:val="PlainParagraph"/>
        <w:spacing w:after="120"/>
        <w:ind w:right="566"/>
        <w:rPr>
          <w:rFonts w:ascii="Helvetica" w:hAnsi="Helvetica"/>
          <w:b/>
        </w:rPr>
      </w:pPr>
      <w:r>
        <w:rPr>
          <w:rFonts w:ascii="Helvetica" w:hAnsi="Helvetica"/>
          <w:b/>
        </w:rPr>
        <w:t>1.</w:t>
      </w:r>
      <w:r>
        <w:rPr>
          <w:rFonts w:ascii="Helvetica" w:hAnsi="Helvetica"/>
          <w:b/>
        </w:rPr>
        <w:tab/>
        <w:t>Acquisition</w:t>
      </w:r>
    </w:p>
    <w:p w:rsidR="0088272F" w:rsidRDefault="0088272F" w:rsidP="0088272F">
      <w:pPr>
        <w:pStyle w:val="PlainParagraph"/>
        <w:spacing w:after="120"/>
        <w:ind w:right="566"/>
        <w:rPr>
          <w:rFonts w:ascii="Helvetica" w:hAnsi="Helvetica"/>
        </w:rPr>
      </w:pPr>
      <w:r>
        <w:rPr>
          <w:rFonts w:ascii="Helvetica" w:hAnsi="Helvetica"/>
        </w:rPr>
        <w:t>In accordance with the</w:t>
      </w:r>
      <w:r>
        <w:rPr>
          <w:rFonts w:ascii="Helvetica" w:hAnsi="Helvetica"/>
          <w:i/>
        </w:rPr>
        <w:t xml:space="preserve"> Lands Acquisition Act 1989</w:t>
      </w:r>
      <w:r>
        <w:rPr>
          <w:rFonts w:ascii="Helvetica" w:hAnsi="Helvetica"/>
        </w:rPr>
        <w:t>, I am considering the acquisition of the interests in Land specified in paragraph 3 for the public purpose described in paragraph 4.</w:t>
      </w:r>
    </w:p>
    <w:p w:rsidR="0088272F" w:rsidRDefault="0088272F" w:rsidP="0088272F">
      <w:pPr>
        <w:pStyle w:val="PlainParagraph"/>
        <w:spacing w:after="120"/>
        <w:ind w:right="566"/>
        <w:rPr>
          <w:rFonts w:ascii="Helvetica" w:hAnsi="Helvetica"/>
        </w:rPr>
      </w:pPr>
      <w:r>
        <w:rPr>
          <w:rFonts w:ascii="Helvetica" w:hAnsi="Helvetica"/>
        </w:rPr>
        <w:t>The Commonwealth of Australia is the acquiring authority.</w:t>
      </w:r>
    </w:p>
    <w:p w:rsidR="0088272F" w:rsidRDefault="0088272F" w:rsidP="0088272F">
      <w:pPr>
        <w:pStyle w:val="PlainParagraph"/>
        <w:spacing w:after="120"/>
        <w:ind w:right="566"/>
        <w:rPr>
          <w:rFonts w:ascii="Helvetica" w:hAnsi="Helvetica"/>
          <w:b/>
        </w:rPr>
      </w:pPr>
      <w:r>
        <w:rPr>
          <w:rFonts w:ascii="Helvetica" w:hAnsi="Helvetica"/>
          <w:b/>
        </w:rPr>
        <w:t>2.</w:t>
      </w:r>
      <w:r>
        <w:rPr>
          <w:rFonts w:ascii="Helvetica" w:hAnsi="Helvetica"/>
          <w:b/>
        </w:rPr>
        <w:tab/>
        <w:t>The Land</w:t>
      </w:r>
    </w:p>
    <w:p w:rsidR="0088272F" w:rsidRDefault="0088272F" w:rsidP="0088272F">
      <w:pPr>
        <w:pStyle w:val="PlainParagraph"/>
        <w:spacing w:after="120"/>
        <w:ind w:right="566"/>
        <w:rPr>
          <w:rFonts w:ascii="Helvetica" w:hAnsi="Helvetica"/>
        </w:rPr>
      </w:pPr>
      <w:r w:rsidRPr="00EC66E3">
        <w:rPr>
          <w:rFonts w:ascii="Helvetica" w:hAnsi="Helvetica"/>
        </w:rPr>
        <w:t xml:space="preserve">This declaration relates to approximately </w:t>
      </w:r>
      <w:r>
        <w:rPr>
          <w:rFonts w:ascii="Helvetica" w:hAnsi="Helvetica"/>
        </w:rPr>
        <w:t>36.422 hectares of l</w:t>
      </w:r>
      <w:r w:rsidRPr="00EC66E3">
        <w:rPr>
          <w:rFonts w:ascii="Helvetica" w:hAnsi="Helvetica"/>
        </w:rPr>
        <w:t>and</w:t>
      </w:r>
      <w:r>
        <w:rPr>
          <w:rFonts w:ascii="Helvetica" w:hAnsi="Helvetica"/>
        </w:rPr>
        <w:t xml:space="preserve">, </w:t>
      </w:r>
      <w:r w:rsidRPr="00EC66E3">
        <w:rPr>
          <w:rFonts w:ascii="Helvetica" w:hAnsi="Helvetica"/>
        </w:rPr>
        <w:t xml:space="preserve">at </w:t>
      </w:r>
      <w:r>
        <w:rPr>
          <w:rFonts w:ascii="Helvetica" w:hAnsi="Helvetica"/>
        </w:rPr>
        <w:t xml:space="preserve">Canal Creek </w:t>
      </w:r>
      <w:r w:rsidRPr="00EC66E3">
        <w:rPr>
          <w:rFonts w:ascii="Helvetica" w:hAnsi="Helvetica"/>
        </w:rPr>
        <w:t xml:space="preserve">in the County of </w:t>
      </w:r>
      <w:r>
        <w:rPr>
          <w:rFonts w:ascii="Helvetica" w:hAnsi="Helvetica"/>
        </w:rPr>
        <w:t>Liebig</w:t>
      </w:r>
      <w:r w:rsidRPr="00EC66E3">
        <w:rPr>
          <w:rFonts w:ascii="Helvetica" w:hAnsi="Helvetica"/>
        </w:rPr>
        <w:t xml:space="preserve"> and Parish of </w:t>
      </w:r>
      <w:proofErr w:type="spellStart"/>
      <w:r>
        <w:rPr>
          <w:rFonts w:ascii="Helvetica" w:hAnsi="Helvetica"/>
        </w:rPr>
        <w:t>Tilpal</w:t>
      </w:r>
      <w:proofErr w:type="spellEnd"/>
      <w:r>
        <w:rPr>
          <w:rFonts w:ascii="Helvetica" w:hAnsi="Helvetica"/>
        </w:rPr>
        <w:t xml:space="preserve"> in the State of Queensland, being Lot 1329 Crown Plan LBG4074 (“Land”).  The Land is located to the south of the intersection of Raspberry Creek Road and The Oaks Back Road at Canal Creek, Queensland.</w:t>
      </w:r>
    </w:p>
    <w:p w:rsidR="0088272F" w:rsidRPr="0016740C" w:rsidRDefault="0088272F" w:rsidP="0088272F">
      <w:pPr>
        <w:pStyle w:val="PlainParagraph"/>
        <w:spacing w:after="120"/>
        <w:ind w:right="566"/>
        <w:rPr>
          <w:rFonts w:ascii="Helvetica" w:hAnsi="Helvetica"/>
        </w:rPr>
      </w:pPr>
      <w:r>
        <w:rPr>
          <w:rFonts w:ascii="Helvetica" w:hAnsi="Helvetica"/>
        </w:rPr>
        <w:t>The location of the Land is shown shaded and labelled Lot 1329 LBG4074 in the attached Location Plan.</w:t>
      </w:r>
    </w:p>
    <w:p w:rsidR="0088272F" w:rsidRDefault="0088272F" w:rsidP="0088272F">
      <w:pPr>
        <w:pStyle w:val="PlainParagraph"/>
        <w:spacing w:after="120"/>
        <w:ind w:right="566"/>
        <w:rPr>
          <w:rFonts w:ascii="Helvetica" w:hAnsi="Helvetica"/>
          <w:b/>
        </w:rPr>
      </w:pPr>
      <w:r>
        <w:rPr>
          <w:rFonts w:ascii="Helvetica" w:hAnsi="Helvetica"/>
          <w:b/>
        </w:rPr>
        <w:t>3.</w:t>
      </w:r>
      <w:r>
        <w:rPr>
          <w:rFonts w:ascii="Helvetica" w:hAnsi="Helvetica"/>
          <w:b/>
        </w:rPr>
        <w:tab/>
        <w:t>The Interests in Land</w:t>
      </w:r>
    </w:p>
    <w:p w:rsidR="0088272F" w:rsidRPr="00EC66E3" w:rsidRDefault="0088272F" w:rsidP="0088272F">
      <w:pPr>
        <w:pStyle w:val="PlainParagraph"/>
        <w:spacing w:after="120"/>
        <w:ind w:right="566"/>
        <w:rPr>
          <w:rFonts w:ascii="Helvetica" w:hAnsi="Helvetica"/>
        </w:rPr>
      </w:pPr>
      <w:r w:rsidRPr="00EC66E3">
        <w:rPr>
          <w:rFonts w:ascii="Helvetica" w:hAnsi="Helvetica"/>
        </w:rPr>
        <w:t xml:space="preserve">This declaration relates to the </w:t>
      </w:r>
      <w:r>
        <w:rPr>
          <w:rFonts w:ascii="Helvetica" w:hAnsi="Helvetica"/>
        </w:rPr>
        <w:t>freehold interest in the Land.</w:t>
      </w:r>
    </w:p>
    <w:p w:rsidR="0088272F" w:rsidRDefault="0088272F" w:rsidP="0088272F">
      <w:pPr>
        <w:pStyle w:val="PlainParagraph"/>
        <w:spacing w:after="120"/>
        <w:ind w:right="566"/>
        <w:rPr>
          <w:rFonts w:ascii="Helvetica" w:hAnsi="Helvetica"/>
          <w:b/>
        </w:rPr>
      </w:pPr>
      <w:r>
        <w:rPr>
          <w:rFonts w:ascii="Helvetica" w:hAnsi="Helvetica"/>
          <w:b/>
        </w:rPr>
        <w:t>4.</w:t>
      </w:r>
      <w:r>
        <w:rPr>
          <w:rFonts w:ascii="Helvetica" w:hAnsi="Helvetica"/>
          <w:b/>
        </w:rPr>
        <w:tab/>
        <w:t>Public Purpose</w:t>
      </w:r>
    </w:p>
    <w:p w:rsidR="0088272F" w:rsidRDefault="0088272F" w:rsidP="0088272F">
      <w:pPr>
        <w:pStyle w:val="PlainParagraph"/>
        <w:spacing w:after="120"/>
        <w:ind w:right="566"/>
        <w:rPr>
          <w:rFonts w:ascii="Helvetica" w:hAnsi="Helvetica"/>
        </w:rPr>
      </w:pPr>
      <w:r>
        <w:rPr>
          <w:rFonts w:ascii="Helvetica" w:hAnsi="Helvetica"/>
        </w:rPr>
        <w:t>The public purpose of the acquisition is defence.</w:t>
      </w:r>
    </w:p>
    <w:p w:rsidR="0088272F" w:rsidRDefault="0088272F" w:rsidP="0088272F">
      <w:pPr>
        <w:pStyle w:val="PlainParagraph"/>
        <w:spacing w:after="120"/>
        <w:ind w:right="566"/>
        <w:rPr>
          <w:rFonts w:ascii="Helvetica" w:hAnsi="Helvetica"/>
          <w:b/>
        </w:rPr>
      </w:pPr>
      <w:r>
        <w:rPr>
          <w:rFonts w:ascii="Helvetica" w:hAnsi="Helvetica"/>
          <w:b/>
        </w:rPr>
        <w:t>5.</w:t>
      </w:r>
      <w:r>
        <w:rPr>
          <w:rFonts w:ascii="Helvetica" w:hAnsi="Helvetica"/>
          <w:b/>
        </w:rPr>
        <w:tab/>
        <w:t>Suitability for use for a public purpose</w:t>
      </w:r>
    </w:p>
    <w:p w:rsidR="0088272F" w:rsidRDefault="0088272F" w:rsidP="0088272F">
      <w:pPr>
        <w:pStyle w:val="PlainParagraph"/>
        <w:spacing w:after="120"/>
        <w:ind w:right="566"/>
        <w:rPr>
          <w:rFonts w:ascii="Helvetica" w:hAnsi="Helvetica"/>
        </w:rPr>
      </w:pPr>
      <w:r>
        <w:rPr>
          <w:rFonts w:ascii="Helvetica" w:hAnsi="Helvetica"/>
        </w:rPr>
        <w:t>The Land appears to be suitable for use by the Commonwealth of Australia for the public purpose described in paragraph 4.</w:t>
      </w:r>
    </w:p>
    <w:p w:rsidR="0088272F" w:rsidRDefault="0088272F" w:rsidP="0088272F">
      <w:pPr>
        <w:pStyle w:val="PlainParagraph"/>
        <w:spacing w:after="120"/>
        <w:ind w:right="566"/>
        <w:rPr>
          <w:rFonts w:ascii="Helvetica" w:hAnsi="Helvetica"/>
          <w:b/>
        </w:rPr>
      </w:pPr>
      <w:r>
        <w:rPr>
          <w:rFonts w:ascii="Helvetica" w:hAnsi="Helvetica"/>
          <w:b/>
        </w:rPr>
        <w:t>6.</w:t>
      </w:r>
      <w:r>
        <w:rPr>
          <w:rFonts w:ascii="Helvetica" w:hAnsi="Helvetica"/>
          <w:b/>
        </w:rPr>
        <w:tab/>
        <w:t>Particulars of Proposed Use</w:t>
      </w:r>
    </w:p>
    <w:p w:rsidR="0088272F" w:rsidRDefault="0088272F" w:rsidP="0088272F">
      <w:pPr>
        <w:pStyle w:val="PlainParagraph"/>
        <w:spacing w:after="120"/>
        <w:ind w:right="566"/>
        <w:rPr>
          <w:rFonts w:ascii="Helvetica" w:hAnsi="Helvetica"/>
        </w:rPr>
      </w:pPr>
      <w:r>
        <w:rPr>
          <w:rFonts w:ascii="Helvetica" w:hAnsi="Helvetica"/>
        </w:rPr>
        <w:t>The Land is to be used by the Department of Defence (Army) in relation to the operations of the Shoalwater Bay Training Area.</w:t>
      </w:r>
    </w:p>
    <w:p w:rsidR="0088272F" w:rsidRDefault="0088272F" w:rsidP="0088272F">
      <w:pPr>
        <w:pStyle w:val="PlainParagraph"/>
        <w:spacing w:after="120"/>
        <w:ind w:right="566"/>
        <w:rPr>
          <w:rFonts w:ascii="Helvetica" w:hAnsi="Helvetica"/>
        </w:rPr>
      </w:pPr>
    </w:p>
    <w:p w:rsidR="0088272F" w:rsidRDefault="0088272F" w:rsidP="0088272F">
      <w:pPr>
        <w:pStyle w:val="PlainParagraph"/>
        <w:spacing w:after="120"/>
        <w:ind w:right="566"/>
        <w:rPr>
          <w:rFonts w:ascii="Helvetica" w:hAnsi="Helvetica"/>
        </w:rPr>
      </w:pPr>
    </w:p>
    <w:p w:rsidR="0088272F" w:rsidRDefault="0088272F" w:rsidP="0088272F">
      <w:pPr>
        <w:pStyle w:val="PlainParagraph"/>
        <w:spacing w:after="120"/>
        <w:ind w:right="566"/>
        <w:rPr>
          <w:rFonts w:ascii="Helvetica" w:hAnsi="Helvetica"/>
        </w:rPr>
      </w:pPr>
    </w:p>
    <w:p w:rsidR="0088272F" w:rsidRDefault="0088272F" w:rsidP="0088272F">
      <w:pPr>
        <w:pStyle w:val="PlainParagraph"/>
        <w:spacing w:after="120"/>
        <w:ind w:right="566"/>
        <w:rPr>
          <w:rFonts w:ascii="Helvetica" w:hAnsi="Helvetica"/>
        </w:rPr>
      </w:pPr>
    </w:p>
    <w:p w:rsidR="0088272F" w:rsidRDefault="0088272F" w:rsidP="0088272F">
      <w:pPr>
        <w:pStyle w:val="PlainParagraph"/>
        <w:spacing w:after="120"/>
        <w:ind w:left="720" w:right="566" w:hanging="720"/>
        <w:rPr>
          <w:rFonts w:ascii="Helvetica" w:hAnsi="Helvetica"/>
          <w:b/>
        </w:rPr>
      </w:pPr>
      <w:r>
        <w:rPr>
          <w:rFonts w:ascii="Helvetica" w:hAnsi="Helvetica"/>
          <w:b/>
        </w:rPr>
        <w:lastRenderedPageBreak/>
        <w:t>7.</w:t>
      </w:r>
      <w:r>
        <w:rPr>
          <w:rFonts w:ascii="Helvetica" w:hAnsi="Helvetica"/>
          <w:b/>
        </w:rPr>
        <w:tab/>
        <w:t>Reasons why the Land appears to be Suitable for the        Proposed Use</w:t>
      </w:r>
    </w:p>
    <w:p w:rsidR="0088272F" w:rsidRPr="00861A8E" w:rsidRDefault="0088272F" w:rsidP="0088272F">
      <w:pPr>
        <w:pStyle w:val="PlainParagraph"/>
        <w:spacing w:after="120"/>
        <w:ind w:right="566"/>
        <w:rPr>
          <w:rFonts w:ascii="Helvetica" w:hAnsi="Helvetica"/>
        </w:rPr>
      </w:pPr>
      <w:r>
        <w:rPr>
          <w:rFonts w:ascii="Helvetica" w:hAnsi="Helvetica"/>
        </w:rPr>
        <w:t>The reason why the Land appears to be suitable for the use described in paragraph 6 is that it is adjacent to the Shoalwater Bay Training Area, and the acquisition of the Land will enable the expansion of the training area enhancing the overall capability of the training area.</w:t>
      </w:r>
    </w:p>
    <w:p w:rsidR="0088272F" w:rsidRPr="009860CB" w:rsidRDefault="0088272F" w:rsidP="0088272F">
      <w:pPr>
        <w:pStyle w:val="PlainParagraph"/>
        <w:spacing w:after="120"/>
        <w:ind w:right="566"/>
        <w:rPr>
          <w:sz w:val="20"/>
          <w:szCs w:val="20"/>
        </w:rPr>
      </w:pPr>
    </w:p>
    <w:p w:rsidR="0088272F" w:rsidRDefault="0088272F" w:rsidP="0088272F">
      <w:pPr>
        <w:pStyle w:val="PlainParagraph"/>
        <w:spacing w:after="120"/>
        <w:ind w:right="566"/>
        <w:rPr>
          <w:rFonts w:ascii="Helvetica" w:hAnsi="Helvetica"/>
        </w:rPr>
      </w:pPr>
      <w:r>
        <w:rPr>
          <w:rFonts w:ascii="Helvetica" w:hAnsi="Helvetica"/>
        </w:rPr>
        <w:t>DATED this</w:t>
      </w:r>
      <w:r>
        <w:rPr>
          <w:rFonts w:ascii="Helvetica" w:hAnsi="Helvetica"/>
        </w:rPr>
        <w:tab/>
        <w:t>20th</w:t>
      </w:r>
      <w:r>
        <w:rPr>
          <w:rFonts w:ascii="Helvetica" w:hAnsi="Helvetica"/>
        </w:rPr>
        <w:tab/>
      </w:r>
      <w:r>
        <w:rPr>
          <w:rFonts w:ascii="Helvetica" w:hAnsi="Helvetica"/>
        </w:rPr>
        <w:tab/>
        <w:t>day of</w:t>
      </w:r>
      <w:r>
        <w:rPr>
          <w:rFonts w:ascii="Helvetica" w:hAnsi="Helvetica"/>
        </w:rPr>
        <w:tab/>
      </w:r>
      <w:r>
        <w:rPr>
          <w:rFonts w:ascii="Helvetica" w:hAnsi="Helvetica"/>
        </w:rPr>
        <w:tab/>
        <w:t>March</w:t>
      </w:r>
      <w:r>
        <w:rPr>
          <w:rFonts w:ascii="Helvetica" w:hAnsi="Helvetica"/>
        </w:rPr>
        <w:tab/>
      </w:r>
      <w:r>
        <w:rPr>
          <w:rFonts w:ascii="Helvetica" w:hAnsi="Helvetica"/>
        </w:rPr>
        <w:tab/>
        <w:t>2014.</w:t>
      </w:r>
    </w:p>
    <w:p w:rsidR="0088272F" w:rsidRDefault="0088272F" w:rsidP="0088272F"/>
    <w:p w:rsidR="0088272F" w:rsidRPr="00C50B8A" w:rsidRDefault="0088272F" w:rsidP="0088272F">
      <w:pPr>
        <w:pStyle w:val="PlainParagraph"/>
        <w:spacing w:after="120"/>
        <w:ind w:right="566"/>
        <w:rPr>
          <w:rFonts w:ascii="Helvetica" w:hAnsi="Helvetica"/>
        </w:rPr>
      </w:pPr>
      <w:r w:rsidRPr="00C50B8A">
        <w:rPr>
          <w:rFonts w:ascii="Helvetica" w:hAnsi="Helvetica"/>
        </w:rPr>
        <w:t xml:space="preserve">Signed by </w:t>
      </w:r>
      <w:r>
        <w:rPr>
          <w:rFonts w:ascii="Helvetica" w:hAnsi="Helvetica"/>
        </w:rPr>
        <w:t>Guy Verney delegate of the Minister for Finance</w:t>
      </w:r>
    </w:p>
    <w:p w:rsidR="0088272F" w:rsidRDefault="0088272F" w:rsidP="0088272F">
      <w:pPr>
        <w:pStyle w:val="PlainParagraph"/>
        <w:spacing w:after="120"/>
        <w:ind w:right="566"/>
        <w:rPr>
          <w:rFonts w:ascii="Helvetica" w:hAnsi="Helvetica"/>
        </w:rPr>
      </w:pPr>
      <w:r>
        <w:rPr>
          <w:rFonts w:ascii="Helvetica" w:hAnsi="Helvetica"/>
        </w:rPr>
        <w:t>……………………………………………………</w:t>
      </w:r>
    </w:p>
    <w:p w:rsidR="0088272F" w:rsidRDefault="0088272F" w:rsidP="0088272F">
      <w:pPr>
        <w:pStyle w:val="PlainParagraph"/>
        <w:spacing w:before="0" w:after="0" w:line="240" w:lineRule="auto"/>
        <w:ind w:right="566"/>
        <w:rPr>
          <w:rFonts w:ascii="Helvetica" w:hAnsi="Helvetica"/>
        </w:rPr>
      </w:pPr>
      <w:r>
        <w:rPr>
          <w:rFonts w:ascii="Helvetica" w:hAnsi="Helvetica"/>
        </w:rPr>
        <w:t>Guy Verney</w:t>
      </w:r>
    </w:p>
    <w:p w:rsidR="0088272F" w:rsidRDefault="0088272F" w:rsidP="0088272F">
      <w:pPr>
        <w:pStyle w:val="PlainParagraph"/>
        <w:spacing w:before="0" w:after="0" w:line="240" w:lineRule="auto"/>
        <w:ind w:right="566"/>
        <w:rPr>
          <w:rFonts w:ascii="Helvetica" w:hAnsi="Helvetica"/>
        </w:rPr>
      </w:pPr>
      <w:r>
        <w:rPr>
          <w:rFonts w:ascii="Helvetica" w:hAnsi="Helvetica"/>
        </w:rPr>
        <w:t>Delegate of the Minister for Finance</w:t>
      </w:r>
    </w:p>
    <w:p w:rsidR="0088272F" w:rsidRDefault="0088272F" w:rsidP="0088272F">
      <w:pPr>
        <w:pStyle w:val="PlainParagraph"/>
        <w:spacing w:before="0" w:after="0" w:line="240" w:lineRule="auto"/>
        <w:ind w:right="566"/>
        <w:rPr>
          <w:rFonts w:ascii="Helvetica" w:hAnsi="Helvetica"/>
        </w:rPr>
      </w:pPr>
      <w:r>
        <w:rPr>
          <w:rFonts w:ascii="Helvetica" w:hAnsi="Helvetica"/>
        </w:rPr>
        <w:t>Assistant Secretary</w:t>
      </w:r>
    </w:p>
    <w:p w:rsidR="0088272F" w:rsidRPr="00463A25" w:rsidRDefault="0088272F" w:rsidP="0088272F">
      <w:pPr>
        <w:pStyle w:val="PlainParagraph"/>
        <w:spacing w:before="0" w:after="0" w:line="240" w:lineRule="auto"/>
        <w:ind w:right="566"/>
        <w:rPr>
          <w:rFonts w:ascii="Helvetica" w:hAnsi="Helvetica"/>
        </w:rPr>
      </w:pPr>
      <w:r w:rsidRPr="00463A25">
        <w:rPr>
          <w:rFonts w:ascii="Helvetica" w:hAnsi="Helvetica"/>
        </w:rPr>
        <w:t>Property Policy and Advice Branch</w:t>
      </w:r>
    </w:p>
    <w:p w:rsidR="0088272F" w:rsidRPr="00ED5CC9" w:rsidRDefault="0088272F" w:rsidP="0088272F">
      <w:pPr>
        <w:pStyle w:val="PlainParagraph"/>
        <w:spacing w:before="0" w:after="0" w:line="240" w:lineRule="auto"/>
        <w:ind w:right="566"/>
        <w:rPr>
          <w:rFonts w:ascii="Helvetica" w:hAnsi="Helvetica"/>
        </w:rPr>
      </w:pPr>
      <w:r>
        <w:rPr>
          <w:rFonts w:ascii="Helvetica" w:hAnsi="Helvetica"/>
        </w:rPr>
        <w:t>Department of Finance</w:t>
      </w:r>
    </w:p>
    <w:p w:rsidR="0088272F" w:rsidRDefault="0088272F" w:rsidP="0088272F">
      <w:pPr>
        <w:pStyle w:val="PlainParagraph"/>
        <w:tabs>
          <w:tab w:val="left" w:pos="8640"/>
        </w:tabs>
        <w:spacing w:before="0" w:after="0" w:line="240" w:lineRule="auto"/>
        <w:ind w:right="566"/>
        <w:jc w:val="center"/>
        <w:rPr>
          <w:rFonts w:ascii="Helvetica" w:hAnsi="Helvetica"/>
          <w:b/>
        </w:rPr>
      </w:pPr>
    </w:p>
    <w:p w:rsidR="0088272F" w:rsidRDefault="0088272F" w:rsidP="0088272F">
      <w:pPr>
        <w:pStyle w:val="PlainParagraph"/>
        <w:spacing w:after="120" w:line="240" w:lineRule="auto"/>
        <w:ind w:right="566"/>
        <w:rPr>
          <w:rFonts w:ascii="Helvetica" w:hAnsi="Helvetica"/>
          <w:b/>
        </w:rPr>
      </w:pPr>
      <w:r>
        <w:rPr>
          <w:rFonts w:ascii="Helvetica" w:hAnsi="Helvetica"/>
          <w:b/>
        </w:rPr>
        <w:t>Note:  This Pre-Acquisition Declaration signifies that the Commonwealth is considering acquisition of the interest in Land specified in paragraph 3.   It does NOT mean that the interests in Land have been acquired.</w:t>
      </w:r>
    </w:p>
    <w:p w:rsidR="0088272F" w:rsidRPr="00C23391" w:rsidRDefault="0088272F" w:rsidP="0088272F">
      <w:r>
        <w:br w:type="page"/>
      </w:r>
      <w:bookmarkStart w:id="0" w:name="_GoBack"/>
      <w:r>
        <w:rPr>
          <w:noProof/>
          <w:lang w:eastAsia="en-AU"/>
        </w:rPr>
        <w:lastRenderedPageBreak/>
        <w:drawing>
          <wp:inline distT="0" distB="0" distL="0" distR="0">
            <wp:extent cx="5267325" cy="7448550"/>
            <wp:effectExtent l="0" t="0" r="9525" b="0"/>
            <wp:docPr id="2" name="Picture 2" descr="This plan relates to the location of the property at Canal Creek, Queensland, that is the subject of this pre-acqusition dec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plan relates to the location of the property at Canal Creek, Queensland, that is the subject of this pre-acqusition decla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7448550"/>
                    </a:xfrm>
                    <a:prstGeom prst="rect">
                      <a:avLst/>
                    </a:prstGeom>
                    <a:noFill/>
                    <a:ln>
                      <a:noFill/>
                    </a:ln>
                  </pic:spPr>
                </pic:pic>
              </a:graphicData>
            </a:graphic>
          </wp:inline>
        </w:drawing>
      </w:r>
      <w:bookmarkEnd w:id="0"/>
    </w:p>
    <w:p w:rsidR="004B2753" w:rsidRPr="00424B97" w:rsidRDefault="004B2753" w:rsidP="00424B97"/>
    <w:sectPr w:rsidR="004B2753" w:rsidRPr="00424B97"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7839A9"/>
    <w:rsid w:val="00840A06"/>
    <w:rsid w:val="008439B7"/>
    <w:rsid w:val="0087253F"/>
    <w:rsid w:val="0088272F"/>
    <w:rsid w:val="008E4F6C"/>
    <w:rsid w:val="009539C7"/>
    <w:rsid w:val="009A6CF5"/>
    <w:rsid w:val="00A00F21"/>
    <w:rsid w:val="00B84226"/>
    <w:rsid w:val="00C63C4E"/>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PlainParagraph">
    <w:name w:val="Plain Paragraph"/>
    <w:basedOn w:val="Normal"/>
    <w:rsid w:val="0088272F"/>
    <w:pPr>
      <w:spacing w:before="140" w:after="140" w:line="280" w:lineRule="atLeast"/>
    </w:pPr>
    <w:rPr>
      <w:rFonts w:ascii="Arial" w:eastAsia="Times New Roman" w:hAnsi="Arial" w:cs="Arial"/>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PlainParagraph">
    <w:name w:val="Plain Paragraph"/>
    <w:basedOn w:val="Normal"/>
    <w:rsid w:val="0088272F"/>
    <w:pPr>
      <w:spacing w:before="140" w:after="140" w:line="280" w:lineRule="atLeast"/>
    </w:pPr>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752B-7011-4A4C-8A2F-E4F7AC81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307</Words>
  <Characters>1751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van Meurs, Tina</cp:lastModifiedBy>
  <cp:revision>2</cp:revision>
  <cp:lastPrinted>2013-06-24T01:35:00Z</cp:lastPrinted>
  <dcterms:created xsi:type="dcterms:W3CDTF">2014-03-24T02:08:00Z</dcterms:created>
  <dcterms:modified xsi:type="dcterms:W3CDTF">2014-03-24T02:08:00Z</dcterms:modified>
</cp:coreProperties>
</file>