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8"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2C4F3F">
        <w:tc>
          <w:tcPr>
            <w:tcW w:w="1134"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E2AB0" w:rsidRPr="0059089C" w:rsidTr="000E2AB0">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2013/7103*</w:t>
            </w:r>
          </w:p>
        </w:tc>
        <w:tc>
          <w:tcPr>
            <w:tcW w:w="7513"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Gold Coast City Council/Natural resources management/Beaches between Currumbin Creek to Main Beach, City of Gold Coast/QLD/Gold Coast Coastal Protection Three Point Plan, QLD</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24/01/2014</w:t>
            </w:r>
          </w:p>
        </w:tc>
      </w:tr>
      <w:tr w:rsidR="000E2AB0" w:rsidRPr="0059089C" w:rsidTr="000E2AB0">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2013/7106</w:t>
            </w:r>
          </w:p>
        </w:tc>
        <w:tc>
          <w:tcPr>
            <w:tcW w:w="7513"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The Department of Transport and Main Roads/Transport - land/Brisbane/QLD/Underground Bus and Train Project, Brisbane</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29/01/2014</w:t>
            </w:r>
          </w:p>
        </w:tc>
      </w:tr>
    </w:tbl>
    <w:p w:rsidR="002C4F3F" w:rsidRPr="0059089C" w:rsidRDefault="002C4F3F" w:rsidP="003B66E6">
      <w:pPr>
        <w:spacing w:after="0"/>
        <w:rPr>
          <w:sz w:val="16"/>
          <w:szCs w:val="16"/>
        </w:rPr>
      </w:pPr>
      <w:r w:rsidRPr="0059089C">
        <w:rPr>
          <w:sz w:val="16"/>
          <w:szCs w:val="16"/>
        </w:rPr>
        <w:t>* Actions which are not controlled actions provided they are undertaken in a particular manner. Further information on provision and manner specified is available from www.environment.gov.au/epbc/notices</w:t>
      </w:r>
    </w:p>
    <w:p w:rsidR="002C4F3F" w:rsidRDefault="002C4F3F" w:rsidP="003B66E6">
      <w:pPr>
        <w:spacing w:after="0"/>
        <w:rPr>
          <w:caps/>
        </w:rPr>
      </w:pPr>
    </w:p>
    <w:p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tblPr>
      <w:tblGrid>
        <w:gridCol w:w="1134"/>
        <w:gridCol w:w="5387"/>
        <w:gridCol w:w="2126"/>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E2AB0" w:rsidRPr="0059089C" w:rsidTr="000E2AB0">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2013/7042</w:t>
            </w:r>
          </w:p>
        </w:tc>
        <w:tc>
          <w:tcPr>
            <w:tcW w:w="5387"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Main Roads Western Australia/Transport - land/</w:t>
            </w:r>
            <w:proofErr w:type="spellStart"/>
            <w:r>
              <w:rPr>
                <w:rFonts w:ascii="Calibri" w:hAnsi="Calibri" w:cs="Arial"/>
                <w:color w:val="000000"/>
                <w:sz w:val="16"/>
                <w:szCs w:val="16"/>
              </w:rPr>
              <w:t>Btwn</w:t>
            </w:r>
            <w:proofErr w:type="spellEnd"/>
            <w:r>
              <w:rPr>
                <w:rFonts w:ascii="Calibri" w:hAnsi="Calibri" w:cs="Arial"/>
                <w:color w:val="000000"/>
                <w:sz w:val="16"/>
                <w:szCs w:val="16"/>
              </w:rPr>
              <w:t xml:space="preserve"> Tonkin </w:t>
            </w:r>
            <w:proofErr w:type="spellStart"/>
            <w:r>
              <w:rPr>
                <w:rFonts w:ascii="Calibri" w:hAnsi="Calibri" w:cs="Arial"/>
                <w:color w:val="000000"/>
                <w:sz w:val="16"/>
                <w:szCs w:val="16"/>
              </w:rPr>
              <w:t>Hway</w:t>
            </w:r>
            <w:proofErr w:type="spellEnd"/>
            <w:r>
              <w:rPr>
                <w:rFonts w:ascii="Calibri" w:hAnsi="Calibri" w:cs="Arial"/>
                <w:color w:val="000000"/>
                <w:sz w:val="16"/>
                <w:szCs w:val="16"/>
              </w:rPr>
              <w:t xml:space="preserve"> &amp; Reid </w:t>
            </w:r>
            <w:proofErr w:type="spellStart"/>
            <w:r>
              <w:rPr>
                <w:rFonts w:ascii="Calibri" w:hAnsi="Calibri" w:cs="Arial"/>
                <w:color w:val="000000"/>
                <w:sz w:val="16"/>
                <w:szCs w:val="16"/>
              </w:rPr>
              <w:t>Hway</w:t>
            </w:r>
            <w:proofErr w:type="spellEnd"/>
            <w:r>
              <w:rPr>
                <w:rFonts w:ascii="Calibri" w:hAnsi="Calibri" w:cs="Arial"/>
                <w:color w:val="000000"/>
                <w:sz w:val="16"/>
                <w:szCs w:val="16"/>
              </w:rPr>
              <w:t xml:space="preserve"> junction to Muchea/WA/Perth-Darwin National Highway alignment (Swan Valley Section), WA</w:t>
            </w:r>
          </w:p>
        </w:tc>
        <w:tc>
          <w:tcPr>
            <w:tcW w:w="2126"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Public Environment Report</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21/01/2014</w:t>
            </w:r>
          </w:p>
        </w:tc>
      </w:tr>
    </w:tbl>
    <w:p w:rsidR="00841C3C" w:rsidRPr="002C4F3F" w:rsidRDefault="00841C3C" w:rsidP="003B66E6">
      <w:pPr>
        <w:spacing w:after="0"/>
        <w:rPr>
          <w:szCs w:val="16"/>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529"/>
        <w:gridCol w:w="1984"/>
        <w:gridCol w:w="992"/>
      </w:tblGrid>
      <w:tr w:rsidR="008B3EB7" w:rsidRPr="0059089C" w:rsidTr="00A714AE">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529"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198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E2AB0" w:rsidRPr="0059089C" w:rsidTr="00A714AE">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2010/5757</w:t>
            </w:r>
          </w:p>
        </w:tc>
        <w:tc>
          <w:tcPr>
            <w:tcW w:w="5529"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Boral Construction Materials/Mining/Western side of Pacific Motorway, 5km from Burleigh/QLD/Extraction and processing of hard rock at Gold Coast Quarry</w:t>
            </w:r>
          </w:p>
        </w:tc>
        <w:tc>
          <w:tcPr>
            <w:tcW w:w="198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Approved with conditions</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23/01/2014</w:t>
            </w:r>
          </w:p>
        </w:tc>
      </w:tr>
      <w:tr w:rsidR="000E2AB0" w:rsidRPr="0059089C" w:rsidTr="00A714AE">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2012/6518</w:t>
            </w:r>
          </w:p>
        </w:tc>
        <w:tc>
          <w:tcPr>
            <w:tcW w:w="5529"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NSW Roads and Maritime Services/Transport - land/West of Port Macquarie/NSW/Oxley Highway to Kempsey Pacific Highway Upgrade, NSW</w:t>
            </w:r>
          </w:p>
        </w:tc>
        <w:tc>
          <w:tcPr>
            <w:tcW w:w="198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Approved with conditions</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24/01/2014</w:t>
            </w:r>
          </w:p>
        </w:tc>
      </w:tr>
    </w:tbl>
    <w:p w:rsidR="008B3EB7" w:rsidRPr="002C4F3F" w:rsidRDefault="008B3EB7" w:rsidP="003B66E6">
      <w:pPr>
        <w:spacing w:after="0"/>
        <w:rPr>
          <w:szCs w:val="16"/>
        </w:rPr>
      </w:pPr>
    </w:p>
    <w:p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proofErr w:type="gramStart"/>
      <w:r w:rsidRPr="0059089C">
        <w:t>s</w:t>
      </w:r>
      <w:r w:rsidRPr="0059089C">
        <w:rPr>
          <w:caps/>
        </w:rPr>
        <w:t>.130(</w:t>
      </w:r>
      <w:proofErr w:type="gramEnd"/>
      <w:r w:rsidRPr="0059089C">
        <w:rPr>
          <w:caps/>
        </w:rPr>
        <w:t>4))</w:t>
      </w:r>
    </w:p>
    <w:tbl>
      <w:tblPr>
        <w:tblStyle w:val="TableGrid"/>
        <w:tblW w:w="9639" w:type="dxa"/>
        <w:tblInd w:w="108" w:type="dxa"/>
        <w:tblLayout w:type="fixed"/>
        <w:tblLook w:val="01E0"/>
      </w:tblPr>
      <w:tblGrid>
        <w:gridCol w:w="1134"/>
        <w:gridCol w:w="5954"/>
        <w:gridCol w:w="1559"/>
        <w:gridCol w:w="992"/>
      </w:tblGrid>
      <w:tr w:rsidR="008B3EB7" w:rsidRPr="0059089C" w:rsidTr="00963825">
        <w:tc>
          <w:tcPr>
            <w:tcW w:w="113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rsidR="008B3EB7" w:rsidRPr="0059089C" w:rsidRDefault="008B3EB7" w:rsidP="007E7B86">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7E7B86">
              <w:rPr>
                <w:rFonts w:asciiTheme="minorHAnsi" w:hAnsiTheme="minorHAnsi"/>
                <w:b/>
                <w:sz w:val="16"/>
                <w:szCs w:val="16"/>
              </w:rPr>
              <w:t>to</w:t>
            </w:r>
          </w:p>
        </w:tc>
        <w:tc>
          <w:tcPr>
            <w:tcW w:w="992" w:type="dxa"/>
          </w:tcPr>
          <w:p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0E2AB0" w:rsidRPr="0059089C" w:rsidTr="000E2AB0">
        <w:tc>
          <w:tcPr>
            <w:tcW w:w="113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2007/3220</w:t>
            </w:r>
          </w:p>
        </w:tc>
        <w:tc>
          <w:tcPr>
            <w:tcW w:w="5954"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Hunter-Central Rivers Catchment Management Authority/Natural resources management/Ash Island, Newcastle/NSW/Kooragang Wetland Rehabilitation Project</w:t>
            </w:r>
          </w:p>
        </w:tc>
        <w:tc>
          <w:tcPr>
            <w:tcW w:w="1559" w:type="dxa"/>
          </w:tcPr>
          <w:p w:rsidR="000E2AB0" w:rsidRDefault="007E7B86" w:rsidP="000E2AB0">
            <w:pPr>
              <w:rPr>
                <w:rFonts w:ascii="Calibri" w:hAnsi="Calibri" w:cs="Arial"/>
                <w:color w:val="000000"/>
                <w:sz w:val="16"/>
                <w:szCs w:val="16"/>
              </w:rPr>
            </w:pPr>
            <w:r>
              <w:rPr>
                <w:rFonts w:ascii="Calibri" w:hAnsi="Calibri" w:cs="Arial"/>
                <w:color w:val="000000"/>
                <w:sz w:val="16"/>
                <w:szCs w:val="16"/>
              </w:rPr>
              <w:t>22/02/2014</w:t>
            </w:r>
          </w:p>
        </w:tc>
        <w:tc>
          <w:tcPr>
            <w:tcW w:w="992" w:type="dxa"/>
          </w:tcPr>
          <w:p w:rsidR="000E2AB0" w:rsidRDefault="000E2AB0" w:rsidP="000E2AB0">
            <w:pPr>
              <w:rPr>
                <w:rFonts w:ascii="Calibri" w:hAnsi="Calibri" w:cs="Arial"/>
                <w:color w:val="000000"/>
                <w:sz w:val="16"/>
                <w:szCs w:val="16"/>
              </w:rPr>
            </w:pPr>
            <w:r>
              <w:rPr>
                <w:rFonts w:ascii="Calibri" w:hAnsi="Calibri" w:cs="Arial"/>
                <w:color w:val="000000"/>
                <w:sz w:val="16"/>
                <w:szCs w:val="16"/>
              </w:rPr>
              <w:t>28/01/2014</w:t>
            </w:r>
          </w:p>
        </w:tc>
      </w:tr>
    </w:tbl>
    <w:p w:rsidR="004021AD" w:rsidRDefault="004021AD" w:rsidP="003B66E6">
      <w:pPr>
        <w:spacing w:after="0"/>
        <w:rPr>
          <w:caps/>
        </w:rPr>
      </w:pPr>
    </w:p>
    <w:p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4AE" w:rsidRDefault="00A714AE" w:rsidP="003A707F">
      <w:pPr>
        <w:spacing w:after="0" w:line="240" w:lineRule="auto"/>
      </w:pPr>
      <w:r>
        <w:separator/>
      </w:r>
    </w:p>
  </w:endnote>
  <w:endnote w:type="continuationSeparator" w:id="0">
    <w:p w:rsidR="00A714AE" w:rsidRDefault="00A714AE"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4AE" w:rsidRDefault="00A714AE" w:rsidP="003A707F">
      <w:pPr>
        <w:spacing w:after="0" w:line="240" w:lineRule="auto"/>
      </w:pPr>
      <w:r>
        <w:separator/>
      </w:r>
    </w:p>
  </w:footnote>
  <w:footnote w:type="continuationSeparator" w:id="0">
    <w:p w:rsidR="00A714AE" w:rsidRDefault="00A714AE"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A714AE"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A714AE" w:rsidRPr="00CE796A" w:rsidRDefault="00A714AE"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A714AE" w:rsidRPr="00CE796A" w:rsidRDefault="00A714AE"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A714AE" w:rsidRPr="00CE796A" w:rsidRDefault="00A714AE"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A714AE"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A714AE" w:rsidRPr="00CE796A" w:rsidRDefault="00A714AE"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A714AE" w:rsidRPr="00840A06" w:rsidRDefault="00A714AE"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A714AE" w:rsidRPr="003A707F" w:rsidRDefault="00A714AE" w:rsidP="00F40885">
    <w:pPr>
      <w:pStyle w:val="Header"/>
      <w:rPr>
        <w:sz w:val="2"/>
        <w:szCs w:val="2"/>
      </w:rPr>
    </w:pPr>
  </w:p>
  <w:p w:rsidR="00A714AE" w:rsidRPr="00F40885" w:rsidRDefault="00A714AE">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B658F3B8"/>
    <w:lvl w:ilvl="0" w:tplc="7436B764">
      <w:numFmt w:val="bullet"/>
      <w:lvlText w:val=""/>
      <w:lvlJc w:val="left"/>
      <w:pPr>
        <w:ind w:left="720" w:hanging="360"/>
      </w:pPr>
      <w:rPr>
        <w:rFonts w:ascii="Symbol" w:eastAsia="Times New Roman" w:hAnsi="Symbo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rsids>
    <w:rsidRoot w:val="008E4F6C"/>
    <w:rsid w:val="00034184"/>
    <w:rsid w:val="000A2BDB"/>
    <w:rsid w:val="000E1F2B"/>
    <w:rsid w:val="000E2AB0"/>
    <w:rsid w:val="001C2AAD"/>
    <w:rsid w:val="001E3481"/>
    <w:rsid w:val="001F526E"/>
    <w:rsid w:val="001F6E54"/>
    <w:rsid w:val="00280BCD"/>
    <w:rsid w:val="002C4F3F"/>
    <w:rsid w:val="002E5F1D"/>
    <w:rsid w:val="003117F9"/>
    <w:rsid w:val="00365117"/>
    <w:rsid w:val="003A707F"/>
    <w:rsid w:val="003B0EC1"/>
    <w:rsid w:val="003B573B"/>
    <w:rsid w:val="003B66E6"/>
    <w:rsid w:val="003F2CBD"/>
    <w:rsid w:val="004021AD"/>
    <w:rsid w:val="00424B97"/>
    <w:rsid w:val="00445473"/>
    <w:rsid w:val="004B2753"/>
    <w:rsid w:val="00520873"/>
    <w:rsid w:val="00566CA3"/>
    <w:rsid w:val="00573D44"/>
    <w:rsid w:val="00656A10"/>
    <w:rsid w:val="0067768F"/>
    <w:rsid w:val="00750E26"/>
    <w:rsid w:val="007A63E4"/>
    <w:rsid w:val="007E7B86"/>
    <w:rsid w:val="00840A06"/>
    <w:rsid w:val="00841C3C"/>
    <w:rsid w:val="008439B7"/>
    <w:rsid w:val="0087253F"/>
    <w:rsid w:val="008B3EB7"/>
    <w:rsid w:val="008D596A"/>
    <w:rsid w:val="008E4F6C"/>
    <w:rsid w:val="00925A2C"/>
    <w:rsid w:val="009539C7"/>
    <w:rsid w:val="00963825"/>
    <w:rsid w:val="009C4E63"/>
    <w:rsid w:val="00A00F21"/>
    <w:rsid w:val="00A162B8"/>
    <w:rsid w:val="00A17F8A"/>
    <w:rsid w:val="00A53659"/>
    <w:rsid w:val="00A714AE"/>
    <w:rsid w:val="00AA5128"/>
    <w:rsid w:val="00AA5F14"/>
    <w:rsid w:val="00B466DD"/>
    <w:rsid w:val="00B610AC"/>
    <w:rsid w:val="00B83BBD"/>
    <w:rsid w:val="00B84226"/>
    <w:rsid w:val="00B97629"/>
    <w:rsid w:val="00BF4ECD"/>
    <w:rsid w:val="00BF4F72"/>
    <w:rsid w:val="00C23A3D"/>
    <w:rsid w:val="00C272B1"/>
    <w:rsid w:val="00C63C4E"/>
    <w:rsid w:val="00CC240A"/>
    <w:rsid w:val="00D04B83"/>
    <w:rsid w:val="00D77A88"/>
    <w:rsid w:val="00E63383"/>
    <w:rsid w:val="00F11B12"/>
    <w:rsid w:val="00F40885"/>
    <w:rsid w:val="00F5559F"/>
    <w:rsid w:val="00F73882"/>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epbc/notice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977D-E33B-4FB0-9194-0D78CA53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a16417</cp:lastModifiedBy>
  <cp:revision>4</cp:revision>
  <cp:lastPrinted>2013-06-24T01:35:00Z</cp:lastPrinted>
  <dcterms:created xsi:type="dcterms:W3CDTF">2014-01-31T04:52:00Z</dcterms:created>
  <dcterms:modified xsi:type="dcterms:W3CDTF">2014-01-31T05:04:00Z</dcterms:modified>
</cp:coreProperties>
</file>