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F1" w:rsidRDefault="00281C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183EF1" w:rsidRDefault="00183EF1"/>
    <w:p w:rsidR="00183EF1" w:rsidRDefault="00183EF1" w:rsidP="00183EF1">
      <w:pPr>
        <w:spacing w:line="240" w:lineRule="auto"/>
      </w:pPr>
    </w:p>
    <w:p w:rsidR="00183EF1" w:rsidRDefault="00183EF1" w:rsidP="00183EF1"/>
    <w:p w:rsidR="00183EF1" w:rsidRDefault="00183EF1" w:rsidP="00183EF1"/>
    <w:p w:rsidR="00183EF1" w:rsidRDefault="00183EF1" w:rsidP="00183EF1"/>
    <w:p w:rsidR="00183EF1" w:rsidRDefault="00183EF1" w:rsidP="00183EF1"/>
    <w:p w:rsidR="0048364F" w:rsidRPr="00006C42" w:rsidRDefault="002A0C4A" w:rsidP="0048364F">
      <w:pPr>
        <w:pStyle w:val="ShortT"/>
      </w:pPr>
      <w:r w:rsidRPr="00006C42">
        <w:t xml:space="preserve">Offshore Petroleum and Greenhouse Gas Storage </w:t>
      </w:r>
      <w:r w:rsidR="00A368A1" w:rsidRPr="00006C42">
        <w:t>Amendment (Regulatory Powers and Other Measures)</w:t>
      </w:r>
      <w:r w:rsidRPr="00006C42">
        <w:t xml:space="preserve"> </w:t>
      </w:r>
      <w:r w:rsidR="00183EF1">
        <w:t>Act</w:t>
      </w:r>
      <w:r w:rsidRPr="00006C42">
        <w:t xml:space="preserve"> 2014</w:t>
      </w:r>
    </w:p>
    <w:p w:rsidR="0048364F" w:rsidRPr="00006C42" w:rsidRDefault="0048364F" w:rsidP="0048364F"/>
    <w:p w:rsidR="0048364F" w:rsidRPr="00006C42" w:rsidRDefault="00C164CA" w:rsidP="00183EF1">
      <w:pPr>
        <w:pStyle w:val="Actno"/>
        <w:spacing w:before="400"/>
      </w:pPr>
      <w:r w:rsidRPr="00006C42">
        <w:t>No.</w:t>
      </w:r>
      <w:r w:rsidR="001B1798">
        <w:t xml:space="preserve"> 80</w:t>
      </w:r>
      <w:r w:rsidRPr="00006C42">
        <w:t>, 201</w:t>
      </w:r>
      <w:r w:rsidR="00A41E0B" w:rsidRPr="00006C42">
        <w:t>4</w:t>
      </w:r>
    </w:p>
    <w:p w:rsidR="0048364F" w:rsidRPr="00006C42" w:rsidRDefault="0048364F" w:rsidP="0048364F"/>
    <w:p w:rsidR="00183EF1" w:rsidRDefault="00183EF1" w:rsidP="00183EF1"/>
    <w:p w:rsidR="00183EF1" w:rsidRDefault="00183EF1" w:rsidP="00183EF1"/>
    <w:p w:rsidR="00183EF1" w:rsidRDefault="00183EF1" w:rsidP="00183EF1"/>
    <w:p w:rsidR="00183EF1" w:rsidRDefault="00183EF1" w:rsidP="00183EF1"/>
    <w:p w:rsidR="0048364F" w:rsidRPr="00006C42" w:rsidRDefault="00183EF1" w:rsidP="0048364F">
      <w:pPr>
        <w:pStyle w:val="LongT"/>
      </w:pPr>
      <w:r>
        <w:t>An Act</w:t>
      </w:r>
      <w:r w:rsidR="0048364F" w:rsidRPr="00006C42">
        <w:t xml:space="preserve"> to </w:t>
      </w:r>
      <w:r w:rsidR="002A0C4A" w:rsidRPr="00006C42">
        <w:t xml:space="preserve">amend the </w:t>
      </w:r>
      <w:r w:rsidR="002A0C4A" w:rsidRPr="00006C42">
        <w:rPr>
          <w:i/>
        </w:rPr>
        <w:t xml:space="preserve">Offshore Petroleum and Greenhouse Gas Storage </w:t>
      </w:r>
      <w:r w:rsidR="004951E3" w:rsidRPr="00006C42">
        <w:rPr>
          <w:i/>
        </w:rPr>
        <w:t>Act 2006</w:t>
      </w:r>
      <w:r w:rsidR="004951E3" w:rsidRPr="00006C42">
        <w:t xml:space="preserve">, and </w:t>
      </w:r>
      <w:r w:rsidR="0048364F" w:rsidRPr="00006C42">
        <w:t>for related purposes</w:t>
      </w:r>
    </w:p>
    <w:p w:rsidR="0048364F" w:rsidRPr="00006C42" w:rsidRDefault="0048364F" w:rsidP="00006C42">
      <w:pPr>
        <w:pStyle w:val="Header"/>
        <w:tabs>
          <w:tab w:val="clear" w:pos="4150"/>
          <w:tab w:val="clear" w:pos="8307"/>
        </w:tabs>
      </w:pPr>
      <w:r w:rsidRPr="00006C42">
        <w:rPr>
          <w:rStyle w:val="CharAmSchNo"/>
        </w:rPr>
        <w:t xml:space="preserve"> </w:t>
      </w:r>
      <w:r w:rsidRPr="00006C42">
        <w:rPr>
          <w:rStyle w:val="CharAmSchText"/>
        </w:rPr>
        <w:t xml:space="preserve"> </w:t>
      </w:r>
    </w:p>
    <w:p w:rsidR="0048364F" w:rsidRPr="00006C42" w:rsidRDefault="0048364F" w:rsidP="00006C42">
      <w:pPr>
        <w:pStyle w:val="Header"/>
        <w:tabs>
          <w:tab w:val="clear" w:pos="4150"/>
          <w:tab w:val="clear" w:pos="8307"/>
        </w:tabs>
      </w:pPr>
      <w:r w:rsidRPr="00006C42">
        <w:rPr>
          <w:rStyle w:val="CharAmPartNo"/>
        </w:rPr>
        <w:t xml:space="preserve"> </w:t>
      </w:r>
      <w:r w:rsidRPr="00006C42">
        <w:rPr>
          <w:rStyle w:val="CharAmPartText"/>
        </w:rPr>
        <w:t xml:space="preserve"> </w:t>
      </w:r>
    </w:p>
    <w:p w:rsidR="0048364F" w:rsidRPr="00006C42" w:rsidRDefault="0048364F" w:rsidP="0048364F">
      <w:pPr>
        <w:sectPr w:rsidR="0048364F" w:rsidRPr="00006C42" w:rsidSect="00183E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06C42" w:rsidRDefault="0048364F" w:rsidP="00C9609E">
      <w:pPr>
        <w:rPr>
          <w:sz w:val="36"/>
        </w:rPr>
      </w:pPr>
      <w:r w:rsidRPr="00006C42">
        <w:rPr>
          <w:sz w:val="36"/>
        </w:rPr>
        <w:lastRenderedPageBreak/>
        <w:t>Contents</w:t>
      </w:r>
    </w:p>
    <w:bookmarkStart w:id="0" w:name="BKCheck15B_1"/>
    <w:bookmarkEnd w:id="0"/>
    <w:p w:rsidR="00025735" w:rsidRDefault="000257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25735">
        <w:rPr>
          <w:noProof/>
        </w:rPr>
        <w:tab/>
      </w:r>
      <w:r w:rsidRPr="00025735">
        <w:rPr>
          <w:noProof/>
        </w:rPr>
        <w:fldChar w:fldCharType="begin"/>
      </w:r>
      <w:r w:rsidRPr="00025735">
        <w:rPr>
          <w:noProof/>
        </w:rPr>
        <w:instrText xml:space="preserve"> PAGEREF _Toc393786019 \h </w:instrText>
      </w:r>
      <w:r w:rsidRPr="00025735">
        <w:rPr>
          <w:noProof/>
        </w:rPr>
      </w:r>
      <w:r w:rsidRPr="00025735">
        <w:rPr>
          <w:noProof/>
        </w:rPr>
        <w:fldChar w:fldCharType="separate"/>
      </w:r>
      <w:r w:rsidR="00281CD7">
        <w:rPr>
          <w:noProof/>
        </w:rPr>
        <w:t>2</w:t>
      </w:r>
      <w:r w:rsidRPr="00025735">
        <w:rPr>
          <w:noProof/>
        </w:rPr>
        <w:fldChar w:fldCharType="end"/>
      </w:r>
    </w:p>
    <w:p w:rsidR="00025735" w:rsidRDefault="000257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25735">
        <w:rPr>
          <w:noProof/>
        </w:rPr>
        <w:tab/>
      </w:r>
      <w:r w:rsidRPr="00025735">
        <w:rPr>
          <w:noProof/>
        </w:rPr>
        <w:fldChar w:fldCharType="begin"/>
      </w:r>
      <w:r w:rsidRPr="00025735">
        <w:rPr>
          <w:noProof/>
        </w:rPr>
        <w:instrText xml:space="preserve"> PAGEREF _Toc393786020 \h </w:instrText>
      </w:r>
      <w:r w:rsidRPr="00025735">
        <w:rPr>
          <w:noProof/>
        </w:rPr>
      </w:r>
      <w:r w:rsidRPr="00025735">
        <w:rPr>
          <w:noProof/>
        </w:rPr>
        <w:fldChar w:fldCharType="separate"/>
      </w:r>
      <w:r w:rsidR="00281CD7">
        <w:rPr>
          <w:noProof/>
        </w:rPr>
        <w:t>2</w:t>
      </w:r>
      <w:r w:rsidRPr="00025735">
        <w:rPr>
          <w:noProof/>
        </w:rPr>
        <w:fldChar w:fldCharType="end"/>
      </w:r>
    </w:p>
    <w:p w:rsidR="00025735" w:rsidRDefault="000257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025735">
        <w:rPr>
          <w:noProof/>
        </w:rPr>
        <w:tab/>
      </w:r>
      <w:r w:rsidRPr="00025735">
        <w:rPr>
          <w:noProof/>
        </w:rPr>
        <w:fldChar w:fldCharType="begin"/>
      </w:r>
      <w:r w:rsidRPr="00025735">
        <w:rPr>
          <w:noProof/>
        </w:rPr>
        <w:instrText xml:space="preserve"> PAGEREF _Toc393786021 \h </w:instrText>
      </w:r>
      <w:r w:rsidRPr="00025735">
        <w:rPr>
          <w:noProof/>
        </w:rPr>
      </w:r>
      <w:r w:rsidRPr="00025735">
        <w:rPr>
          <w:noProof/>
        </w:rPr>
        <w:fldChar w:fldCharType="separate"/>
      </w:r>
      <w:r w:rsidR="00281CD7">
        <w:rPr>
          <w:noProof/>
        </w:rPr>
        <w:t>3</w:t>
      </w:r>
      <w:r w:rsidRPr="00025735">
        <w:rPr>
          <w:noProof/>
        </w:rPr>
        <w:fldChar w:fldCharType="end"/>
      </w:r>
    </w:p>
    <w:p w:rsidR="00025735" w:rsidRDefault="000257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1—Regulatory powers amendments</w:t>
      </w:r>
      <w:r w:rsidRPr="00025735">
        <w:rPr>
          <w:b w:val="0"/>
          <w:noProof/>
          <w:sz w:val="18"/>
        </w:rPr>
        <w:tab/>
      </w:r>
      <w:r w:rsidRPr="00025735">
        <w:rPr>
          <w:b w:val="0"/>
          <w:noProof/>
          <w:sz w:val="18"/>
        </w:rPr>
        <w:fldChar w:fldCharType="begin"/>
      </w:r>
      <w:r w:rsidRPr="00025735">
        <w:rPr>
          <w:b w:val="0"/>
          <w:noProof/>
          <w:sz w:val="18"/>
        </w:rPr>
        <w:instrText xml:space="preserve"> PAGEREF _Toc393786022 \h </w:instrText>
      </w:r>
      <w:r w:rsidRPr="00025735">
        <w:rPr>
          <w:b w:val="0"/>
          <w:noProof/>
          <w:sz w:val="18"/>
        </w:rPr>
      </w:r>
      <w:r w:rsidRPr="00025735">
        <w:rPr>
          <w:b w:val="0"/>
          <w:noProof/>
          <w:sz w:val="18"/>
        </w:rPr>
        <w:fldChar w:fldCharType="separate"/>
      </w:r>
      <w:r w:rsidR="00281CD7">
        <w:rPr>
          <w:b w:val="0"/>
          <w:noProof/>
          <w:sz w:val="18"/>
        </w:rPr>
        <w:t>4</w:t>
      </w:r>
      <w:r w:rsidRPr="00025735">
        <w:rPr>
          <w:b w:val="0"/>
          <w:noProof/>
          <w:sz w:val="18"/>
        </w:rPr>
        <w:fldChar w:fldCharType="end"/>
      </w:r>
    </w:p>
    <w:p w:rsidR="00025735" w:rsidRDefault="000257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1—Offshore Petroleum and Greenhouse Gas Storage Amendment (Compliance Measures) Act 2013</w:t>
      </w:r>
      <w:r w:rsidRPr="00025735">
        <w:rPr>
          <w:noProof/>
          <w:sz w:val="18"/>
        </w:rPr>
        <w:tab/>
      </w:r>
      <w:r w:rsidRPr="00025735">
        <w:rPr>
          <w:noProof/>
          <w:sz w:val="18"/>
        </w:rPr>
        <w:fldChar w:fldCharType="begin"/>
      </w:r>
      <w:r w:rsidRPr="00025735">
        <w:rPr>
          <w:noProof/>
          <w:sz w:val="18"/>
        </w:rPr>
        <w:instrText xml:space="preserve"> PAGEREF _Toc393786023 \h </w:instrText>
      </w:r>
      <w:r w:rsidRPr="00025735">
        <w:rPr>
          <w:noProof/>
          <w:sz w:val="18"/>
        </w:rPr>
      </w:r>
      <w:r w:rsidRPr="00025735">
        <w:rPr>
          <w:noProof/>
          <w:sz w:val="18"/>
        </w:rPr>
        <w:fldChar w:fldCharType="separate"/>
      </w:r>
      <w:r w:rsidR="00281CD7">
        <w:rPr>
          <w:noProof/>
          <w:sz w:val="18"/>
        </w:rPr>
        <w:t>4</w:t>
      </w:r>
      <w:r w:rsidRPr="00025735">
        <w:rPr>
          <w:noProof/>
          <w:sz w:val="18"/>
        </w:rPr>
        <w:fldChar w:fldCharType="end"/>
      </w:r>
    </w:p>
    <w:p w:rsidR="00025735" w:rsidRDefault="000257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2—Offshore Petroleum and Greenhouse Gas Storage Act 2006</w:t>
      </w:r>
      <w:r w:rsidRPr="00025735">
        <w:rPr>
          <w:noProof/>
          <w:sz w:val="18"/>
        </w:rPr>
        <w:tab/>
      </w:r>
      <w:r w:rsidRPr="00025735">
        <w:rPr>
          <w:noProof/>
          <w:sz w:val="18"/>
        </w:rPr>
        <w:fldChar w:fldCharType="begin"/>
      </w:r>
      <w:r w:rsidRPr="00025735">
        <w:rPr>
          <w:noProof/>
          <w:sz w:val="18"/>
        </w:rPr>
        <w:instrText xml:space="preserve"> PAGEREF _Toc393786025 \h </w:instrText>
      </w:r>
      <w:r w:rsidRPr="00025735">
        <w:rPr>
          <w:noProof/>
          <w:sz w:val="18"/>
        </w:rPr>
      </w:r>
      <w:r w:rsidRPr="00025735">
        <w:rPr>
          <w:noProof/>
          <w:sz w:val="18"/>
        </w:rPr>
        <w:fldChar w:fldCharType="separate"/>
      </w:r>
      <w:r w:rsidR="00281CD7">
        <w:rPr>
          <w:noProof/>
          <w:sz w:val="18"/>
        </w:rPr>
        <w:t>5</w:t>
      </w:r>
      <w:r w:rsidRPr="00025735">
        <w:rPr>
          <w:noProof/>
          <w:sz w:val="18"/>
        </w:rPr>
        <w:fldChar w:fldCharType="end"/>
      </w:r>
    </w:p>
    <w:p w:rsidR="00025735" w:rsidRDefault="000257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measures</w:t>
      </w:r>
      <w:bookmarkStart w:id="1" w:name="_GoBack"/>
      <w:bookmarkEnd w:id="1"/>
      <w:r w:rsidRPr="00025735">
        <w:rPr>
          <w:b w:val="0"/>
          <w:noProof/>
          <w:sz w:val="18"/>
        </w:rPr>
        <w:tab/>
      </w:r>
      <w:r w:rsidRPr="00025735">
        <w:rPr>
          <w:b w:val="0"/>
          <w:noProof/>
          <w:sz w:val="18"/>
        </w:rPr>
        <w:fldChar w:fldCharType="begin"/>
      </w:r>
      <w:r w:rsidRPr="00025735">
        <w:rPr>
          <w:b w:val="0"/>
          <w:noProof/>
          <w:sz w:val="18"/>
        </w:rPr>
        <w:instrText xml:space="preserve"> PAGEREF _Toc393786026 \h </w:instrText>
      </w:r>
      <w:r w:rsidRPr="00025735">
        <w:rPr>
          <w:b w:val="0"/>
          <w:noProof/>
          <w:sz w:val="18"/>
        </w:rPr>
      </w:r>
      <w:r w:rsidRPr="00025735">
        <w:rPr>
          <w:b w:val="0"/>
          <w:noProof/>
          <w:sz w:val="18"/>
        </w:rPr>
        <w:fldChar w:fldCharType="separate"/>
      </w:r>
      <w:r w:rsidR="00281CD7">
        <w:rPr>
          <w:b w:val="0"/>
          <w:noProof/>
          <w:sz w:val="18"/>
        </w:rPr>
        <w:t>7</w:t>
      </w:r>
      <w:r w:rsidRPr="00025735">
        <w:rPr>
          <w:b w:val="0"/>
          <w:noProof/>
          <w:sz w:val="18"/>
        </w:rPr>
        <w:fldChar w:fldCharType="end"/>
      </w:r>
    </w:p>
    <w:p w:rsidR="00025735" w:rsidRDefault="000257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1—Offshore Petroleum and Greenhouse Gas Storage Act 2006</w:t>
      </w:r>
      <w:r w:rsidRPr="00025735">
        <w:rPr>
          <w:noProof/>
          <w:sz w:val="18"/>
        </w:rPr>
        <w:tab/>
      </w:r>
      <w:r w:rsidRPr="00025735">
        <w:rPr>
          <w:noProof/>
          <w:sz w:val="18"/>
        </w:rPr>
        <w:fldChar w:fldCharType="begin"/>
      </w:r>
      <w:r w:rsidRPr="00025735">
        <w:rPr>
          <w:noProof/>
          <w:sz w:val="18"/>
        </w:rPr>
        <w:instrText xml:space="preserve"> PAGEREF _Toc393786027 \h </w:instrText>
      </w:r>
      <w:r w:rsidRPr="00025735">
        <w:rPr>
          <w:noProof/>
          <w:sz w:val="18"/>
        </w:rPr>
      </w:r>
      <w:r w:rsidRPr="00025735">
        <w:rPr>
          <w:noProof/>
          <w:sz w:val="18"/>
        </w:rPr>
        <w:fldChar w:fldCharType="separate"/>
      </w:r>
      <w:r w:rsidR="00281CD7">
        <w:rPr>
          <w:noProof/>
          <w:sz w:val="18"/>
        </w:rPr>
        <w:t>7</w:t>
      </w:r>
      <w:r w:rsidRPr="00025735">
        <w:rPr>
          <w:noProof/>
          <w:sz w:val="18"/>
        </w:rPr>
        <w:fldChar w:fldCharType="end"/>
      </w:r>
    </w:p>
    <w:p w:rsidR="00025735" w:rsidRDefault="000257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025735">
        <w:rPr>
          <w:noProof/>
          <w:sz w:val="18"/>
        </w:rPr>
        <w:tab/>
      </w:r>
      <w:r w:rsidRPr="00025735">
        <w:rPr>
          <w:noProof/>
          <w:sz w:val="18"/>
        </w:rPr>
        <w:fldChar w:fldCharType="begin"/>
      </w:r>
      <w:r w:rsidRPr="00025735">
        <w:rPr>
          <w:noProof/>
          <w:sz w:val="18"/>
        </w:rPr>
        <w:instrText xml:space="preserve"> PAGEREF _Toc393786029 \h </w:instrText>
      </w:r>
      <w:r w:rsidRPr="00025735">
        <w:rPr>
          <w:noProof/>
          <w:sz w:val="18"/>
        </w:rPr>
      </w:r>
      <w:r w:rsidRPr="00025735">
        <w:rPr>
          <w:noProof/>
          <w:sz w:val="18"/>
        </w:rPr>
        <w:fldChar w:fldCharType="separate"/>
      </w:r>
      <w:r w:rsidR="00281CD7">
        <w:rPr>
          <w:noProof/>
          <w:sz w:val="18"/>
        </w:rPr>
        <w:t>12</w:t>
      </w:r>
      <w:r w:rsidRPr="00025735">
        <w:rPr>
          <w:noProof/>
          <w:sz w:val="18"/>
        </w:rPr>
        <w:fldChar w:fldCharType="end"/>
      </w:r>
    </w:p>
    <w:p w:rsidR="00055B5C" w:rsidRPr="00006C42" w:rsidRDefault="00025735" w:rsidP="0048364F">
      <w:r>
        <w:fldChar w:fldCharType="end"/>
      </w:r>
    </w:p>
    <w:p w:rsidR="00FE7F93" w:rsidRPr="00006C42" w:rsidRDefault="00FE7F93" w:rsidP="0048364F">
      <w:pPr>
        <w:sectPr w:rsidR="00FE7F93" w:rsidRPr="00006C42" w:rsidSect="00183E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83EF1" w:rsidRDefault="00281CD7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183EF1" w:rsidRDefault="00183EF1"/>
    <w:p w:rsidR="00183EF1" w:rsidRDefault="00183EF1" w:rsidP="00183EF1">
      <w:pPr>
        <w:spacing w:line="240" w:lineRule="auto"/>
      </w:pPr>
    </w:p>
    <w:p w:rsidR="00183EF1" w:rsidRDefault="00281CD7" w:rsidP="00183EF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Offshore Petroleum and Greenhouse Gas Storage Amendment (Regulatory Powers and Other Measures) Act 2014</w:t>
      </w:r>
      <w:r>
        <w:rPr>
          <w:noProof/>
        </w:rPr>
        <w:fldChar w:fldCharType="end"/>
      </w:r>
    </w:p>
    <w:p w:rsidR="00183EF1" w:rsidRDefault="00281CD7" w:rsidP="00183EF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80, 2014</w:t>
      </w:r>
      <w:r>
        <w:rPr>
          <w:noProof/>
        </w:rPr>
        <w:fldChar w:fldCharType="end"/>
      </w:r>
    </w:p>
    <w:p w:rsidR="00183EF1" w:rsidRPr="009A0728" w:rsidRDefault="00183EF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83EF1" w:rsidRPr="009A0728" w:rsidRDefault="00183EF1" w:rsidP="009A0728">
      <w:pPr>
        <w:spacing w:line="40" w:lineRule="exact"/>
        <w:rPr>
          <w:rFonts w:eastAsia="Calibri"/>
          <w:b/>
          <w:sz w:val="28"/>
        </w:rPr>
      </w:pPr>
    </w:p>
    <w:p w:rsidR="00183EF1" w:rsidRPr="009A0728" w:rsidRDefault="00183EF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06C42" w:rsidRDefault="00183EF1" w:rsidP="00006C42">
      <w:pPr>
        <w:pStyle w:val="Page1"/>
      </w:pPr>
      <w:r>
        <w:t>An Act</w:t>
      </w:r>
      <w:r w:rsidR="00006C42" w:rsidRPr="00006C42">
        <w:t xml:space="preserve"> to amend the </w:t>
      </w:r>
      <w:r w:rsidR="00006C42" w:rsidRPr="00006C42">
        <w:rPr>
          <w:i/>
        </w:rPr>
        <w:t>Offshore Petroleum and Greenhouse Gas Storage Act 2006</w:t>
      </w:r>
      <w:r w:rsidR="00006C42" w:rsidRPr="00006C42">
        <w:t>, and for related purposes</w:t>
      </w:r>
    </w:p>
    <w:p w:rsidR="001B1798" w:rsidRDefault="001B1798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July 2014</w:t>
      </w:r>
      <w:r>
        <w:rPr>
          <w:sz w:val="24"/>
        </w:rPr>
        <w:t>]</w:t>
      </w:r>
    </w:p>
    <w:p w:rsidR="0048364F" w:rsidRPr="00006C42" w:rsidRDefault="0048364F" w:rsidP="00006C42">
      <w:pPr>
        <w:spacing w:before="240" w:line="240" w:lineRule="auto"/>
        <w:rPr>
          <w:sz w:val="32"/>
        </w:rPr>
      </w:pPr>
      <w:r w:rsidRPr="00006C42">
        <w:rPr>
          <w:sz w:val="32"/>
        </w:rPr>
        <w:t>The Parliament of Australia enacts:</w:t>
      </w:r>
    </w:p>
    <w:p w:rsidR="0048364F" w:rsidRPr="00006C42" w:rsidRDefault="0048364F" w:rsidP="00006C42">
      <w:pPr>
        <w:pStyle w:val="ActHead5"/>
      </w:pPr>
      <w:bookmarkStart w:id="2" w:name="_Toc393786019"/>
      <w:r w:rsidRPr="00006C42">
        <w:rPr>
          <w:rStyle w:val="CharSectno"/>
        </w:rPr>
        <w:t>1</w:t>
      </w:r>
      <w:r w:rsidRPr="00006C42">
        <w:t xml:space="preserve">  Short title</w:t>
      </w:r>
      <w:bookmarkEnd w:id="2"/>
    </w:p>
    <w:p w:rsidR="0048364F" w:rsidRPr="00006C42" w:rsidRDefault="0048364F" w:rsidP="00006C42">
      <w:pPr>
        <w:pStyle w:val="subsection"/>
      </w:pPr>
      <w:r w:rsidRPr="00006C42">
        <w:tab/>
      </w:r>
      <w:r w:rsidRPr="00006C42">
        <w:tab/>
        <w:t xml:space="preserve">This Act may be cited as the </w:t>
      </w:r>
      <w:r w:rsidR="006C7A57" w:rsidRPr="00006C42">
        <w:rPr>
          <w:i/>
        </w:rPr>
        <w:t xml:space="preserve">Offshore Petroleum and Greenhouse Gas Storage Amendment (Regulatory Powers and Other Measures) </w:t>
      </w:r>
      <w:r w:rsidR="00531E9E" w:rsidRPr="00006C42">
        <w:rPr>
          <w:i/>
        </w:rPr>
        <w:t>Act</w:t>
      </w:r>
      <w:r w:rsidR="006C7A57" w:rsidRPr="00006C42">
        <w:rPr>
          <w:i/>
        </w:rPr>
        <w:t xml:space="preserve"> 2014</w:t>
      </w:r>
      <w:r w:rsidR="006C7A57" w:rsidRPr="00006C42">
        <w:t>.</w:t>
      </w:r>
    </w:p>
    <w:p w:rsidR="0048364F" w:rsidRPr="00006C42" w:rsidRDefault="0048364F" w:rsidP="00006C42">
      <w:pPr>
        <w:pStyle w:val="ActHead5"/>
      </w:pPr>
      <w:bookmarkStart w:id="3" w:name="_Toc393786020"/>
      <w:r w:rsidRPr="00006C42">
        <w:rPr>
          <w:rStyle w:val="CharSectno"/>
        </w:rPr>
        <w:t>2</w:t>
      </w:r>
      <w:r w:rsidRPr="00006C42">
        <w:t xml:space="preserve">  Commencement</w:t>
      </w:r>
      <w:bookmarkEnd w:id="3"/>
    </w:p>
    <w:p w:rsidR="0048364F" w:rsidRPr="00006C42" w:rsidRDefault="0048364F" w:rsidP="00006C42">
      <w:pPr>
        <w:pStyle w:val="subsection"/>
      </w:pPr>
      <w:r w:rsidRPr="00006C42">
        <w:tab/>
        <w:t>(1)</w:t>
      </w:r>
      <w:r w:rsidRPr="00006C4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06C42" w:rsidRDefault="0048364F" w:rsidP="00006C4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06C42" w:rsidTr="00691D9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Commencement information</w:t>
            </w:r>
          </w:p>
        </w:tc>
      </w:tr>
      <w:tr w:rsidR="0048364F" w:rsidRPr="00006C42" w:rsidTr="00691D9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Column 3</w:t>
            </w:r>
          </w:p>
        </w:tc>
      </w:tr>
      <w:tr w:rsidR="0048364F" w:rsidRPr="00006C42" w:rsidTr="00691D9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Heading"/>
            </w:pPr>
            <w:r w:rsidRPr="00006C42">
              <w:t>Date/Details</w:t>
            </w:r>
          </w:p>
        </w:tc>
      </w:tr>
      <w:tr w:rsidR="0048364F" w:rsidRPr="00006C42" w:rsidTr="00691D9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text"/>
            </w:pPr>
            <w:r w:rsidRPr="00006C42">
              <w:t>1.  Sections</w:t>
            </w:r>
            <w:r w:rsidR="00006C42" w:rsidRPr="00006C42">
              <w:t> </w:t>
            </w:r>
            <w:r w:rsidRPr="00006C4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006C42" w:rsidRDefault="0048364F" w:rsidP="00006C42">
            <w:pPr>
              <w:pStyle w:val="Tabletext"/>
            </w:pPr>
            <w:r w:rsidRPr="00006C4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006C42" w:rsidRDefault="003E678E" w:rsidP="00006C42">
            <w:pPr>
              <w:pStyle w:val="Tabletext"/>
            </w:pPr>
            <w:r>
              <w:t>17 July 2014</w:t>
            </w:r>
          </w:p>
        </w:tc>
      </w:tr>
      <w:tr w:rsidR="006C7A57" w:rsidRPr="00006C42" w:rsidTr="00691D95">
        <w:tc>
          <w:tcPr>
            <w:tcW w:w="1701" w:type="dxa"/>
            <w:shd w:val="clear" w:color="auto" w:fill="auto"/>
          </w:tcPr>
          <w:p w:rsidR="006C7A57" w:rsidRPr="00006C42" w:rsidRDefault="00691D95" w:rsidP="00006C42">
            <w:pPr>
              <w:pStyle w:val="Tabletext"/>
            </w:pPr>
            <w:r w:rsidRPr="00006C42">
              <w:t>2</w:t>
            </w:r>
            <w:r w:rsidR="006C7A57" w:rsidRPr="00006C42">
              <w:t>.  Schedule</w:t>
            </w:r>
            <w:r w:rsidR="00006C42" w:rsidRPr="00006C42">
              <w:t> </w:t>
            </w:r>
            <w:r w:rsidR="006C7A57" w:rsidRPr="00006C42">
              <w:t>1, Part</w:t>
            </w:r>
            <w:r w:rsidR="00006C42" w:rsidRPr="00006C42">
              <w:t> </w:t>
            </w:r>
            <w:r w:rsidR="006C7A57" w:rsidRPr="00006C42">
              <w:t>1</w:t>
            </w:r>
          </w:p>
        </w:tc>
        <w:tc>
          <w:tcPr>
            <w:tcW w:w="3828" w:type="dxa"/>
            <w:shd w:val="clear" w:color="auto" w:fill="auto"/>
          </w:tcPr>
          <w:p w:rsidR="006C7A57" w:rsidRPr="00006C42" w:rsidRDefault="006C7A57" w:rsidP="00006C42">
            <w:pPr>
              <w:pStyle w:val="Tabletext"/>
            </w:pPr>
            <w:r w:rsidRPr="00006C42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6C7A57" w:rsidRPr="00006C42" w:rsidRDefault="003E678E" w:rsidP="003E678E">
            <w:pPr>
              <w:pStyle w:val="Tabletext"/>
            </w:pPr>
            <w:r>
              <w:t>18 July 2014</w:t>
            </w:r>
          </w:p>
        </w:tc>
      </w:tr>
      <w:tr w:rsidR="0048364F" w:rsidRPr="00006C42" w:rsidTr="00691D95">
        <w:tc>
          <w:tcPr>
            <w:tcW w:w="1701" w:type="dxa"/>
            <w:shd w:val="clear" w:color="auto" w:fill="auto"/>
          </w:tcPr>
          <w:p w:rsidR="0048364F" w:rsidRPr="00006C42" w:rsidRDefault="00691D95" w:rsidP="00006C42">
            <w:pPr>
              <w:pStyle w:val="Tabletext"/>
            </w:pPr>
            <w:r w:rsidRPr="00006C42">
              <w:t>3</w:t>
            </w:r>
            <w:r w:rsidR="006C7A57" w:rsidRPr="00006C42">
              <w:t>.  Schedule</w:t>
            </w:r>
            <w:r w:rsidR="00006C42" w:rsidRPr="00006C42">
              <w:t> </w:t>
            </w:r>
            <w:r w:rsidR="006C7A57" w:rsidRPr="00006C42">
              <w:t>1, Part</w:t>
            </w:r>
            <w:r w:rsidR="00006C42" w:rsidRPr="00006C42">
              <w:t> </w:t>
            </w:r>
            <w:r w:rsidR="006C7A57" w:rsidRPr="00006C42">
              <w:t>2</w:t>
            </w:r>
          </w:p>
        </w:tc>
        <w:tc>
          <w:tcPr>
            <w:tcW w:w="3828" w:type="dxa"/>
            <w:shd w:val="clear" w:color="auto" w:fill="auto"/>
          </w:tcPr>
          <w:p w:rsidR="006C7A57" w:rsidRPr="00006C42" w:rsidRDefault="006C7A57" w:rsidP="00006C42">
            <w:pPr>
              <w:pStyle w:val="Tabletext"/>
            </w:pPr>
            <w:r w:rsidRPr="00006C42">
              <w:t>Immediately after the commencement of Schedule</w:t>
            </w:r>
            <w:r w:rsidR="00006C42" w:rsidRPr="00006C42">
              <w:t> </w:t>
            </w:r>
            <w:r w:rsidRPr="00006C42">
              <w:t xml:space="preserve">1 to the </w:t>
            </w:r>
            <w:r w:rsidRPr="00006C42">
              <w:rPr>
                <w:i/>
              </w:rPr>
              <w:t>Offshore Petroleum and Greenhouse Gas Storage Amendment (Compliance Measures No.</w:t>
            </w:r>
            <w:r w:rsidR="00006C42" w:rsidRPr="00006C42">
              <w:rPr>
                <w:i/>
              </w:rPr>
              <w:t> </w:t>
            </w:r>
            <w:r w:rsidRPr="00006C42">
              <w:rPr>
                <w:i/>
              </w:rPr>
              <w:t>2) Act 2013</w:t>
            </w:r>
            <w:r w:rsidRPr="00006C42">
              <w:t>.</w:t>
            </w:r>
          </w:p>
          <w:p w:rsidR="0048364F" w:rsidRPr="00006C42" w:rsidRDefault="006C7A57" w:rsidP="00006C42">
            <w:pPr>
              <w:pStyle w:val="Tabletext"/>
            </w:pPr>
            <w:r w:rsidRPr="00006C42">
              <w:t xml:space="preserve">However, the provision(s) do not commence at all if </w:t>
            </w:r>
            <w:r w:rsidR="00691D95" w:rsidRPr="00006C42">
              <w:t xml:space="preserve">that Schedule </w:t>
            </w:r>
            <w:r w:rsidRPr="00006C42">
              <w:t>does not commence.</w:t>
            </w:r>
          </w:p>
        </w:tc>
        <w:tc>
          <w:tcPr>
            <w:tcW w:w="1582" w:type="dxa"/>
            <w:shd w:val="clear" w:color="auto" w:fill="auto"/>
          </w:tcPr>
          <w:p w:rsidR="0048364F" w:rsidRPr="00006C42" w:rsidRDefault="007076F8" w:rsidP="00006C42">
            <w:pPr>
              <w:pStyle w:val="Tabletext"/>
            </w:pPr>
            <w:r>
              <w:t>1 October 2014</w:t>
            </w:r>
          </w:p>
        </w:tc>
      </w:tr>
      <w:tr w:rsidR="0048364F" w:rsidRPr="00006C42" w:rsidTr="00691D95">
        <w:tc>
          <w:tcPr>
            <w:tcW w:w="1701" w:type="dxa"/>
            <w:shd w:val="clear" w:color="auto" w:fill="auto"/>
          </w:tcPr>
          <w:p w:rsidR="0048364F" w:rsidRPr="00006C42" w:rsidRDefault="00691D95" w:rsidP="00006C42">
            <w:pPr>
              <w:pStyle w:val="Tabletext"/>
            </w:pPr>
            <w:r w:rsidRPr="00006C42">
              <w:t>4</w:t>
            </w:r>
            <w:r w:rsidR="0048364F" w:rsidRPr="00006C42">
              <w:t xml:space="preserve">.  </w:t>
            </w:r>
            <w:r w:rsidR="004E6E3E" w:rsidRPr="00006C42">
              <w:t>Schedule</w:t>
            </w:r>
            <w:r w:rsidR="00006C42" w:rsidRPr="00006C42">
              <w:t> </w:t>
            </w:r>
            <w:r w:rsidR="004E6E3E" w:rsidRPr="00006C42">
              <w:t>2, items</w:t>
            </w:r>
            <w:r w:rsidR="00006C42" w:rsidRPr="00006C42">
              <w:t> </w:t>
            </w:r>
            <w:r w:rsidR="004E6E3E" w:rsidRPr="00006C42">
              <w:t>1 to 6</w:t>
            </w:r>
          </w:p>
        </w:tc>
        <w:tc>
          <w:tcPr>
            <w:tcW w:w="3828" w:type="dxa"/>
            <w:shd w:val="clear" w:color="auto" w:fill="auto"/>
          </w:tcPr>
          <w:p w:rsidR="0048364F" w:rsidRPr="00006C42" w:rsidRDefault="004E6E3E" w:rsidP="00006C42">
            <w:pPr>
              <w:pStyle w:val="Tabletext"/>
            </w:pPr>
            <w:r w:rsidRPr="00006C42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Pr="00006C42" w:rsidRDefault="003E678E" w:rsidP="00006C42">
            <w:pPr>
              <w:pStyle w:val="Tabletext"/>
            </w:pPr>
            <w:r>
              <w:t>18 July 2014</w:t>
            </w:r>
          </w:p>
        </w:tc>
      </w:tr>
      <w:tr w:rsidR="0048364F" w:rsidRPr="00006C42" w:rsidTr="00691D95">
        <w:tc>
          <w:tcPr>
            <w:tcW w:w="1701" w:type="dxa"/>
            <w:shd w:val="clear" w:color="auto" w:fill="auto"/>
          </w:tcPr>
          <w:p w:rsidR="0048364F" w:rsidRPr="00006C42" w:rsidRDefault="00691D95" w:rsidP="00006C42">
            <w:pPr>
              <w:pStyle w:val="Tabletext"/>
            </w:pPr>
            <w:r w:rsidRPr="00006C42">
              <w:t>5</w:t>
            </w:r>
            <w:r w:rsidR="0048364F" w:rsidRPr="00006C42">
              <w:t xml:space="preserve">.  </w:t>
            </w:r>
            <w:r w:rsidR="004E6E3E" w:rsidRPr="00006C42">
              <w:t>Schedule</w:t>
            </w:r>
            <w:r w:rsidR="00006C42" w:rsidRPr="00006C42">
              <w:t> </w:t>
            </w:r>
            <w:r w:rsidR="004E6E3E" w:rsidRPr="00006C42">
              <w:t>2, items</w:t>
            </w:r>
            <w:r w:rsidR="00006C42" w:rsidRPr="00006C42">
              <w:t> </w:t>
            </w:r>
            <w:r w:rsidR="004E6E3E" w:rsidRPr="00006C42">
              <w:t>7 to 11</w:t>
            </w:r>
          </w:p>
        </w:tc>
        <w:tc>
          <w:tcPr>
            <w:tcW w:w="3828" w:type="dxa"/>
            <w:shd w:val="clear" w:color="auto" w:fill="auto"/>
          </w:tcPr>
          <w:p w:rsidR="0048364F" w:rsidRPr="00006C42" w:rsidRDefault="00691D95" w:rsidP="00006C42">
            <w:pPr>
              <w:pStyle w:val="Tabletext"/>
            </w:pPr>
            <w:r w:rsidRPr="00006C42">
              <w:t>At the same time as items</w:t>
            </w:r>
            <w:r w:rsidR="00006C42" w:rsidRPr="00006C42">
              <w:t> </w:t>
            </w:r>
            <w:r w:rsidRPr="00006C42">
              <w:t>1 and 2 of Schedule</w:t>
            </w:r>
            <w:r w:rsidR="00006C42" w:rsidRPr="00006C42">
              <w:t> </w:t>
            </w:r>
            <w:r w:rsidRPr="00006C42">
              <w:t xml:space="preserve">1 to the </w:t>
            </w:r>
            <w:r w:rsidRPr="00006C42">
              <w:rPr>
                <w:i/>
              </w:rPr>
              <w:t>Offshore Petroleum and Greenhouse Gas Storage (Regulatory Levies) Amendment Act 2014</w:t>
            </w:r>
            <w:r w:rsidRPr="00006C42">
              <w:t xml:space="preserve"> commence.</w:t>
            </w:r>
          </w:p>
          <w:p w:rsidR="00691D95" w:rsidRPr="00006C42" w:rsidRDefault="00691D95" w:rsidP="00006C42">
            <w:pPr>
              <w:pStyle w:val="Tabletext"/>
            </w:pPr>
            <w:r w:rsidRPr="00006C42">
              <w:t>However, the provision(s) do not commence at all if those items do not commence.</w:t>
            </w:r>
          </w:p>
        </w:tc>
        <w:tc>
          <w:tcPr>
            <w:tcW w:w="1582" w:type="dxa"/>
            <w:shd w:val="clear" w:color="auto" w:fill="auto"/>
          </w:tcPr>
          <w:p w:rsidR="0048364F" w:rsidRPr="00006C42" w:rsidRDefault="00E133EB" w:rsidP="00006C42">
            <w:pPr>
              <w:pStyle w:val="Tabletext"/>
            </w:pPr>
            <w:r>
              <w:t>17 January 2015</w:t>
            </w:r>
          </w:p>
        </w:tc>
      </w:tr>
      <w:tr w:rsidR="00691D95" w:rsidRPr="00006C42" w:rsidTr="00691D95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1D95" w:rsidRPr="00006C42" w:rsidRDefault="00691D95" w:rsidP="00006C42">
            <w:pPr>
              <w:pStyle w:val="Tabletext"/>
            </w:pPr>
            <w:r w:rsidRPr="00006C42">
              <w:t>6.  Schedule</w:t>
            </w:r>
            <w:r w:rsidR="00006C42" w:rsidRPr="00006C42">
              <w:t> </w:t>
            </w:r>
            <w:r w:rsidRPr="00006C42">
              <w:t>2, items</w:t>
            </w:r>
            <w:r w:rsidR="00006C42" w:rsidRPr="00006C42">
              <w:t> </w:t>
            </w:r>
            <w:r w:rsidRPr="00006C42">
              <w:t>12 and 13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91D95" w:rsidRPr="00006C42" w:rsidRDefault="00691D95" w:rsidP="00006C42">
            <w:pPr>
              <w:pStyle w:val="Tabletext"/>
            </w:pPr>
            <w:r w:rsidRPr="00006C42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91D95" w:rsidRPr="00006C42" w:rsidRDefault="003E678E" w:rsidP="00006C42">
            <w:pPr>
              <w:pStyle w:val="Tabletext"/>
            </w:pPr>
            <w:r>
              <w:t>18 July 2014</w:t>
            </w:r>
          </w:p>
        </w:tc>
      </w:tr>
      <w:tr w:rsidR="00691D95" w:rsidRPr="00006C42" w:rsidTr="00691D9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91D95" w:rsidRPr="00006C42" w:rsidRDefault="00691D95" w:rsidP="00006C42">
            <w:pPr>
              <w:pStyle w:val="Tabletext"/>
            </w:pPr>
            <w:r w:rsidRPr="00006C42">
              <w:t>7.  Schedule</w:t>
            </w:r>
            <w:r w:rsidR="00006C42" w:rsidRPr="00006C42">
              <w:t> </w:t>
            </w:r>
            <w:r w:rsidRPr="00006C42">
              <w:t>2, item</w:t>
            </w:r>
            <w:r w:rsidR="00006C42" w:rsidRPr="00006C42">
              <w:t> </w:t>
            </w:r>
            <w:r w:rsidRPr="00006C42">
              <w:t>14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91D95" w:rsidRPr="00006C42" w:rsidRDefault="00691D95" w:rsidP="00006C42">
            <w:pPr>
              <w:pStyle w:val="Tabletext"/>
            </w:pPr>
            <w:r w:rsidRPr="00006C42">
              <w:t>At the same time as items</w:t>
            </w:r>
            <w:r w:rsidR="00006C42" w:rsidRPr="00006C42">
              <w:t> </w:t>
            </w:r>
            <w:r w:rsidRPr="00006C42">
              <w:t>1 and 2 of Schedule</w:t>
            </w:r>
            <w:r w:rsidR="00006C42" w:rsidRPr="00006C42">
              <w:t> </w:t>
            </w:r>
            <w:r w:rsidRPr="00006C42">
              <w:t xml:space="preserve">1 to the </w:t>
            </w:r>
            <w:r w:rsidRPr="00006C42">
              <w:rPr>
                <w:i/>
              </w:rPr>
              <w:t>Offshore Petroleum and Greenhouse Gas Storage (Regulatory Levies) Amendment Act 2014</w:t>
            </w:r>
            <w:r w:rsidRPr="00006C42">
              <w:t xml:space="preserve"> commence.</w:t>
            </w:r>
          </w:p>
          <w:p w:rsidR="00691D95" w:rsidRPr="00006C42" w:rsidRDefault="00691D95" w:rsidP="00006C42">
            <w:pPr>
              <w:pStyle w:val="Tabletext"/>
            </w:pPr>
            <w:r w:rsidRPr="00006C42">
              <w:t>However, the provision(s) do not commence at all if those items do not commence.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91D95" w:rsidRPr="00006C42" w:rsidRDefault="00E133EB" w:rsidP="00006C42">
            <w:pPr>
              <w:pStyle w:val="Tabletext"/>
            </w:pPr>
            <w:r>
              <w:t>17 January 2015</w:t>
            </w:r>
          </w:p>
        </w:tc>
      </w:tr>
    </w:tbl>
    <w:p w:rsidR="0048364F" w:rsidRPr="00006C42" w:rsidRDefault="00201D27" w:rsidP="00006C42">
      <w:pPr>
        <w:pStyle w:val="notetext"/>
      </w:pPr>
      <w:r w:rsidRPr="00006C42">
        <w:t>Note:</w:t>
      </w:r>
      <w:r w:rsidRPr="00006C42">
        <w:tab/>
        <w:t>This table relates only to the provisions of this Act as originally enacted. It will not be amended to deal with any later amendments of this Act.</w:t>
      </w:r>
    </w:p>
    <w:p w:rsidR="0048364F" w:rsidRPr="00006C42" w:rsidRDefault="0048364F" w:rsidP="00006C42">
      <w:pPr>
        <w:pStyle w:val="subsection"/>
      </w:pPr>
      <w:r w:rsidRPr="00006C42">
        <w:tab/>
        <w:t>(2)</w:t>
      </w:r>
      <w:r w:rsidRPr="00006C42">
        <w:tab/>
      </w:r>
      <w:r w:rsidR="00201D27" w:rsidRPr="00006C42">
        <w:t xml:space="preserve">Any information in </w:t>
      </w:r>
      <w:r w:rsidR="00877D48" w:rsidRPr="00006C42">
        <w:t>c</w:t>
      </w:r>
      <w:r w:rsidR="00201D27" w:rsidRPr="00006C42">
        <w:t>olumn 3 of the table is not part of this Act. Information may be inserted in this column, or information in it may be edited, in any published version of this Act.</w:t>
      </w:r>
    </w:p>
    <w:p w:rsidR="0048364F" w:rsidRPr="00006C42" w:rsidRDefault="0048364F" w:rsidP="00006C42">
      <w:pPr>
        <w:pStyle w:val="ActHead5"/>
      </w:pPr>
      <w:bookmarkStart w:id="4" w:name="_Toc393786021"/>
      <w:r w:rsidRPr="00006C42">
        <w:rPr>
          <w:rStyle w:val="CharSectno"/>
        </w:rPr>
        <w:t>3</w:t>
      </w:r>
      <w:r w:rsidRPr="00006C42">
        <w:t xml:space="preserve">  Schedule(s)</w:t>
      </w:r>
      <w:bookmarkEnd w:id="4"/>
    </w:p>
    <w:p w:rsidR="0048364F" w:rsidRPr="00006C42" w:rsidRDefault="0048364F" w:rsidP="00006C42">
      <w:pPr>
        <w:pStyle w:val="subsection"/>
      </w:pPr>
      <w:r w:rsidRPr="00006C42">
        <w:tab/>
      </w:r>
      <w:r w:rsidRPr="00006C42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6C7A57" w:rsidRPr="00006C42" w:rsidRDefault="006C7A57" w:rsidP="00006C42">
      <w:pPr>
        <w:pStyle w:val="ActHead6"/>
        <w:pageBreakBefore/>
      </w:pPr>
      <w:bookmarkStart w:id="5" w:name="_Toc393786022"/>
      <w:bookmarkStart w:id="6" w:name="opcAmSched"/>
      <w:r w:rsidRPr="00006C42">
        <w:rPr>
          <w:rStyle w:val="CharAmSchNo"/>
        </w:rPr>
        <w:t>Schedule</w:t>
      </w:r>
      <w:r w:rsidR="00006C42" w:rsidRPr="00006C42">
        <w:rPr>
          <w:rStyle w:val="CharAmSchNo"/>
        </w:rPr>
        <w:t> </w:t>
      </w:r>
      <w:r w:rsidRPr="00006C42">
        <w:rPr>
          <w:rStyle w:val="CharAmSchNo"/>
        </w:rPr>
        <w:t>1</w:t>
      </w:r>
      <w:r w:rsidRPr="00006C42">
        <w:t>—</w:t>
      </w:r>
      <w:r w:rsidRPr="00006C42">
        <w:rPr>
          <w:rStyle w:val="CharAmSchText"/>
        </w:rPr>
        <w:t>Regulatory powers amendments</w:t>
      </w:r>
      <w:bookmarkEnd w:id="5"/>
    </w:p>
    <w:p w:rsidR="006C7A57" w:rsidRPr="00006C42" w:rsidRDefault="006C7A57" w:rsidP="00006C42">
      <w:pPr>
        <w:pStyle w:val="ActHead7"/>
      </w:pPr>
      <w:bookmarkStart w:id="7" w:name="_Toc393786023"/>
      <w:bookmarkEnd w:id="6"/>
      <w:r w:rsidRPr="00006C42">
        <w:rPr>
          <w:rStyle w:val="CharAmPartNo"/>
        </w:rPr>
        <w:t>Part</w:t>
      </w:r>
      <w:r w:rsidR="00006C42" w:rsidRPr="00006C42">
        <w:rPr>
          <w:rStyle w:val="CharAmPartNo"/>
        </w:rPr>
        <w:t> </w:t>
      </w:r>
      <w:r w:rsidRPr="00006C42">
        <w:rPr>
          <w:rStyle w:val="CharAmPartNo"/>
        </w:rPr>
        <w:t>1</w:t>
      </w:r>
      <w:r w:rsidRPr="00006C42">
        <w:t>—</w:t>
      </w:r>
      <w:r w:rsidRPr="00006C42">
        <w:rPr>
          <w:rStyle w:val="CharAmPartText"/>
        </w:rPr>
        <w:t>Offshore Petroleum and Greenhouse Gas Storage Amendment (Compliance Measures) Act 2013</w:t>
      </w:r>
      <w:bookmarkEnd w:id="7"/>
    </w:p>
    <w:p w:rsidR="006C7A57" w:rsidRPr="00006C42" w:rsidRDefault="00176CB9" w:rsidP="00006C42">
      <w:pPr>
        <w:pStyle w:val="ItemHead"/>
      </w:pPr>
      <w:r w:rsidRPr="00006C42">
        <w:t>1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2(1) (table items</w:t>
      </w:r>
      <w:r w:rsidR="00006C42" w:rsidRPr="00006C42">
        <w:t> </w:t>
      </w:r>
      <w:r w:rsidR="006C7A57" w:rsidRPr="00006C42">
        <w:t xml:space="preserve">2 and 3, column 2, </w:t>
      </w:r>
      <w:r w:rsidR="00006C42" w:rsidRPr="00006C42">
        <w:t>paragraph (</w:t>
      </w:r>
      <w:r w:rsidR="006C7A57" w:rsidRPr="00006C42">
        <w:t>b))</w:t>
      </w:r>
    </w:p>
    <w:p w:rsidR="006C7A57" w:rsidRPr="00006C42" w:rsidRDefault="006C7A57" w:rsidP="00006C42">
      <w:pPr>
        <w:pStyle w:val="Item"/>
      </w:pPr>
      <w:r w:rsidRPr="00006C42">
        <w:t>Omit “</w:t>
      </w:r>
      <w:r w:rsidRPr="00006C42">
        <w:rPr>
          <w:i/>
        </w:rPr>
        <w:t>Regulatory Powers (Standard Provisions) Act 2013</w:t>
      </w:r>
      <w:r w:rsidRPr="00006C42">
        <w:t>”, substitute “</w:t>
      </w:r>
      <w:r w:rsidRPr="00006C42">
        <w:rPr>
          <w:i/>
        </w:rPr>
        <w:t>Regulatory Powers (Standard Provisions) Act 2014</w:t>
      </w:r>
      <w:r w:rsidRPr="00006C42">
        <w:t>”.</w:t>
      </w:r>
    </w:p>
    <w:p w:rsidR="006C7A57" w:rsidRPr="00006C42" w:rsidRDefault="00176CB9" w:rsidP="00006C42">
      <w:pPr>
        <w:pStyle w:val="ItemHead"/>
      </w:pPr>
      <w:r w:rsidRPr="00006C42">
        <w:t>2</w:t>
      </w:r>
      <w:r w:rsidR="006C7A57" w:rsidRPr="00006C42">
        <w:t xml:space="preserve">  Part</w:t>
      </w:r>
      <w:r w:rsidR="00006C42" w:rsidRPr="00006C42">
        <w:t> </w:t>
      </w:r>
      <w:r w:rsidR="006C7A57" w:rsidRPr="00006C42">
        <w:t>1 of Schedule</w:t>
      </w:r>
      <w:r w:rsidR="00006C42" w:rsidRPr="00006C42">
        <w:t> </w:t>
      </w:r>
      <w:r w:rsidR="006C7A57" w:rsidRPr="00006C42">
        <w:t>1 (heading)</w:t>
      </w:r>
    </w:p>
    <w:p w:rsidR="006C7A57" w:rsidRPr="00006C42" w:rsidRDefault="006C7A57" w:rsidP="00006C42">
      <w:pPr>
        <w:pStyle w:val="Item"/>
      </w:pPr>
      <w:r w:rsidRPr="00006C42">
        <w:t>Repeal the heading, substitute:</w:t>
      </w:r>
    </w:p>
    <w:p w:rsidR="006C7A57" w:rsidRPr="00006C42" w:rsidRDefault="006C7A57" w:rsidP="00006C42">
      <w:pPr>
        <w:pStyle w:val="ActHead2"/>
      </w:pPr>
      <w:bookmarkStart w:id="8" w:name="f_Check_Lines_above"/>
      <w:bookmarkStart w:id="9" w:name="_Toc393786024"/>
      <w:bookmarkEnd w:id="8"/>
      <w:r w:rsidRPr="00006C42">
        <w:rPr>
          <w:rStyle w:val="CharPartNo"/>
        </w:rPr>
        <w:t>Part</w:t>
      </w:r>
      <w:r w:rsidR="00006C42" w:rsidRPr="00006C42">
        <w:rPr>
          <w:rStyle w:val="CharPartNo"/>
        </w:rPr>
        <w:t> </w:t>
      </w:r>
      <w:r w:rsidRPr="00006C42">
        <w:rPr>
          <w:rStyle w:val="CharPartNo"/>
        </w:rPr>
        <w:t>1</w:t>
      </w:r>
      <w:r w:rsidRPr="00006C42">
        <w:t>—</w:t>
      </w:r>
      <w:r w:rsidR="00501DEA" w:rsidRPr="00006C42">
        <w:rPr>
          <w:rStyle w:val="CharPartText"/>
        </w:rPr>
        <w:t xml:space="preserve">Application </w:t>
      </w:r>
      <w:r w:rsidRPr="00006C42">
        <w:rPr>
          <w:rStyle w:val="CharPartText"/>
        </w:rPr>
        <w:t xml:space="preserve">of the Regulatory Powers </w:t>
      </w:r>
      <w:r w:rsidR="004E6E3E" w:rsidRPr="00006C42">
        <w:rPr>
          <w:rStyle w:val="CharPartText"/>
        </w:rPr>
        <w:t xml:space="preserve">(Standard Provisions) </w:t>
      </w:r>
      <w:r w:rsidRPr="00006C42">
        <w:rPr>
          <w:rStyle w:val="CharPartText"/>
        </w:rPr>
        <w:t>Act 2014</w:t>
      </w:r>
      <w:bookmarkEnd w:id="9"/>
    </w:p>
    <w:p w:rsidR="006C7A57" w:rsidRPr="00006C42" w:rsidRDefault="00176CB9" w:rsidP="00006C42">
      <w:pPr>
        <w:pStyle w:val="ItemHead"/>
      </w:pPr>
      <w:r w:rsidRPr="00006C42">
        <w:t>3</w:t>
      </w:r>
      <w:r w:rsidR="006C7A57" w:rsidRPr="00006C42">
        <w:t xml:space="preserve">  Item</w:t>
      </w:r>
      <w:r w:rsidR="00006C42" w:rsidRPr="00006C42">
        <w:t> </w:t>
      </w:r>
      <w:r w:rsidR="006C7A57" w:rsidRPr="00006C42">
        <w:t>154 of Schedule</w:t>
      </w:r>
      <w:r w:rsidR="00006C42" w:rsidRPr="00006C42">
        <w:t> </w:t>
      </w:r>
      <w:r w:rsidR="006C7A57" w:rsidRPr="00006C42">
        <w:t xml:space="preserve">1 (definition of </w:t>
      </w:r>
      <w:r w:rsidR="006C7A57" w:rsidRPr="00006C42">
        <w:rPr>
          <w:i/>
        </w:rPr>
        <w:t>Regulatory Powers Act</w:t>
      </w:r>
      <w:r w:rsidR="006C7A57" w:rsidRPr="00006C42">
        <w:t>)</w:t>
      </w:r>
    </w:p>
    <w:p w:rsidR="006C7A57" w:rsidRPr="00006C42" w:rsidRDefault="00496C1F" w:rsidP="00006C42">
      <w:pPr>
        <w:pStyle w:val="Item"/>
      </w:pPr>
      <w:r w:rsidRPr="00006C42">
        <w:t>Repeal the definition.</w:t>
      </w:r>
    </w:p>
    <w:p w:rsidR="006C7A57" w:rsidRPr="00006C42" w:rsidRDefault="006C7A57" w:rsidP="00006C42">
      <w:pPr>
        <w:pStyle w:val="ActHead7"/>
        <w:pageBreakBefore/>
      </w:pPr>
      <w:bookmarkStart w:id="10" w:name="_Toc393786025"/>
      <w:r w:rsidRPr="00006C42">
        <w:rPr>
          <w:rStyle w:val="CharAmPartNo"/>
        </w:rPr>
        <w:t>Part</w:t>
      </w:r>
      <w:r w:rsidR="00006C42" w:rsidRPr="00006C42">
        <w:rPr>
          <w:rStyle w:val="CharAmPartNo"/>
        </w:rPr>
        <w:t> </w:t>
      </w:r>
      <w:r w:rsidRPr="00006C42">
        <w:rPr>
          <w:rStyle w:val="CharAmPartNo"/>
        </w:rPr>
        <w:t>2</w:t>
      </w:r>
      <w:r w:rsidRPr="00006C42">
        <w:t>—</w:t>
      </w:r>
      <w:r w:rsidRPr="00006C42">
        <w:rPr>
          <w:rStyle w:val="CharAmPartText"/>
        </w:rPr>
        <w:t>Offshore Petroleum and Greenhouse Gas Storage Act 2006</w:t>
      </w:r>
      <w:bookmarkEnd w:id="10"/>
    </w:p>
    <w:p w:rsidR="006C7A57" w:rsidRPr="00006C42" w:rsidRDefault="00176CB9" w:rsidP="00006C42">
      <w:pPr>
        <w:pStyle w:val="ItemHead"/>
      </w:pPr>
      <w:r w:rsidRPr="00006C42">
        <w:t>4</w:t>
      </w:r>
      <w:r w:rsidR="006C7A57" w:rsidRPr="00006C42">
        <w:t xml:space="preserve">  Section</w:t>
      </w:r>
      <w:r w:rsidR="00006C42" w:rsidRPr="00006C42">
        <w:t> </w:t>
      </w:r>
      <w:r w:rsidR="006C7A57" w:rsidRPr="00006C42">
        <w:t xml:space="preserve">7 (definition of </w:t>
      </w:r>
      <w:r w:rsidR="006C7A57" w:rsidRPr="00006C42">
        <w:rPr>
          <w:i/>
        </w:rPr>
        <w:t>Regulatory Powers Act</w:t>
      </w:r>
      <w:r w:rsidR="006C7A57" w:rsidRPr="00006C42">
        <w:t>)</w:t>
      </w:r>
    </w:p>
    <w:p w:rsidR="006C7A57" w:rsidRPr="00006C42" w:rsidRDefault="006C7A57" w:rsidP="00006C42">
      <w:pPr>
        <w:pStyle w:val="Item"/>
      </w:pPr>
      <w:r w:rsidRPr="00006C42">
        <w:t>Omit “</w:t>
      </w:r>
      <w:r w:rsidRPr="00006C42">
        <w:rPr>
          <w:i/>
        </w:rPr>
        <w:t>Regulatory Powers (Standard Provisions) Act 2013</w:t>
      </w:r>
      <w:r w:rsidRPr="00006C42">
        <w:t>”, substitute “</w:t>
      </w:r>
      <w:r w:rsidRPr="00006C42">
        <w:rPr>
          <w:i/>
        </w:rPr>
        <w:t>Regulatory Powers (Standard Provisions) Act 2014</w:t>
      </w:r>
      <w:r w:rsidRPr="00006C42">
        <w:t>”.</w:t>
      </w:r>
    </w:p>
    <w:p w:rsidR="006C7A57" w:rsidRPr="00006C42" w:rsidRDefault="00176CB9" w:rsidP="00006C42">
      <w:pPr>
        <w:pStyle w:val="ItemHead"/>
      </w:pPr>
      <w:r w:rsidRPr="00006C42">
        <w:t>5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602C(1) (note 1)</w:t>
      </w:r>
    </w:p>
    <w:p w:rsidR="006C7A57" w:rsidRPr="00006C42" w:rsidRDefault="006C7A57" w:rsidP="00006C42">
      <w:pPr>
        <w:pStyle w:val="Item"/>
      </w:pPr>
      <w:r w:rsidRPr="00006C42">
        <w:t>Omit “(see section</w:t>
      </w:r>
      <w:r w:rsidR="00006C42" w:rsidRPr="00006C42">
        <w:t> </w:t>
      </w:r>
      <w:r w:rsidRPr="00006C42">
        <w:t>20 of that Act)”.</w:t>
      </w:r>
    </w:p>
    <w:p w:rsidR="006C7A57" w:rsidRPr="00006C42" w:rsidRDefault="00176CB9" w:rsidP="00006C42">
      <w:pPr>
        <w:pStyle w:val="ItemHead"/>
      </w:pPr>
      <w:r w:rsidRPr="00006C42">
        <w:t>6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602C(2) (note)</w:t>
      </w:r>
    </w:p>
    <w:p w:rsidR="006C7A57" w:rsidRPr="00006C42" w:rsidRDefault="006C7A57" w:rsidP="00006C42">
      <w:pPr>
        <w:pStyle w:val="Item"/>
      </w:pPr>
      <w:r w:rsidRPr="00006C42">
        <w:t>Omit “(see section</w:t>
      </w:r>
      <w:r w:rsidR="00006C42" w:rsidRPr="00006C42">
        <w:t> </w:t>
      </w:r>
      <w:r w:rsidRPr="00006C42">
        <w:t>20 of that Act)”.</w:t>
      </w:r>
    </w:p>
    <w:p w:rsidR="006C7A57" w:rsidRPr="00006C42" w:rsidRDefault="00176CB9" w:rsidP="00006C42">
      <w:pPr>
        <w:pStyle w:val="ItemHead"/>
      </w:pPr>
      <w:r w:rsidRPr="00006C42">
        <w:t>7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602D(1) (note 1)</w:t>
      </w:r>
    </w:p>
    <w:p w:rsidR="006C7A57" w:rsidRPr="00006C42" w:rsidRDefault="006C7A57" w:rsidP="00006C42">
      <w:pPr>
        <w:pStyle w:val="Item"/>
      </w:pPr>
      <w:r w:rsidRPr="00006C42">
        <w:t>Omit “(see section</w:t>
      </w:r>
      <w:r w:rsidR="00006C42" w:rsidRPr="00006C42">
        <w:t> </w:t>
      </w:r>
      <w:r w:rsidRPr="00006C42">
        <w:t>50 of that Act)”.</w:t>
      </w:r>
    </w:p>
    <w:p w:rsidR="006C7A57" w:rsidRPr="00006C42" w:rsidRDefault="00176CB9" w:rsidP="00006C42">
      <w:pPr>
        <w:pStyle w:val="ItemHead"/>
      </w:pPr>
      <w:r w:rsidRPr="00006C42">
        <w:t>8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602G(2)</w:t>
      </w:r>
    </w:p>
    <w:p w:rsidR="006C7A57" w:rsidRPr="00006C42" w:rsidRDefault="006C7A57" w:rsidP="00006C42">
      <w:pPr>
        <w:pStyle w:val="Item"/>
      </w:pPr>
      <w:r w:rsidRPr="00006C42">
        <w:t>Omit “section</w:t>
      </w:r>
      <w:r w:rsidR="00006C42" w:rsidRPr="00006C42">
        <w:t> </w:t>
      </w:r>
      <w:r w:rsidRPr="00006C42">
        <w:t>32 or 64 of the Regulatory Powers Act”, substitute “section</w:t>
      </w:r>
      <w:r w:rsidR="00006C42" w:rsidRPr="00006C42">
        <w:t> </w:t>
      </w:r>
      <w:r w:rsidRPr="00006C42">
        <w:t>31 or 63 of the Regulatory Powers Act”.</w:t>
      </w:r>
    </w:p>
    <w:p w:rsidR="006C7A57" w:rsidRPr="00006C42" w:rsidRDefault="00176CB9" w:rsidP="00006C42">
      <w:pPr>
        <w:pStyle w:val="ItemHead"/>
      </w:pPr>
      <w:r w:rsidRPr="00006C42">
        <w:t>9</w:t>
      </w:r>
      <w:r w:rsidR="006C7A57" w:rsidRPr="00006C42">
        <w:t xml:space="preserve">  Subparagraph 602G(2)(a)(ii)</w:t>
      </w:r>
    </w:p>
    <w:p w:rsidR="006C7A57" w:rsidRPr="00006C42" w:rsidRDefault="006C7A57" w:rsidP="00006C42">
      <w:pPr>
        <w:pStyle w:val="Item"/>
      </w:pPr>
      <w:r w:rsidRPr="00006C42">
        <w:t>Omit “section</w:t>
      </w:r>
      <w:r w:rsidR="00006C42" w:rsidRPr="00006C42">
        <w:t> </w:t>
      </w:r>
      <w:r w:rsidRPr="00006C42">
        <w:t>24 or 54 of the Regulatory Powers Act”, substitute “section</w:t>
      </w:r>
      <w:r w:rsidR="00006C42" w:rsidRPr="00006C42">
        <w:t> </w:t>
      </w:r>
      <w:r w:rsidRPr="00006C42">
        <w:t>23 or 53 of the Regulatory Powers Act”.</w:t>
      </w:r>
    </w:p>
    <w:p w:rsidR="006C7A57" w:rsidRPr="00006C42" w:rsidRDefault="00176CB9" w:rsidP="00006C42">
      <w:pPr>
        <w:pStyle w:val="ItemHead"/>
      </w:pPr>
      <w:r w:rsidRPr="00006C42">
        <w:t>10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602G(2) (note)</w:t>
      </w:r>
    </w:p>
    <w:p w:rsidR="006C7A57" w:rsidRPr="00006C42" w:rsidRDefault="006C7A57" w:rsidP="00006C42">
      <w:pPr>
        <w:pStyle w:val="Item"/>
      </w:pPr>
      <w:r w:rsidRPr="00006C42">
        <w:t>Omit “sections</w:t>
      </w:r>
      <w:r w:rsidR="00006C42" w:rsidRPr="00006C42">
        <w:t> </w:t>
      </w:r>
      <w:r w:rsidRPr="00006C42">
        <w:t>24 and 54 of the Regulatory Powers Act”, substitute “sections</w:t>
      </w:r>
      <w:r w:rsidR="00006C42" w:rsidRPr="00006C42">
        <w:t> </w:t>
      </w:r>
      <w:r w:rsidRPr="00006C42">
        <w:t>23 and 53 of the Regulatory Powers Act”.</w:t>
      </w:r>
    </w:p>
    <w:p w:rsidR="00C538F8" w:rsidRPr="00006C42" w:rsidRDefault="00176CB9" w:rsidP="00006C42">
      <w:pPr>
        <w:pStyle w:val="ItemHead"/>
      </w:pPr>
      <w:r w:rsidRPr="00006C42">
        <w:t>11</w:t>
      </w:r>
      <w:r w:rsidR="00C538F8" w:rsidRPr="00006C42">
        <w:t xml:space="preserve">  At the end of paragraph</w:t>
      </w:r>
      <w:r w:rsidR="00006C42" w:rsidRPr="00006C42">
        <w:t> </w:t>
      </w:r>
      <w:r w:rsidR="00C538F8" w:rsidRPr="00006C42">
        <w:t>611E(1)(</w:t>
      </w:r>
      <w:proofErr w:type="spellStart"/>
      <w:r w:rsidR="00C538F8" w:rsidRPr="00006C42">
        <w:t>i</w:t>
      </w:r>
      <w:proofErr w:type="spellEnd"/>
      <w:r w:rsidR="00C538F8" w:rsidRPr="00006C42">
        <w:t>)</w:t>
      </w:r>
    </w:p>
    <w:p w:rsidR="00C538F8" w:rsidRPr="00006C42" w:rsidRDefault="00C538F8" w:rsidP="00006C42">
      <w:pPr>
        <w:pStyle w:val="Item"/>
      </w:pPr>
      <w:r w:rsidRPr="00006C42">
        <w:t>Add “, in its application to a contravention of subclause</w:t>
      </w:r>
      <w:r w:rsidR="00006C42" w:rsidRPr="00006C42">
        <w:t> </w:t>
      </w:r>
      <w:r w:rsidRPr="00006C42">
        <w:t>6(2) of that Schedule”.</w:t>
      </w:r>
    </w:p>
    <w:p w:rsidR="006C7A57" w:rsidRPr="00006C42" w:rsidRDefault="00176CB9" w:rsidP="00006C42">
      <w:pPr>
        <w:pStyle w:val="ItemHead"/>
      </w:pPr>
      <w:r w:rsidRPr="00006C42">
        <w:t>12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611E(4)</w:t>
      </w:r>
    </w:p>
    <w:p w:rsidR="006C7A57" w:rsidRPr="00006C42" w:rsidRDefault="006C7A57" w:rsidP="00006C42">
      <w:pPr>
        <w:pStyle w:val="Item"/>
      </w:pPr>
      <w:r w:rsidRPr="00006C42">
        <w:t>Omit “paragraph</w:t>
      </w:r>
      <w:r w:rsidR="00006C42" w:rsidRPr="00006C42">
        <w:t> </w:t>
      </w:r>
      <w:r w:rsidRPr="00006C42">
        <w:t>108(1)(j) of the Regulatory Powers Act”, substitute “paragraph</w:t>
      </w:r>
      <w:r w:rsidR="00006C42" w:rsidRPr="00006C42">
        <w:t> </w:t>
      </w:r>
      <w:r w:rsidRPr="00006C42">
        <w:t>104(1)(j) of the Regulatory Powers Act”.</w:t>
      </w:r>
    </w:p>
    <w:p w:rsidR="006C7A57" w:rsidRPr="00006C42" w:rsidRDefault="00176CB9" w:rsidP="00006C42">
      <w:pPr>
        <w:pStyle w:val="ItemHead"/>
      </w:pPr>
      <w:r w:rsidRPr="00006C42">
        <w:t>13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611E(6)</w:t>
      </w:r>
    </w:p>
    <w:p w:rsidR="006C7A57" w:rsidRPr="00006C42" w:rsidRDefault="006C7A57" w:rsidP="00006C42">
      <w:pPr>
        <w:pStyle w:val="Item"/>
      </w:pPr>
      <w:r w:rsidRPr="00006C42">
        <w:t>Omit “subsection</w:t>
      </w:r>
      <w:r w:rsidR="00006C42" w:rsidRPr="00006C42">
        <w:t> </w:t>
      </w:r>
      <w:r w:rsidRPr="00006C42">
        <w:t>107(3) of the Regulatory Powers Act”, substitute “subsection</w:t>
      </w:r>
      <w:r w:rsidR="00006C42" w:rsidRPr="00006C42">
        <w:t> </w:t>
      </w:r>
      <w:r w:rsidRPr="00006C42">
        <w:t>103(3) of the Regulatory Powers Act”.</w:t>
      </w:r>
    </w:p>
    <w:p w:rsidR="006C7A57" w:rsidRPr="00006C42" w:rsidRDefault="00176CB9" w:rsidP="00006C42">
      <w:pPr>
        <w:pStyle w:val="ItemHead"/>
      </w:pPr>
      <w:r w:rsidRPr="00006C42">
        <w:t>14</w:t>
      </w:r>
      <w:r w:rsidR="006C7A57" w:rsidRPr="00006C42">
        <w:t xml:space="preserve">  Section</w:t>
      </w:r>
      <w:r w:rsidR="00006C42" w:rsidRPr="00006C42">
        <w:t> </w:t>
      </w:r>
      <w:r w:rsidR="006C7A57" w:rsidRPr="00006C42">
        <w:t>611F</w:t>
      </w:r>
    </w:p>
    <w:p w:rsidR="006C7A57" w:rsidRPr="00006C42" w:rsidRDefault="006C7A57" w:rsidP="00006C42">
      <w:pPr>
        <w:pStyle w:val="Item"/>
      </w:pPr>
      <w:r w:rsidRPr="00006C42">
        <w:t>Omit “subsection</w:t>
      </w:r>
      <w:r w:rsidR="00006C42" w:rsidRPr="00006C42">
        <w:t> </w:t>
      </w:r>
      <w:r w:rsidRPr="00006C42">
        <w:t>107(4) of the Regulatory Powers Act, and despite subsection</w:t>
      </w:r>
      <w:r w:rsidR="00006C42" w:rsidRPr="00006C42">
        <w:t> </w:t>
      </w:r>
      <w:r w:rsidRPr="00006C42">
        <w:t>107(3) of that Act”, substitute “subsection</w:t>
      </w:r>
      <w:r w:rsidR="00006C42" w:rsidRPr="00006C42">
        <w:t> </w:t>
      </w:r>
      <w:r w:rsidRPr="00006C42">
        <w:t>103(4) of the Regulatory Powers Act, and despite subsection</w:t>
      </w:r>
      <w:r w:rsidR="00006C42" w:rsidRPr="00006C42">
        <w:t> </w:t>
      </w:r>
      <w:r w:rsidRPr="00006C42">
        <w:t>103(3) of that Act”.</w:t>
      </w:r>
    </w:p>
    <w:p w:rsidR="006C7A57" w:rsidRPr="00006C42" w:rsidRDefault="00176CB9" w:rsidP="00006C42">
      <w:pPr>
        <w:pStyle w:val="ItemHead"/>
      </w:pPr>
      <w:r w:rsidRPr="00006C42">
        <w:t>15</w:t>
      </w:r>
      <w:r w:rsidR="006C7A57" w:rsidRPr="00006C42">
        <w:t xml:space="preserve">  Paragraphs 611G(1)(a) and (2)(a)</w:t>
      </w:r>
    </w:p>
    <w:p w:rsidR="006C7A57" w:rsidRPr="00006C42" w:rsidRDefault="006C7A57" w:rsidP="00006C42">
      <w:pPr>
        <w:pStyle w:val="Item"/>
      </w:pPr>
      <w:r w:rsidRPr="00006C42">
        <w:t>Omit “section</w:t>
      </w:r>
      <w:r w:rsidR="00006C42" w:rsidRPr="00006C42">
        <w:t> </w:t>
      </w:r>
      <w:r w:rsidRPr="00006C42">
        <w:t>109 of the Regulatory Powers Act”, substitute “section</w:t>
      </w:r>
      <w:r w:rsidR="00006C42" w:rsidRPr="00006C42">
        <w:t> </w:t>
      </w:r>
      <w:r w:rsidRPr="00006C42">
        <w:t>105 of the Regulatory Powers Act”.</w:t>
      </w:r>
    </w:p>
    <w:p w:rsidR="006C7A57" w:rsidRPr="00006C42" w:rsidRDefault="00176CB9" w:rsidP="00006C42">
      <w:pPr>
        <w:pStyle w:val="ItemHead"/>
      </w:pPr>
      <w:r w:rsidRPr="00006C42">
        <w:t>16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611J(4)</w:t>
      </w:r>
    </w:p>
    <w:p w:rsidR="006C7A57" w:rsidRPr="00006C42" w:rsidRDefault="006C7A57" w:rsidP="00006C42">
      <w:pPr>
        <w:pStyle w:val="Item"/>
      </w:pPr>
      <w:r w:rsidRPr="00006C42">
        <w:t>Omit “section</w:t>
      </w:r>
      <w:r w:rsidR="00006C42" w:rsidRPr="00006C42">
        <w:t> </w:t>
      </w:r>
      <w:r w:rsidRPr="00006C42">
        <w:t>127”, substitute “section</w:t>
      </w:r>
      <w:r w:rsidR="00006C42" w:rsidRPr="00006C42">
        <w:t> </w:t>
      </w:r>
      <w:r w:rsidRPr="00006C42">
        <w:t>121”</w:t>
      </w:r>
    </w:p>
    <w:p w:rsidR="006C7A57" w:rsidRPr="00006C42" w:rsidRDefault="00176CB9" w:rsidP="00006C42">
      <w:pPr>
        <w:pStyle w:val="ItemHead"/>
      </w:pPr>
      <w:r w:rsidRPr="00006C42">
        <w:t>17</w:t>
      </w:r>
      <w:r w:rsidR="006C7A57" w:rsidRPr="00006C42">
        <w:t xml:space="preserve">  Subsection</w:t>
      </w:r>
      <w:r w:rsidR="00006C42" w:rsidRPr="00006C42">
        <w:t> </w:t>
      </w:r>
      <w:r w:rsidR="006C7A57" w:rsidRPr="00006C42">
        <w:t>780F(8A)(a)</w:t>
      </w:r>
    </w:p>
    <w:p w:rsidR="006C7A57" w:rsidRPr="00006C42" w:rsidRDefault="006C7A57" w:rsidP="00006C42">
      <w:pPr>
        <w:pStyle w:val="Item"/>
      </w:pPr>
      <w:r w:rsidRPr="00006C42">
        <w:t>Omit “subsection</w:t>
      </w:r>
      <w:r w:rsidR="00006C42" w:rsidRPr="00006C42">
        <w:t> </w:t>
      </w:r>
      <w:r w:rsidRPr="00006C42">
        <w:t>36(6) or 77(6) of the Regulatory Powers Act”, substitute “subsection</w:t>
      </w:r>
      <w:r w:rsidR="00006C42" w:rsidRPr="00006C42">
        <w:t> </w:t>
      </w:r>
      <w:r w:rsidRPr="00006C42">
        <w:t>35(6) or 76(6) of the Regulatory Powers Act”.</w:t>
      </w:r>
    </w:p>
    <w:p w:rsidR="006C7A57" w:rsidRPr="00006C42" w:rsidRDefault="00176CB9" w:rsidP="00006C42">
      <w:pPr>
        <w:pStyle w:val="ItemHead"/>
      </w:pPr>
      <w:r w:rsidRPr="00006C42">
        <w:t>18</w:t>
      </w:r>
      <w:r w:rsidR="006C7A57" w:rsidRPr="00006C42">
        <w:t xml:space="preserve">  Amendments of listed provisions—references to section</w:t>
      </w:r>
      <w:r w:rsidR="00006C42" w:rsidRPr="00006C42">
        <w:t> </w:t>
      </w:r>
      <w:r w:rsidR="006C7A57" w:rsidRPr="00006C42">
        <w:t>93 of the Regulatory Powers Act</w:t>
      </w:r>
    </w:p>
    <w:p w:rsidR="006C7A57" w:rsidRPr="00006C42" w:rsidRDefault="006C7A57" w:rsidP="00006C42">
      <w:pPr>
        <w:pStyle w:val="Item"/>
      </w:pPr>
      <w:r w:rsidRPr="00006C42">
        <w:t>Omit “section</w:t>
      </w:r>
      <w:r w:rsidR="00006C42" w:rsidRPr="00006C42">
        <w:t> </w:t>
      </w:r>
      <w:r w:rsidRPr="00006C42">
        <w:t>96 of the Regulatory Powers Act” and substitute “section</w:t>
      </w:r>
      <w:r w:rsidR="00006C42" w:rsidRPr="00006C42">
        <w:t> </w:t>
      </w:r>
      <w:r w:rsidRPr="00006C42">
        <w:t>93 of th</w:t>
      </w:r>
      <w:r w:rsidR="00562F1D" w:rsidRPr="00006C42">
        <w:t>e Regulatory Powers Act” in the</w:t>
      </w:r>
      <w:r w:rsidRPr="00006C42">
        <w:t xml:space="preserve"> following provisions:</w:t>
      </w:r>
    </w:p>
    <w:p w:rsidR="006C7A57" w:rsidRPr="00006C42" w:rsidRDefault="006C7A57" w:rsidP="00006C42">
      <w:pPr>
        <w:pStyle w:val="paragraph"/>
      </w:pPr>
      <w:r w:rsidRPr="00006C42">
        <w:tab/>
        <w:t>(a)</w:t>
      </w:r>
      <w:r w:rsidRPr="00006C42">
        <w:tab/>
        <w:t>subsection</w:t>
      </w:r>
      <w:r w:rsidR="00006C42" w:rsidRPr="00006C42">
        <w:t> </w:t>
      </w:r>
      <w:r w:rsidRPr="00006C42">
        <w:t>249(6)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(b)</w:t>
      </w:r>
      <w:r w:rsidRPr="00006C42">
        <w:tab/>
        <w:t>subsection</w:t>
      </w:r>
      <w:r w:rsidR="00006C42" w:rsidRPr="00006C42">
        <w:t> </w:t>
      </w:r>
      <w:r w:rsidRPr="00006C42">
        <w:t>284(9)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(c)</w:t>
      </w:r>
      <w:r w:rsidRPr="00006C42">
        <w:tab/>
        <w:t>subsection</w:t>
      </w:r>
      <w:r w:rsidR="00006C42" w:rsidRPr="00006C42">
        <w:t> </w:t>
      </w:r>
      <w:r w:rsidRPr="00006C42">
        <w:t>286A(8C)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(d)</w:t>
      </w:r>
      <w:r w:rsidRPr="00006C42">
        <w:tab/>
        <w:t>subsection</w:t>
      </w:r>
      <w:r w:rsidR="00006C42" w:rsidRPr="00006C42">
        <w:t> </w:t>
      </w:r>
      <w:r w:rsidRPr="00006C42">
        <w:t>507(5C)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(e)</w:t>
      </w:r>
      <w:r w:rsidRPr="00006C42">
        <w:tab/>
        <w:t>subsection</w:t>
      </w:r>
      <w:r w:rsidR="00006C42" w:rsidRPr="00006C42">
        <w:t> </w:t>
      </w:r>
      <w:r w:rsidRPr="00006C42">
        <w:t>508(5C)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(f)</w:t>
      </w:r>
      <w:r w:rsidRPr="00006C42">
        <w:tab/>
        <w:t>subsection</w:t>
      </w:r>
      <w:r w:rsidR="00006C42" w:rsidRPr="00006C42">
        <w:t> </w:t>
      </w:r>
      <w:r w:rsidRPr="00006C42">
        <w:t>509(6C)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(g)</w:t>
      </w:r>
      <w:r w:rsidRPr="00006C42">
        <w:tab/>
        <w:t>subsection</w:t>
      </w:r>
      <w:r w:rsidR="00006C42" w:rsidRPr="00006C42">
        <w:t> </w:t>
      </w:r>
      <w:r w:rsidRPr="00006C42">
        <w:t>576D(7)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(h)</w:t>
      </w:r>
      <w:r w:rsidRPr="00006C42">
        <w:tab/>
        <w:t>subsection</w:t>
      </w:r>
      <w:r w:rsidR="00006C42" w:rsidRPr="00006C42">
        <w:t> </w:t>
      </w:r>
      <w:r w:rsidRPr="00006C42">
        <w:t>587B(5B)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subsection</w:t>
      </w:r>
      <w:r w:rsidR="00006C42" w:rsidRPr="00006C42">
        <w:t> </w:t>
      </w:r>
      <w:r w:rsidRPr="00006C42">
        <w:t>699(5C)</w:t>
      </w:r>
      <w:r w:rsidR="00562F1D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(j)</w:t>
      </w:r>
      <w:r w:rsidRPr="00006C42">
        <w:tab/>
        <w:t>subclause</w:t>
      </w:r>
      <w:r w:rsidR="00006C42" w:rsidRPr="00006C42">
        <w:t> </w:t>
      </w:r>
      <w:r w:rsidRPr="00006C42">
        <w:t>11D(8) of Schedule</w:t>
      </w:r>
      <w:r w:rsidR="00006C42" w:rsidRPr="00006C42">
        <w:t> </w:t>
      </w:r>
      <w:r w:rsidRPr="00006C42">
        <w:t>2A</w:t>
      </w:r>
      <w:r w:rsidR="00963754" w:rsidRPr="00006C42">
        <w:t xml:space="preserve"> (note)</w:t>
      </w:r>
      <w:r w:rsidRPr="00006C42">
        <w:t>;</w:t>
      </w:r>
    </w:p>
    <w:p w:rsidR="006C7A57" w:rsidRPr="00006C42" w:rsidRDefault="006C7A57" w:rsidP="00006C42">
      <w:pPr>
        <w:pStyle w:val="paragraph"/>
      </w:pPr>
      <w:r w:rsidRPr="00006C42">
        <w:tab/>
        <w:t>(k)</w:t>
      </w:r>
      <w:r w:rsidRPr="00006C42">
        <w:tab/>
        <w:t>subclause</w:t>
      </w:r>
      <w:r w:rsidR="00006C42" w:rsidRPr="00006C42">
        <w:t> </w:t>
      </w:r>
      <w:r w:rsidRPr="00006C42">
        <w:t>78A(5) of Schedule</w:t>
      </w:r>
      <w:r w:rsidR="00006C42" w:rsidRPr="00006C42">
        <w:t> </w:t>
      </w:r>
      <w:r w:rsidRPr="00006C42">
        <w:t>3</w:t>
      </w:r>
      <w:r w:rsidR="00963754" w:rsidRPr="00006C42">
        <w:t xml:space="preserve"> (note).</w:t>
      </w:r>
    </w:p>
    <w:p w:rsidR="00501DEA" w:rsidRPr="00006C42" w:rsidRDefault="00501DEA" w:rsidP="00006C42">
      <w:pPr>
        <w:pStyle w:val="ActHead6"/>
        <w:pageBreakBefore/>
      </w:pPr>
      <w:bookmarkStart w:id="11" w:name="_Toc393786026"/>
      <w:bookmarkStart w:id="12" w:name="opcCurrentFind"/>
      <w:r w:rsidRPr="00006C42">
        <w:rPr>
          <w:rStyle w:val="CharAmSchNo"/>
        </w:rPr>
        <w:t>Schedule</w:t>
      </w:r>
      <w:r w:rsidR="00006C42" w:rsidRPr="00006C42">
        <w:rPr>
          <w:rStyle w:val="CharAmSchNo"/>
        </w:rPr>
        <w:t> </w:t>
      </w:r>
      <w:r w:rsidRPr="00006C42">
        <w:rPr>
          <w:rStyle w:val="CharAmSchNo"/>
        </w:rPr>
        <w:t>2</w:t>
      </w:r>
      <w:r w:rsidRPr="00006C42">
        <w:t>—</w:t>
      </w:r>
      <w:r w:rsidRPr="00006C42">
        <w:rPr>
          <w:rStyle w:val="CharAmSchText"/>
        </w:rPr>
        <w:t>Other measures</w:t>
      </w:r>
      <w:bookmarkEnd w:id="11"/>
    </w:p>
    <w:p w:rsidR="00501DEA" w:rsidRPr="00006C42" w:rsidRDefault="00501DEA" w:rsidP="00006C42">
      <w:pPr>
        <w:pStyle w:val="ActHead7"/>
      </w:pPr>
      <w:bookmarkStart w:id="13" w:name="_Toc393786027"/>
      <w:bookmarkEnd w:id="12"/>
      <w:r w:rsidRPr="00006C42">
        <w:rPr>
          <w:rStyle w:val="CharAmPartNo"/>
        </w:rPr>
        <w:t>Part</w:t>
      </w:r>
      <w:r w:rsidR="00006C42" w:rsidRPr="00006C42">
        <w:rPr>
          <w:rStyle w:val="CharAmPartNo"/>
        </w:rPr>
        <w:t> </w:t>
      </w:r>
      <w:r w:rsidRPr="00006C42">
        <w:rPr>
          <w:rStyle w:val="CharAmPartNo"/>
        </w:rPr>
        <w:t>1</w:t>
      </w:r>
      <w:r w:rsidRPr="00006C42">
        <w:t>—</w:t>
      </w:r>
      <w:r w:rsidR="004E6E3E" w:rsidRPr="00006C42">
        <w:rPr>
          <w:rStyle w:val="CharAmPartText"/>
        </w:rPr>
        <w:t>Offshore Petroleum and Greenhouse Gas Storage Act 2006</w:t>
      </w:r>
      <w:bookmarkEnd w:id="13"/>
    </w:p>
    <w:p w:rsidR="00501DEA" w:rsidRPr="00006C42" w:rsidRDefault="00176CB9" w:rsidP="00006C42">
      <w:pPr>
        <w:pStyle w:val="ItemHead"/>
      </w:pPr>
      <w:r w:rsidRPr="00006C42">
        <w:t>1</w:t>
      </w:r>
      <w:r w:rsidR="00501DEA" w:rsidRPr="00006C42">
        <w:t xml:space="preserve">  Subsection</w:t>
      </w:r>
      <w:r w:rsidR="00006C42" w:rsidRPr="00006C42">
        <w:t> </w:t>
      </w:r>
      <w:r w:rsidR="00501DEA" w:rsidRPr="00006C42">
        <w:t>343(1)</w:t>
      </w:r>
    </w:p>
    <w:p w:rsidR="00501DEA" w:rsidRPr="00006C42" w:rsidRDefault="00501DEA" w:rsidP="00006C42">
      <w:pPr>
        <w:pStyle w:val="Item"/>
      </w:pPr>
      <w:r w:rsidRPr="00006C42">
        <w:t>Repeal the subsection, substitute:</w:t>
      </w:r>
    </w:p>
    <w:p w:rsidR="00501DEA" w:rsidRPr="00006C42" w:rsidRDefault="00501DEA" w:rsidP="00006C42">
      <w:pPr>
        <w:pStyle w:val="SubsectionHead"/>
      </w:pPr>
      <w:r w:rsidRPr="00006C42">
        <w:t>Scope</w:t>
      </w:r>
    </w:p>
    <w:p w:rsidR="00501DEA" w:rsidRPr="00006C42" w:rsidRDefault="00501DEA" w:rsidP="00006C42">
      <w:pPr>
        <w:pStyle w:val="subsection"/>
      </w:pPr>
      <w:r w:rsidRPr="00006C42">
        <w:tab/>
        <w:t>(1)</w:t>
      </w:r>
      <w:r w:rsidRPr="00006C42">
        <w:tab/>
        <w:t>This section applies if: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a petroleum retention lease is in force; and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one or more identified greenhouse gas storage formations are wholly situated in the lease area.</w:t>
      </w:r>
    </w:p>
    <w:p w:rsidR="00501DEA" w:rsidRPr="00006C42" w:rsidRDefault="00501DEA" w:rsidP="00006C42">
      <w:pPr>
        <w:pStyle w:val="SubsectionHead"/>
      </w:pPr>
      <w:r w:rsidRPr="00006C42">
        <w:t>Single identified greenhouse gas storage formation</w:t>
      </w:r>
    </w:p>
    <w:p w:rsidR="00501DEA" w:rsidRPr="00006C42" w:rsidRDefault="00501DEA" w:rsidP="00006C42">
      <w:pPr>
        <w:pStyle w:val="subsection"/>
      </w:pPr>
      <w:r w:rsidRPr="00006C42">
        <w:tab/>
        <w:t>(1A)</w:t>
      </w:r>
      <w:r w:rsidRPr="00006C42">
        <w:tab/>
        <w:t>If: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a single identified greenhouse gas storage formation extends to: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only one block in the lease area; or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2 or more blocks in the lease area; and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none of the following is in force over the block or blocks to which the identified greenhouse gas storage formation extends: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a greenhouse gas injection licence;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a greenhouse gas holding lease;</w:t>
      </w:r>
    </w:p>
    <w:p w:rsidR="00501DEA" w:rsidRPr="00006C42" w:rsidRDefault="00501DEA" w:rsidP="00006C42">
      <w:pPr>
        <w:pStyle w:val="paragraphsub"/>
      </w:pPr>
      <w:r w:rsidRPr="00006C42">
        <w:tab/>
        <w:t>(iii)</w:t>
      </w:r>
      <w:r w:rsidRPr="00006C42">
        <w:tab/>
        <w:t>a greenhouse gas assessment permit;</w:t>
      </w:r>
    </w:p>
    <w:p w:rsidR="00501DEA" w:rsidRPr="00006C42" w:rsidRDefault="00501DEA" w:rsidP="00006C42">
      <w:pPr>
        <w:pStyle w:val="subsection2"/>
      </w:pPr>
      <w:r w:rsidRPr="00006C42">
        <w:t>the petroleum retention lessee may apply to the responsible Commonwealth Minister for the grant of a greenhouse gas holding lease over the block or blocks to which the identified greenhouse gas storage formation extends.</w:t>
      </w:r>
    </w:p>
    <w:p w:rsidR="00501DEA" w:rsidRPr="00006C42" w:rsidRDefault="00501DEA" w:rsidP="00006C42">
      <w:pPr>
        <w:pStyle w:val="SubsectionHead"/>
      </w:pPr>
      <w:r w:rsidRPr="00006C42">
        <w:t>Multiple identified greenhouse gas storage formations</w:t>
      </w:r>
    </w:p>
    <w:p w:rsidR="00501DEA" w:rsidRPr="00006C42" w:rsidRDefault="00501DEA" w:rsidP="00006C42">
      <w:pPr>
        <w:pStyle w:val="subsection"/>
      </w:pPr>
      <w:r w:rsidRPr="00006C42">
        <w:tab/>
        <w:t>(1B)</w:t>
      </w:r>
      <w:r w:rsidRPr="00006C42">
        <w:tab/>
        <w:t>If: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2 or more identified greenhouse gas storage formations, when considered together, extend to only one block in the lease area; and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a vertical line would not pass through a point in each of those identified greenhouse gas storage formations; and</w:t>
      </w:r>
    </w:p>
    <w:p w:rsidR="00501DEA" w:rsidRPr="00006C42" w:rsidRDefault="00501DEA" w:rsidP="00006C42">
      <w:pPr>
        <w:pStyle w:val="paragraph"/>
      </w:pPr>
      <w:r w:rsidRPr="00006C42">
        <w:tab/>
        <w:t>(c)</w:t>
      </w:r>
      <w:r w:rsidRPr="00006C42">
        <w:tab/>
        <w:t>none of the following is in force over the block to which the identified greenhouse gas storage formations, when considered together, extend: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a greenhouse gas injection licence;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a greenhouse gas holding lease;</w:t>
      </w:r>
    </w:p>
    <w:p w:rsidR="00501DEA" w:rsidRPr="00006C42" w:rsidRDefault="00501DEA" w:rsidP="00006C42">
      <w:pPr>
        <w:pStyle w:val="paragraphsub"/>
      </w:pPr>
      <w:r w:rsidRPr="00006C42">
        <w:tab/>
        <w:t>(iii)</w:t>
      </w:r>
      <w:r w:rsidRPr="00006C42">
        <w:tab/>
        <w:t>a greenhouse gas assessment permit;</w:t>
      </w:r>
    </w:p>
    <w:p w:rsidR="00501DEA" w:rsidRPr="00006C42" w:rsidRDefault="00501DEA" w:rsidP="00006C42">
      <w:pPr>
        <w:pStyle w:val="subsection2"/>
      </w:pPr>
      <w:r w:rsidRPr="00006C42">
        <w:t>the petroleum retention lessee may apply to the responsible Commonwealth Minister for the grant of a greenhouse gas holding lease over the block to which the identified greenhouse gas storage formations, when considered together, extend.</w:t>
      </w:r>
    </w:p>
    <w:p w:rsidR="00501DEA" w:rsidRPr="00006C42" w:rsidRDefault="00501DEA" w:rsidP="00006C42">
      <w:pPr>
        <w:pStyle w:val="subsection"/>
      </w:pPr>
      <w:r w:rsidRPr="00006C42">
        <w:tab/>
        <w:t>(1C)</w:t>
      </w:r>
      <w:r w:rsidRPr="00006C42">
        <w:tab/>
        <w:t>If: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2 or more identified greenhouse gas storage formations, when considered together, extend to: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only one block in the lease area; or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2 or more blocks in the lease area; and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a vertical line would pass through a point in each of those identified greenhouse gas storage formations; and</w:t>
      </w:r>
    </w:p>
    <w:p w:rsidR="00501DEA" w:rsidRPr="00006C42" w:rsidRDefault="00501DEA" w:rsidP="00006C42">
      <w:pPr>
        <w:pStyle w:val="paragraph"/>
      </w:pPr>
      <w:r w:rsidRPr="00006C42">
        <w:tab/>
        <w:t>(c)</w:t>
      </w:r>
      <w:r w:rsidRPr="00006C42">
        <w:tab/>
        <w:t>none of the following is in force over the block or blocks to which the identified greenhouse gas storage formations, when considered together, extend: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a greenhouse gas injection licence;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a greenhouse gas holding lease;</w:t>
      </w:r>
    </w:p>
    <w:p w:rsidR="00501DEA" w:rsidRPr="00006C42" w:rsidRDefault="00501DEA" w:rsidP="00006C42">
      <w:pPr>
        <w:pStyle w:val="paragraphsub"/>
      </w:pPr>
      <w:r w:rsidRPr="00006C42">
        <w:tab/>
        <w:t>(iii)</w:t>
      </w:r>
      <w:r w:rsidRPr="00006C42">
        <w:tab/>
        <w:t>a greenhouse gas assessment permit;</w:t>
      </w:r>
    </w:p>
    <w:p w:rsidR="00501DEA" w:rsidRPr="00006C42" w:rsidRDefault="00501DEA" w:rsidP="00006C42">
      <w:pPr>
        <w:pStyle w:val="subsection2"/>
      </w:pPr>
      <w:r w:rsidRPr="00006C42">
        <w:t>the petroleum retention lessee may apply to the responsible Commonwealth Minister for the grant of a greenhouse gas holding lease over the block or blocks to which the identified greenhouse gas storage formations, when considered together, extend.</w:t>
      </w:r>
    </w:p>
    <w:p w:rsidR="00501DEA" w:rsidRPr="00006C42" w:rsidRDefault="00501DEA" w:rsidP="00006C42">
      <w:pPr>
        <w:pStyle w:val="subsection"/>
      </w:pPr>
      <w:r w:rsidRPr="00006C42">
        <w:tab/>
        <w:t>(1D)</w:t>
      </w:r>
      <w:r w:rsidRPr="00006C42">
        <w:tab/>
        <w:t>If: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2 or more identified greenhouse gas storage formations, when considered together, extend to 2 or more blocks in the lease area; and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a vertical line would not pass through a point in each of those identified greenhouse gas storage formations; and</w:t>
      </w:r>
    </w:p>
    <w:p w:rsidR="00501DEA" w:rsidRPr="00006C42" w:rsidRDefault="00501DEA" w:rsidP="00006C42">
      <w:pPr>
        <w:pStyle w:val="paragraph"/>
      </w:pPr>
      <w:r w:rsidRPr="00006C42">
        <w:tab/>
        <w:t>(c)</w:t>
      </w:r>
      <w:r w:rsidRPr="00006C42">
        <w:tab/>
        <w:t>for each identified greenhouse gas storage formation, at least one of the blocks to which the identified greenhouse gas storage formation extends immediately adjoins a block to which the other, or another, of those identified greenhouse gas storage formations extends; and</w:t>
      </w:r>
    </w:p>
    <w:p w:rsidR="00501DEA" w:rsidRPr="00006C42" w:rsidRDefault="00501DEA" w:rsidP="00006C42">
      <w:pPr>
        <w:pStyle w:val="paragraph"/>
      </w:pPr>
      <w:r w:rsidRPr="00006C42">
        <w:tab/>
        <w:t>(d)</w:t>
      </w:r>
      <w:r w:rsidRPr="00006C42">
        <w:tab/>
        <w:t>none of the following is in force over the blocks to which the identified greenhouse gas storage formations, when considered together, extend:</w:t>
      </w:r>
    </w:p>
    <w:p w:rsidR="00501DEA" w:rsidRPr="00006C42" w:rsidRDefault="00501DEA" w:rsidP="00006C42">
      <w:pPr>
        <w:pStyle w:val="paragraphsub"/>
      </w:pPr>
      <w:r w:rsidRPr="00006C42">
        <w:tab/>
        <w:t>(</w:t>
      </w:r>
      <w:proofErr w:type="spellStart"/>
      <w:r w:rsidRPr="00006C42">
        <w:t>i</w:t>
      </w:r>
      <w:proofErr w:type="spellEnd"/>
      <w:r w:rsidRPr="00006C42">
        <w:t>)</w:t>
      </w:r>
      <w:r w:rsidRPr="00006C42">
        <w:tab/>
        <w:t>a greenhouse gas injection licence;</w:t>
      </w:r>
    </w:p>
    <w:p w:rsidR="00501DEA" w:rsidRPr="00006C42" w:rsidRDefault="00501DEA" w:rsidP="00006C42">
      <w:pPr>
        <w:pStyle w:val="paragraphsub"/>
      </w:pPr>
      <w:r w:rsidRPr="00006C42">
        <w:tab/>
        <w:t>(ii)</w:t>
      </w:r>
      <w:r w:rsidRPr="00006C42">
        <w:tab/>
        <w:t>a greenhouse gas holding lease;</w:t>
      </w:r>
    </w:p>
    <w:p w:rsidR="00501DEA" w:rsidRPr="00006C42" w:rsidRDefault="00501DEA" w:rsidP="00006C42">
      <w:pPr>
        <w:pStyle w:val="paragraphsub"/>
      </w:pPr>
      <w:r w:rsidRPr="00006C42">
        <w:tab/>
        <w:t>(iii)</w:t>
      </w:r>
      <w:r w:rsidRPr="00006C42">
        <w:tab/>
        <w:t>a greenhouse gas assessment permit;</w:t>
      </w:r>
    </w:p>
    <w:p w:rsidR="00501DEA" w:rsidRPr="00006C42" w:rsidRDefault="00501DEA" w:rsidP="00006C42">
      <w:pPr>
        <w:pStyle w:val="subsection2"/>
      </w:pPr>
      <w:r w:rsidRPr="00006C42">
        <w:t>the petroleum retention lessee may apply to the responsible Commonwealth Minister for the grant of a greenhouse gas holding lease over the blocks to which the identified greenhouse gas storage formations, when considered together, extend.</w:t>
      </w:r>
    </w:p>
    <w:p w:rsidR="00501DEA" w:rsidRPr="00006C42" w:rsidRDefault="00501DEA" w:rsidP="00006C42">
      <w:pPr>
        <w:pStyle w:val="subsection"/>
      </w:pPr>
      <w:r w:rsidRPr="00006C42">
        <w:tab/>
        <w:t>(1E)</w:t>
      </w:r>
      <w:r w:rsidRPr="00006C42">
        <w:tab/>
        <w:t xml:space="preserve">For the purposes of </w:t>
      </w:r>
      <w:r w:rsidR="00006C42" w:rsidRPr="00006C42">
        <w:t>subsection (</w:t>
      </w:r>
      <w:r w:rsidRPr="00006C42">
        <w:t xml:space="preserve">1D), a block immediately adjoins another block if the </w:t>
      </w:r>
      <w:proofErr w:type="spellStart"/>
      <w:r w:rsidRPr="00006C42">
        <w:t>graticular</w:t>
      </w:r>
      <w:proofErr w:type="spellEnd"/>
      <w:r w:rsidRPr="00006C42">
        <w:t xml:space="preserve"> section that constitutes or includes that block and the </w:t>
      </w:r>
      <w:proofErr w:type="spellStart"/>
      <w:r w:rsidRPr="00006C42">
        <w:t>graticular</w:t>
      </w:r>
      <w:proofErr w:type="spellEnd"/>
      <w:r w:rsidRPr="00006C42">
        <w:t xml:space="preserve"> section that constitutes or includes that other block: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have a side in common; or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are joined together at one point only.</w:t>
      </w:r>
    </w:p>
    <w:p w:rsidR="00501DEA" w:rsidRPr="00006C42" w:rsidRDefault="00501DEA" w:rsidP="00006C42">
      <w:pPr>
        <w:pStyle w:val="SubsectionHead"/>
      </w:pPr>
      <w:r w:rsidRPr="00006C42">
        <w:t>Application</w:t>
      </w:r>
    </w:p>
    <w:p w:rsidR="00501DEA" w:rsidRPr="00006C42" w:rsidRDefault="00176CB9" w:rsidP="00006C42">
      <w:pPr>
        <w:pStyle w:val="ItemHead"/>
      </w:pPr>
      <w:r w:rsidRPr="00006C42">
        <w:t>2</w:t>
      </w:r>
      <w:r w:rsidR="00501DEA" w:rsidRPr="00006C42">
        <w:t xml:space="preserve">  Paragraph 474(d)</w:t>
      </w:r>
    </w:p>
    <w:p w:rsidR="00501DEA" w:rsidRPr="00006C42" w:rsidRDefault="00501DEA" w:rsidP="00006C42">
      <w:pPr>
        <w:pStyle w:val="Item"/>
      </w:pPr>
      <w:r w:rsidRPr="00006C42">
        <w:t>Repeal the paragraph, substitute:</w:t>
      </w:r>
    </w:p>
    <w:p w:rsidR="00501DEA" w:rsidRPr="00006C42" w:rsidRDefault="00501DEA" w:rsidP="00006C42">
      <w:pPr>
        <w:pStyle w:val="paragraph"/>
      </w:pPr>
      <w:r w:rsidRPr="00006C42">
        <w:tab/>
        <w:t>(d)</w:t>
      </w:r>
      <w:r w:rsidRPr="00006C42">
        <w:tab/>
        <w:t xml:space="preserve">in any case—a copy of the instrument referred to in </w:t>
      </w:r>
      <w:r w:rsidR="00006C42" w:rsidRPr="00006C42">
        <w:t>paragraph (</w:t>
      </w:r>
      <w:r w:rsidRPr="00006C42">
        <w:t>a).</w:t>
      </w:r>
    </w:p>
    <w:p w:rsidR="00501DEA" w:rsidRPr="00006C42" w:rsidRDefault="00176CB9" w:rsidP="00006C42">
      <w:pPr>
        <w:pStyle w:val="ItemHead"/>
      </w:pPr>
      <w:r w:rsidRPr="00006C42">
        <w:t>3</w:t>
      </w:r>
      <w:r w:rsidR="00501DEA" w:rsidRPr="00006C42">
        <w:t xml:space="preserve">  Paragraphs 489(4A)(a) and 499(4A)(a)</w:t>
      </w:r>
    </w:p>
    <w:p w:rsidR="00501DEA" w:rsidRPr="00006C42" w:rsidRDefault="00501DEA" w:rsidP="00006C42">
      <w:pPr>
        <w:pStyle w:val="Item"/>
      </w:pPr>
      <w:r w:rsidRPr="00006C42">
        <w:t>Repeal the paragraphs.</w:t>
      </w:r>
    </w:p>
    <w:p w:rsidR="00501DEA" w:rsidRPr="00006C42" w:rsidRDefault="00176CB9" w:rsidP="00006C42">
      <w:pPr>
        <w:pStyle w:val="ItemHead"/>
      </w:pPr>
      <w:r w:rsidRPr="00006C42">
        <w:t>4</w:t>
      </w:r>
      <w:r w:rsidR="00501DEA" w:rsidRPr="00006C42">
        <w:t xml:space="preserve">  Section</w:t>
      </w:r>
      <w:r w:rsidR="00006C42" w:rsidRPr="00006C42">
        <w:t> </w:t>
      </w:r>
      <w:r w:rsidR="00501DEA" w:rsidRPr="00006C42">
        <w:t>649 (heading)</w:t>
      </w:r>
    </w:p>
    <w:p w:rsidR="00501DEA" w:rsidRPr="00006C42" w:rsidRDefault="00501DEA" w:rsidP="00006C42">
      <w:pPr>
        <w:pStyle w:val="Item"/>
      </w:pPr>
      <w:r w:rsidRPr="00006C42">
        <w:t>Repeal the heading, substitute:</w:t>
      </w:r>
    </w:p>
    <w:p w:rsidR="00501DEA" w:rsidRPr="00006C42" w:rsidRDefault="00501DEA" w:rsidP="00006C42">
      <w:pPr>
        <w:pStyle w:val="ActHead5"/>
      </w:pPr>
      <w:bookmarkStart w:id="14" w:name="_Toc393786028"/>
      <w:r w:rsidRPr="00006C42">
        <w:rPr>
          <w:rStyle w:val="CharSectno"/>
        </w:rPr>
        <w:t>649</w:t>
      </w:r>
      <w:r w:rsidRPr="00006C42">
        <w:t xml:space="preserve">  Functions and powers of NOPSEMA under State or Territory PSLA or other laws</w:t>
      </w:r>
      <w:bookmarkEnd w:id="14"/>
    </w:p>
    <w:p w:rsidR="00501DEA" w:rsidRPr="00006C42" w:rsidRDefault="00176CB9" w:rsidP="00006C42">
      <w:pPr>
        <w:pStyle w:val="ItemHead"/>
      </w:pPr>
      <w:r w:rsidRPr="00006C42">
        <w:t>5</w:t>
      </w:r>
      <w:r w:rsidR="00501DEA" w:rsidRPr="00006C42">
        <w:t xml:space="preserve">  Section</w:t>
      </w:r>
      <w:r w:rsidR="00006C42" w:rsidRPr="00006C42">
        <w:t> </w:t>
      </w:r>
      <w:r w:rsidR="00FE5D27" w:rsidRPr="00006C42">
        <w:t>649</w:t>
      </w:r>
    </w:p>
    <w:p w:rsidR="00501DEA" w:rsidRPr="00006C42" w:rsidRDefault="00FE5D27" w:rsidP="00006C42">
      <w:pPr>
        <w:pStyle w:val="Item"/>
      </w:pPr>
      <w:r w:rsidRPr="00006C42">
        <w:t>Before “For”, insert “(1)”.</w:t>
      </w:r>
    </w:p>
    <w:p w:rsidR="00501DEA" w:rsidRPr="00006C42" w:rsidRDefault="00176CB9" w:rsidP="00006C42">
      <w:pPr>
        <w:pStyle w:val="ItemHead"/>
      </w:pPr>
      <w:r w:rsidRPr="00006C42">
        <w:t>6</w:t>
      </w:r>
      <w:r w:rsidR="00501DEA" w:rsidRPr="00006C42">
        <w:t xml:space="preserve">  Subsection</w:t>
      </w:r>
      <w:r w:rsidR="00006C42" w:rsidRPr="00006C42">
        <w:t> </w:t>
      </w:r>
      <w:r w:rsidR="00501DEA" w:rsidRPr="00006C42">
        <w:t>649(2)</w:t>
      </w:r>
    </w:p>
    <w:p w:rsidR="00501DEA" w:rsidRPr="00006C42" w:rsidRDefault="00501DEA" w:rsidP="00006C42">
      <w:pPr>
        <w:pStyle w:val="Item"/>
      </w:pPr>
      <w:r w:rsidRPr="00006C42">
        <w:t>Omit “the Safety Authority” (wherever occurring), substitute “NOPSEMA”.</w:t>
      </w:r>
    </w:p>
    <w:p w:rsidR="00501DEA" w:rsidRPr="00006C42" w:rsidRDefault="00176CB9" w:rsidP="00006C42">
      <w:pPr>
        <w:pStyle w:val="ItemHead"/>
      </w:pPr>
      <w:r w:rsidRPr="00006C42">
        <w:t>7</w:t>
      </w:r>
      <w:r w:rsidR="00501DEA" w:rsidRPr="00006C42">
        <w:t xml:space="preserve">  Subsection</w:t>
      </w:r>
      <w:r w:rsidR="00006C42" w:rsidRPr="00006C42">
        <w:t> </w:t>
      </w:r>
      <w:r w:rsidR="00501DEA" w:rsidRPr="00006C42">
        <w:t>695M(1)</w:t>
      </w:r>
    </w:p>
    <w:p w:rsidR="00501DEA" w:rsidRPr="00006C42" w:rsidRDefault="00501DEA" w:rsidP="00006C42">
      <w:pPr>
        <w:pStyle w:val="Item"/>
      </w:pPr>
      <w:r w:rsidRPr="00006C42">
        <w:t xml:space="preserve">Omit “in relation to a year of the term of”, substitute “for a year on any of the following permits, leases or licences (each of which is a </w:t>
      </w:r>
      <w:r w:rsidRPr="00006C42">
        <w:rPr>
          <w:b/>
          <w:i/>
        </w:rPr>
        <w:t>title</w:t>
      </w:r>
      <w:r w:rsidR="00FE5D27" w:rsidRPr="00006C42">
        <w:t>)”.</w:t>
      </w:r>
    </w:p>
    <w:p w:rsidR="00501DEA" w:rsidRPr="00006C42" w:rsidRDefault="00176CB9" w:rsidP="00006C42">
      <w:pPr>
        <w:pStyle w:val="ItemHead"/>
      </w:pPr>
      <w:r w:rsidRPr="00006C42">
        <w:t>8</w:t>
      </w:r>
      <w:r w:rsidR="00501DEA" w:rsidRPr="00006C42">
        <w:t xml:space="preserve">  Paragraph 695M(1)(a)</w:t>
      </w:r>
    </w:p>
    <w:p w:rsidR="00501DEA" w:rsidRPr="00006C42" w:rsidRDefault="00501DEA" w:rsidP="00006C42">
      <w:pPr>
        <w:pStyle w:val="Item"/>
      </w:pPr>
      <w:r w:rsidRPr="00006C42">
        <w:t>Omit “or”.</w:t>
      </w:r>
    </w:p>
    <w:p w:rsidR="00501DEA" w:rsidRPr="00006C42" w:rsidRDefault="00176CB9" w:rsidP="00006C42">
      <w:pPr>
        <w:pStyle w:val="ItemHead"/>
      </w:pPr>
      <w:r w:rsidRPr="00006C42">
        <w:t>9</w:t>
      </w:r>
      <w:r w:rsidR="00501DEA" w:rsidRPr="00006C42">
        <w:t xml:space="preserve">  Paragraph 695M(1)(</w:t>
      </w:r>
      <w:proofErr w:type="spellStart"/>
      <w:r w:rsidR="00501DEA" w:rsidRPr="00006C42">
        <w:t>aa</w:t>
      </w:r>
      <w:proofErr w:type="spellEnd"/>
      <w:r w:rsidR="00501DEA" w:rsidRPr="00006C42">
        <w:t>)</w:t>
      </w:r>
    </w:p>
    <w:p w:rsidR="00501DEA" w:rsidRPr="00006C42" w:rsidRDefault="00501DEA" w:rsidP="00006C42">
      <w:pPr>
        <w:pStyle w:val="Item"/>
      </w:pPr>
      <w:r w:rsidRPr="00006C42">
        <w:t>Omit “and”.</w:t>
      </w:r>
    </w:p>
    <w:p w:rsidR="00501DEA" w:rsidRPr="00006C42" w:rsidRDefault="00176CB9" w:rsidP="00006C42">
      <w:pPr>
        <w:pStyle w:val="ItemHead"/>
      </w:pPr>
      <w:r w:rsidRPr="00006C42">
        <w:t>10</w:t>
      </w:r>
      <w:r w:rsidR="00501DEA" w:rsidRPr="00006C42">
        <w:t xml:space="preserve">  Paragraphs 695M(1)(b) to (h)</w:t>
      </w:r>
    </w:p>
    <w:p w:rsidR="00501DEA" w:rsidRPr="00006C42" w:rsidRDefault="00501DEA" w:rsidP="00006C42">
      <w:pPr>
        <w:pStyle w:val="Item"/>
      </w:pPr>
      <w:r w:rsidRPr="00006C42">
        <w:t>Omit “or”.</w:t>
      </w:r>
    </w:p>
    <w:p w:rsidR="00501DEA" w:rsidRPr="00006C42" w:rsidRDefault="00176CB9" w:rsidP="00006C42">
      <w:pPr>
        <w:pStyle w:val="ItemHead"/>
      </w:pPr>
      <w:r w:rsidRPr="00006C42">
        <w:t>11</w:t>
      </w:r>
      <w:r w:rsidR="00501DEA" w:rsidRPr="00006C42">
        <w:t xml:space="preserve">  Subsections</w:t>
      </w:r>
      <w:r w:rsidR="00006C42" w:rsidRPr="00006C42">
        <w:t> </w:t>
      </w:r>
      <w:r w:rsidR="00501DEA" w:rsidRPr="00006C42">
        <w:t>695M(2) and (3)</w:t>
      </w:r>
    </w:p>
    <w:p w:rsidR="00501DEA" w:rsidRPr="00006C42" w:rsidRDefault="00501DEA" w:rsidP="00006C42">
      <w:pPr>
        <w:pStyle w:val="Item"/>
      </w:pPr>
      <w:r w:rsidRPr="00006C42">
        <w:t>Repeal the subsections, substitute:</w:t>
      </w:r>
    </w:p>
    <w:p w:rsidR="00501DEA" w:rsidRPr="00006C42" w:rsidRDefault="00501DEA" w:rsidP="00006C42">
      <w:pPr>
        <w:pStyle w:val="SubsectionHead"/>
      </w:pPr>
      <w:r w:rsidRPr="00006C42">
        <w:t xml:space="preserve">When annual titles </w:t>
      </w:r>
      <w:r w:rsidR="004D3B43" w:rsidRPr="00006C42">
        <w:t>administration</w:t>
      </w:r>
      <w:r w:rsidRPr="00006C42">
        <w:t xml:space="preserve"> levy becomes due and payable</w:t>
      </w:r>
    </w:p>
    <w:p w:rsidR="00501DEA" w:rsidRPr="00006C42" w:rsidRDefault="00501DEA" w:rsidP="00006C42">
      <w:pPr>
        <w:pStyle w:val="subsection"/>
      </w:pPr>
      <w:r w:rsidRPr="00006C42">
        <w:tab/>
        <w:t>(2)</w:t>
      </w:r>
      <w:r w:rsidRPr="00006C42">
        <w:tab/>
        <w:t xml:space="preserve">Annual titles </w:t>
      </w:r>
      <w:r w:rsidR="004D3B43" w:rsidRPr="00006C42">
        <w:t>administration</w:t>
      </w:r>
      <w:r w:rsidRPr="00006C42">
        <w:t xml:space="preserve"> levy is due and payable at the end of 30 days after the first day of the year for which the levy is imposed.</w:t>
      </w:r>
    </w:p>
    <w:p w:rsidR="00501DEA" w:rsidRPr="00006C42" w:rsidRDefault="00501DEA" w:rsidP="00006C42">
      <w:pPr>
        <w:pStyle w:val="SubsectionHead"/>
      </w:pPr>
      <w:r w:rsidRPr="00006C42">
        <w:t>Remittal or refund</w:t>
      </w:r>
    </w:p>
    <w:p w:rsidR="00501DEA" w:rsidRPr="00006C42" w:rsidRDefault="00501DEA" w:rsidP="00006C42">
      <w:pPr>
        <w:pStyle w:val="subsection"/>
      </w:pPr>
      <w:r w:rsidRPr="00006C42">
        <w:tab/>
        <w:t>(3)</w:t>
      </w:r>
      <w:r w:rsidRPr="00006C42">
        <w:tab/>
        <w:t>The regulations may make provision for the remittal or refund of part (or all) of an amount of annual titles administration levy imposed on the title for a year</w:t>
      </w:r>
      <w:r w:rsidR="00FE5D27" w:rsidRPr="00006C42">
        <w:t xml:space="preserve"> if the title wholly or partly ceases (or will cease) to be in force before the end of the year.</w:t>
      </w:r>
    </w:p>
    <w:p w:rsidR="00501DEA" w:rsidRPr="00006C42" w:rsidRDefault="00501DEA" w:rsidP="00006C42">
      <w:pPr>
        <w:pStyle w:val="notetext"/>
      </w:pPr>
      <w:r w:rsidRPr="00006C42">
        <w:t>Example:</w:t>
      </w:r>
      <w:r w:rsidRPr="00006C42">
        <w:tab/>
        <w:t>A petroleum exploration permit has been granted for a period of 6 years ending on 31</w:t>
      </w:r>
      <w:r w:rsidR="00006C42" w:rsidRPr="00006C42">
        <w:t> </w:t>
      </w:r>
      <w:r w:rsidR="00782A47" w:rsidRPr="00006C42">
        <w:t xml:space="preserve">March 2015. The </w:t>
      </w:r>
      <w:r w:rsidRPr="00006C42">
        <w:t>permit is extended under section</w:t>
      </w:r>
      <w:r w:rsidR="00006C42" w:rsidRPr="00006C42">
        <w:t> </w:t>
      </w:r>
      <w:r w:rsidR="00782A47" w:rsidRPr="00006C42">
        <w:t>265</w:t>
      </w:r>
      <w:r w:rsidRPr="00006C42">
        <w:t xml:space="preserve"> for a period of </w:t>
      </w:r>
      <w:r w:rsidR="00782A47" w:rsidRPr="00006C42">
        <w:t>6</w:t>
      </w:r>
      <w:r w:rsidRPr="00006C42">
        <w:t xml:space="preserve"> months ending on 30</w:t>
      </w:r>
      <w:r w:rsidR="00006C42" w:rsidRPr="00006C42">
        <w:t> </w:t>
      </w:r>
      <w:r w:rsidRPr="00006C42">
        <w:t xml:space="preserve">September 2015, after which it ceases to be in force. </w:t>
      </w:r>
      <w:r w:rsidR="008646A0" w:rsidRPr="00006C42">
        <w:t>Annual</w:t>
      </w:r>
      <w:r w:rsidRPr="00006C42">
        <w:t xml:space="preserve"> titles </w:t>
      </w:r>
      <w:r w:rsidR="008646A0" w:rsidRPr="00006C42">
        <w:t xml:space="preserve">administration </w:t>
      </w:r>
      <w:r w:rsidRPr="00006C42">
        <w:t>levy is imposed under the Regulatory Levies Act for the year beginning on 1</w:t>
      </w:r>
      <w:r w:rsidR="00006C42" w:rsidRPr="00006C42">
        <w:t> </w:t>
      </w:r>
      <w:r w:rsidRPr="00006C42">
        <w:t>April 2015.</w:t>
      </w:r>
    </w:p>
    <w:p w:rsidR="00501DEA" w:rsidRPr="00006C42" w:rsidRDefault="00501DEA" w:rsidP="00006C42">
      <w:pPr>
        <w:pStyle w:val="notetext"/>
      </w:pPr>
      <w:r w:rsidRPr="00006C42">
        <w:tab/>
        <w:t>Because the permit ceases to be in force before the end of the year beginning on 1</w:t>
      </w:r>
      <w:r w:rsidR="00006C42" w:rsidRPr="00006C42">
        <w:t> </w:t>
      </w:r>
      <w:r w:rsidRPr="00006C42">
        <w:t>April 2015, the regulations may make provision for the remittal or refund of part (or all) of the amount of the levy imposed for that year.</w:t>
      </w:r>
    </w:p>
    <w:p w:rsidR="00501DEA" w:rsidRPr="00006C42" w:rsidRDefault="00501DEA" w:rsidP="00006C42">
      <w:pPr>
        <w:pStyle w:val="subsection"/>
      </w:pPr>
      <w:r w:rsidRPr="00006C42">
        <w:tab/>
        <w:t>(3A)</w:t>
      </w:r>
      <w:r w:rsidRPr="00006C42">
        <w:tab/>
        <w:t xml:space="preserve">Regulations made for the purposes of </w:t>
      </w:r>
      <w:r w:rsidR="00006C42" w:rsidRPr="00006C42">
        <w:t>subsection (</w:t>
      </w:r>
      <w:r w:rsidRPr="00006C42">
        <w:t>3) may provide for different amounts to be remitted or refunded depending on matters including the following:</w:t>
      </w:r>
    </w:p>
    <w:p w:rsidR="00501DEA" w:rsidRPr="00006C42" w:rsidRDefault="00501DEA" w:rsidP="00006C42">
      <w:pPr>
        <w:pStyle w:val="paragraph"/>
      </w:pPr>
      <w:r w:rsidRPr="00006C42">
        <w:tab/>
        <w:t>(a)</w:t>
      </w:r>
      <w:r w:rsidRPr="00006C42">
        <w:tab/>
        <w:t>when the title ceases (or will cease) to be in force;</w:t>
      </w:r>
    </w:p>
    <w:p w:rsidR="00501DEA" w:rsidRPr="00006C42" w:rsidRDefault="00501DEA" w:rsidP="00006C42">
      <w:pPr>
        <w:pStyle w:val="paragraph"/>
      </w:pPr>
      <w:r w:rsidRPr="00006C42">
        <w:tab/>
        <w:t>(b)</w:t>
      </w:r>
      <w:r w:rsidRPr="00006C42">
        <w:tab/>
        <w:t>the kind of title on which levy is imposed;</w:t>
      </w:r>
    </w:p>
    <w:p w:rsidR="00501DEA" w:rsidRPr="00006C42" w:rsidRDefault="00501DEA" w:rsidP="00006C42">
      <w:pPr>
        <w:pStyle w:val="paragraph"/>
      </w:pPr>
      <w:r w:rsidRPr="00006C42">
        <w:tab/>
        <w:t>(c)</w:t>
      </w:r>
      <w:r w:rsidRPr="00006C42">
        <w:tab/>
        <w:t xml:space="preserve">in the case of </w:t>
      </w:r>
      <w:r w:rsidR="00782A47" w:rsidRPr="00006C42">
        <w:t>a title that partly ceases (or will cease) to be in force</w:t>
      </w:r>
      <w:r w:rsidRPr="00006C42">
        <w:t xml:space="preserve">—the number of blocks, or the length of pipeline, </w:t>
      </w:r>
      <w:r w:rsidR="008C79C2" w:rsidRPr="00006C42">
        <w:t>as</w:t>
      </w:r>
      <w:r w:rsidRPr="00006C42">
        <w:t xml:space="preserve"> to which the title ceases</w:t>
      </w:r>
      <w:r w:rsidR="00782A47" w:rsidRPr="00006C42">
        <w:t xml:space="preserve"> (or will cease)</w:t>
      </w:r>
      <w:r w:rsidRPr="00006C42">
        <w:t xml:space="preserve"> to be in force.</w:t>
      </w:r>
    </w:p>
    <w:p w:rsidR="00782A47" w:rsidRPr="00006C42" w:rsidRDefault="004D3B43" w:rsidP="00006C42">
      <w:pPr>
        <w:pStyle w:val="notetext"/>
      </w:pPr>
      <w:r w:rsidRPr="00006C42">
        <w:t>Example:</w:t>
      </w:r>
      <w:r w:rsidRPr="00006C42">
        <w:tab/>
      </w:r>
      <w:r w:rsidR="00163D31" w:rsidRPr="00006C42">
        <w:t xml:space="preserve">For </w:t>
      </w:r>
      <w:r w:rsidR="00006C42" w:rsidRPr="00006C42">
        <w:t>paragraph (</w:t>
      </w:r>
      <w:r w:rsidR="00163D31" w:rsidRPr="00006C42">
        <w:t>c), a</w:t>
      </w:r>
      <w:r w:rsidR="00782A47" w:rsidRPr="00006C42">
        <w:t xml:space="preserve"> title partly cease</w:t>
      </w:r>
      <w:r w:rsidR="00A512F7" w:rsidRPr="00006C42">
        <w:t>s</w:t>
      </w:r>
      <w:r w:rsidR="00782A47" w:rsidRPr="00006C42">
        <w:t xml:space="preserve"> to be in force if it is surrendered as to a certain number of blocks or a certain length of pipeline</w:t>
      </w:r>
      <w:r w:rsidR="00616B4E" w:rsidRPr="00006C42">
        <w:t xml:space="preserve"> under section</w:t>
      </w:r>
      <w:r w:rsidR="00006C42" w:rsidRPr="00006C42">
        <w:t> </w:t>
      </w:r>
      <w:r w:rsidR="00616B4E" w:rsidRPr="00006C42">
        <w:t>271.</w:t>
      </w:r>
    </w:p>
    <w:p w:rsidR="00501DEA" w:rsidRPr="00006C42" w:rsidRDefault="00501DEA" w:rsidP="00006C42">
      <w:pPr>
        <w:pStyle w:val="ActHead7"/>
        <w:pageBreakBefore/>
      </w:pPr>
      <w:bookmarkStart w:id="15" w:name="_Toc393786029"/>
      <w:r w:rsidRPr="00006C42">
        <w:rPr>
          <w:rStyle w:val="CharAmPartNo"/>
        </w:rPr>
        <w:t>Part</w:t>
      </w:r>
      <w:r w:rsidR="00006C42" w:rsidRPr="00006C42">
        <w:rPr>
          <w:rStyle w:val="CharAmPartNo"/>
        </w:rPr>
        <w:t> </w:t>
      </w:r>
      <w:r w:rsidRPr="00006C42">
        <w:rPr>
          <w:rStyle w:val="CharAmPartNo"/>
        </w:rPr>
        <w:t>2</w:t>
      </w:r>
      <w:r w:rsidRPr="00006C42">
        <w:t>—</w:t>
      </w:r>
      <w:r w:rsidRPr="00006C42">
        <w:rPr>
          <w:rStyle w:val="CharAmPartText"/>
        </w:rPr>
        <w:t>Application</w:t>
      </w:r>
      <w:r w:rsidR="004E6E3E" w:rsidRPr="00006C42">
        <w:rPr>
          <w:rStyle w:val="CharAmPartText"/>
        </w:rPr>
        <w:t xml:space="preserve"> </w:t>
      </w:r>
      <w:r w:rsidR="00616B4E" w:rsidRPr="00006C42">
        <w:rPr>
          <w:rStyle w:val="CharAmPartText"/>
        </w:rPr>
        <w:t>of amendments</w:t>
      </w:r>
      <w:bookmarkEnd w:id="15"/>
    </w:p>
    <w:p w:rsidR="00501DEA" w:rsidRPr="00006C42" w:rsidRDefault="00176CB9" w:rsidP="00006C42">
      <w:pPr>
        <w:pStyle w:val="ItemHead"/>
      </w:pPr>
      <w:r w:rsidRPr="00006C42">
        <w:t>12</w:t>
      </w:r>
      <w:r w:rsidR="00501DEA" w:rsidRPr="00006C42">
        <w:t xml:space="preserve">  Application—definition</w:t>
      </w:r>
    </w:p>
    <w:p w:rsidR="00501DEA" w:rsidRPr="00006C42" w:rsidRDefault="00501DEA" w:rsidP="00006C42">
      <w:pPr>
        <w:pStyle w:val="Item"/>
      </w:pPr>
      <w:r w:rsidRPr="00006C42">
        <w:t>In this Part:</w:t>
      </w:r>
    </w:p>
    <w:p w:rsidR="00501DEA" w:rsidRPr="00006C42" w:rsidRDefault="00501DEA" w:rsidP="00006C42">
      <w:pPr>
        <w:pStyle w:val="Item"/>
      </w:pPr>
      <w:r w:rsidRPr="00006C42">
        <w:rPr>
          <w:b/>
          <w:i/>
        </w:rPr>
        <w:t xml:space="preserve">Offshore Act </w:t>
      </w:r>
      <w:r w:rsidRPr="00006C42">
        <w:t xml:space="preserve">means the </w:t>
      </w:r>
      <w:r w:rsidRPr="00006C42">
        <w:rPr>
          <w:i/>
        </w:rPr>
        <w:t>Offshore Petroleum and Greenhouse Gas Storage Act 2006</w:t>
      </w:r>
      <w:r w:rsidRPr="00006C42">
        <w:t>.</w:t>
      </w:r>
    </w:p>
    <w:p w:rsidR="00501DEA" w:rsidRPr="00006C42" w:rsidRDefault="00176CB9" w:rsidP="00006C42">
      <w:pPr>
        <w:pStyle w:val="ItemHead"/>
      </w:pPr>
      <w:r w:rsidRPr="00006C42">
        <w:t>13</w:t>
      </w:r>
      <w:r w:rsidR="00501DEA" w:rsidRPr="00006C42">
        <w:t xml:space="preserve">  Application—greenhouse gas holding leases applied for by petroleum retention lessees</w:t>
      </w:r>
    </w:p>
    <w:p w:rsidR="00501DEA" w:rsidRPr="00006C42" w:rsidRDefault="00501DEA" w:rsidP="00006C42">
      <w:pPr>
        <w:pStyle w:val="Item"/>
      </w:pPr>
      <w:r w:rsidRPr="00006C42">
        <w:t>The amendment of section</w:t>
      </w:r>
      <w:r w:rsidR="00006C42" w:rsidRPr="00006C42">
        <w:t> </w:t>
      </w:r>
      <w:r w:rsidRPr="00006C42">
        <w:t>343 of the Offshore Act made by Part</w:t>
      </w:r>
      <w:r w:rsidR="00006C42" w:rsidRPr="00006C42">
        <w:t> </w:t>
      </w:r>
      <w:r w:rsidRPr="00006C42">
        <w:t xml:space="preserve">1 of this Schedule </w:t>
      </w:r>
      <w:r w:rsidR="0059228C" w:rsidRPr="00006C42">
        <w:t>applies</w:t>
      </w:r>
      <w:r w:rsidRPr="00006C42">
        <w:t xml:space="preserve"> in relation to an application for a greenhouse gas holding lease that is made by a petroleum retention lessee on or after the commencement of </w:t>
      </w:r>
      <w:r w:rsidR="00DE4CCD" w:rsidRPr="00006C42">
        <w:t>the amendment</w:t>
      </w:r>
      <w:r w:rsidRPr="00006C42">
        <w:t>.</w:t>
      </w:r>
    </w:p>
    <w:p w:rsidR="00501DEA" w:rsidRPr="00006C42" w:rsidRDefault="00176CB9" w:rsidP="00006C42">
      <w:pPr>
        <w:pStyle w:val="ItemHead"/>
      </w:pPr>
      <w:r w:rsidRPr="00006C42">
        <w:t>14</w:t>
      </w:r>
      <w:r w:rsidR="00501DEA" w:rsidRPr="00006C42">
        <w:t xml:space="preserve">  Application—annual titles </w:t>
      </w:r>
      <w:r w:rsidR="004D3B43" w:rsidRPr="00006C42">
        <w:t>administration</w:t>
      </w:r>
      <w:r w:rsidR="00501DEA" w:rsidRPr="00006C42">
        <w:t xml:space="preserve"> levy</w:t>
      </w:r>
    </w:p>
    <w:p w:rsidR="00597EE3" w:rsidRDefault="00501DEA" w:rsidP="00006C42">
      <w:pPr>
        <w:pStyle w:val="Item"/>
      </w:pPr>
      <w:r w:rsidRPr="00006C42">
        <w:t>The amendments of section</w:t>
      </w:r>
      <w:r w:rsidR="00006C42" w:rsidRPr="00006C42">
        <w:t> </w:t>
      </w:r>
      <w:r w:rsidRPr="00006C42">
        <w:t>695M of the Offshore Act made by Part</w:t>
      </w:r>
      <w:r w:rsidR="00006C42" w:rsidRPr="00006C42">
        <w:t> </w:t>
      </w:r>
      <w:r w:rsidRPr="00006C42">
        <w:t xml:space="preserve">1 of this Schedule apply in relation to annual titles administration levy imposed by the </w:t>
      </w:r>
      <w:r w:rsidRPr="00006C42">
        <w:rPr>
          <w:i/>
        </w:rPr>
        <w:t>Offshore Petroleum and Greenhouse Gas Storage (Regulatory Levies) Act 2003</w:t>
      </w:r>
      <w:r w:rsidRPr="00006C42">
        <w:t xml:space="preserve"> on a title for a year that begins on or after the commencement of those amendments.</w:t>
      </w:r>
    </w:p>
    <w:p w:rsidR="00183EF1" w:rsidRDefault="00183EF1" w:rsidP="001B1798"/>
    <w:p w:rsidR="00183EF1" w:rsidRDefault="00183EF1" w:rsidP="00027C40">
      <w:pPr>
        <w:pStyle w:val="AssentBk"/>
        <w:keepNext/>
      </w:pPr>
    </w:p>
    <w:p w:rsidR="00183EF1" w:rsidRDefault="00183EF1" w:rsidP="00027C40">
      <w:pPr>
        <w:pStyle w:val="AssentBk"/>
        <w:keepNext/>
      </w:pPr>
    </w:p>
    <w:p w:rsidR="001B1798" w:rsidRDefault="001B1798" w:rsidP="003B1CD0">
      <w:pPr>
        <w:pStyle w:val="2ndRd"/>
        <w:keepNext/>
        <w:pBdr>
          <w:top w:val="single" w:sz="2" w:space="1" w:color="auto"/>
        </w:pBdr>
      </w:pPr>
    </w:p>
    <w:p w:rsidR="001B1798" w:rsidRDefault="001B1798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B1798" w:rsidRDefault="001B179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2014</w:t>
      </w:r>
    </w:p>
    <w:p w:rsidR="001B1798" w:rsidRDefault="001B1798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2014</w:t>
      </w:r>
      <w:r>
        <w:t>]</w:t>
      </w:r>
    </w:p>
    <w:p w:rsidR="001B1798" w:rsidRDefault="001B1798" w:rsidP="003B1CD0"/>
    <w:p w:rsidR="00183EF1" w:rsidRPr="001B1798" w:rsidRDefault="001B1798" w:rsidP="001B1798">
      <w:pPr>
        <w:framePr w:hSpace="180" w:wrap="around" w:vAnchor="text" w:hAnchor="page" w:x="2402" w:y="2454"/>
      </w:pPr>
      <w:r>
        <w:t>(113/14)</w:t>
      </w:r>
    </w:p>
    <w:p w:rsidR="001B1798" w:rsidRDefault="001B1798"/>
    <w:sectPr w:rsidR="001B1798" w:rsidSect="00183EF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1F" w:rsidRDefault="00496C1F" w:rsidP="0048364F">
      <w:pPr>
        <w:spacing w:line="240" w:lineRule="auto"/>
      </w:pPr>
      <w:r>
        <w:separator/>
      </w:r>
    </w:p>
  </w:endnote>
  <w:endnote w:type="continuationSeparator" w:id="0">
    <w:p w:rsidR="00496C1F" w:rsidRDefault="00496C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5F1388" w:rsidRDefault="00496C1F" w:rsidP="00006C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98" w:rsidRDefault="001B1798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96C1F" w:rsidRDefault="00496C1F" w:rsidP="00006C42">
    <w:pPr>
      <w:pStyle w:val="Footer"/>
      <w:spacing w:before="120"/>
    </w:pPr>
  </w:p>
  <w:p w:rsidR="00496C1F" w:rsidRPr="005F1388" w:rsidRDefault="00496C1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ED79B6" w:rsidRDefault="00496C1F" w:rsidP="00006C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Default="00496C1F" w:rsidP="00006C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96C1F" w:rsidTr="00501DEA">
      <w:tc>
        <w:tcPr>
          <w:tcW w:w="646" w:type="dxa"/>
        </w:tcPr>
        <w:p w:rsidR="00496C1F" w:rsidRDefault="00496C1F" w:rsidP="00501DE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3EB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96C1F" w:rsidRDefault="00556672" w:rsidP="00501DE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Amendment (Regulatory Powers and Other Measures) Act 2014</w:t>
          </w:r>
        </w:p>
      </w:tc>
      <w:tc>
        <w:tcPr>
          <w:tcW w:w="1270" w:type="dxa"/>
        </w:tcPr>
        <w:p w:rsidR="00496C1F" w:rsidRDefault="00556672" w:rsidP="00501DE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496C1F" w:rsidRDefault="00496C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Default="00496C1F" w:rsidP="00006C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6C1F" w:rsidTr="00501DEA">
      <w:tc>
        <w:tcPr>
          <w:tcW w:w="1247" w:type="dxa"/>
        </w:tcPr>
        <w:p w:rsidR="00496C1F" w:rsidRDefault="00556672" w:rsidP="00B32958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B32958">
            <w:rPr>
              <w:i/>
              <w:sz w:val="18"/>
            </w:rPr>
            <w:t>80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496C1F" w:rsidRDefault="00556672" w:rsidP="00501DE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Offshore Petroleum and Greenhouse Gas Storage Amendment (Regulatory Powers and Other Measures) Act 2014</w:t>
          </w:r>
        </w:p>
      </w:tc>
      <w:tc>
        <w:tcPr>
          <w:tcW w:w="669" w:type="dxa"/>
        </w:tcPr>
        <w:p w:rsidR="00496C1F" w:rsidRDefault="00496C1F" w:rsidP="00501DE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1C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96C1F" w:rsidRPr="00ED79B6" w:rsidRDefault="00496C1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006C4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96C1F" w:rsidTr="00006C42">
      <w:tc>
        <w:tcPr>
          <w:tcW w:w="646" w:type="dxa"/>
        </w:tcPr>
        <w:p w:rsidR="00496C1F" w:rsidRDefault="00496C1F" w:rsidP="00501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1CD7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96C1F" w:rsidRDefault="00556672" w:rsidP="00501DE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Amendment (Regulatory Powers and Other Measures) Act 2014</w:t>
          </w:r>
        </w:p>
      </w:tc>
      <w:tc>
        <w:tcPr>
          <w:tcW w:w="1270" w:type="dxa"/>
        </w:tcPr>
        <w:p w:rsidR="00496C1F" w:rsidRDefault="00B32958" w:rsidP="00501DE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80, 2014</w:t>
          </w:r>
        </w:p>
      </w:tc>
    </w:tr>
  </w:tbl>
  <w:p w:rsidR="00496C1F" w:rsidRPr="00A961C4" w:rsidRDefault="00496C1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006C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6C1F" w:rsidTr="00006C42">
      <w:tc>
        <w:tcPr>
          <w:tcW w:w="1247" w:type="dxa"/>
        </w:tcPr>
        <w:p w:rsidR="00496C1F" w:rsidRDefault="00B32958" w:rsidP="00501DEA">
          <w:pPr>
            <w:rPr>
              <w:sz w:val="18"/>
            </w:rPr>
          </w:pPr>
          <w:r>
            <w:rPr>
              <w:i/>
              <w:sz w:val="18"/>
            </w:rPr>
            <w:t>No. 80, 2014</w:t>
          </w:r>
        </w:p>
      </w:tc>
      <w:tc>
        <w:tcPr>
          <w:tcW w:w="5387" w:type="dxa"/>
        </w:tcPr>
        <w:p w:rsidR="00496C1F" w:rsidRDefault="00556672" w:rsidP="00501DE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Amendment (Regulatory Powers and Other Measures) Act 2014</w:t>
          </w:r>
        </w:p>
      </w:tc>
      <w:tc>
        <w:tcPr>
          <w:tcW w:w="669" w:type="dxa"/>
        </w:tcPr>
        <w:p w:rsidR="00496C1F" w:rsidRDefault="00496C1F" w:rsidP="00501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1CD7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96C1F" w:rsidRPr="00055B5C" w:rsidRDefault="00496C1F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006C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6C1F" w:rsidTr="00006C42">
      <w:tc>
        <w:tcPr>
          <w:tcW w:w="1247" w:type="dxa"/>
        </w:tcPr>
        <w:p w:rsidR="00496C1F" w:rsidRDefault="00B32958" w:rsidP="00501DEA">
          <w:pPr>
            <w:rPr>
              <w:sz w:val="18"/>
            </w:rPr>
          </w:pPr>
          <w:r>
            <w:rPr>
              <w:i/>
              <w:sz w:val="18"/>
            </w:rPr>
            <w:t>No. 80, 2014</w:t>
          </w:r>
        </w:p>
      </w:tc>
      <w:tc>
        <w:tcPr>
          <w:tcW w:w="5387" w:type="dxa"/>
        </w:tcPr>
        <w:p w:rsidR="00496C1F" w:rsidRDefault="00556672" w:rsidP="00501DE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Amendment (Regulatory Powers and Other Measures) Act 2014</w:t>
          </w:r>
        </w:p>
      </w:tc>
      <w:tc>
        <w:tcPr>
          <w:tcW w:w="669" w:type="dxa"/>
        </w:tcPr>
        <w:p w:rsidR="00496C1F" w:rsidRDefault="00496C1F" w:rsidP="00501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1CD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96C1F" w:rsidRPr="00A961C4" w:rsidRDefault="00496C1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1F" w:rsidRDefault="00496C1F" w:rsidP="0048364F">
      <w:pPr>
        <w:spacing w:line="240" w:lineRule="auto"/>
      </w:pPr>
      <w:r>
        <w:separator/>
      </w:r>
    </w:p>
  </w:footnote>
  <w:footnote w:type="continuationSeparator" w:id="0">
    <w:p w:rsidR="00496C1F" w:rsidRDefault="00496C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5F1388" w:rsidRDefault="00496C1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5F1388" w:rsidRDefault="00496C1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5F1388" w:rsidRDefault="00496C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ED79B6" w:rsidRDefault="00496C1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ED79B6" w:rsidRDefault="00496C1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ED79B6" w:rsidRDefault="00496C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81CD7">
      <w:rPr>
        <w:b/>
        <w:sz w:val="20"/>
      </w:rPr>
      <w:fldChar w:fldCharType="separate"/>
    </w:r>
    <w:r w:rsidR="00281CD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81CD7">
      <w:rPr>
        <w:sz w:val="20"/>
      </w:rPr>
      <w:fldChar w:fldCharType="separate"/>
    </w:r>
    <w:r w:rsidR="00281CD7">
      <w:rPr>
        <w:noProof/>
        <w:sz w:val="20"/>
      </w:rPr>
      <w:t>Other measures</w:t>
    </w:r>
    <w:r>
      <w:rPr>
        <w:sz w:val="20"/>
      </w:rPr>
      <w:fldChar w:fldCharType="end"/>
    </w:r>
  </w:p>
  <w:p w:rsidR="00496C1F" w:rsidRPr="00A961C4" w:rsidRDefault="00496C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81CD7">
      <w:rPr>
        <w:b/>
        <w:sz w:val="20"/>
      </w:rPr>
      <w:fldChar w:fldCharType="separate"/>
    </w:r>
    <w:r w:rsidR="00281CD7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81CD7">
      <w:rPr>
        <w:sz w:val="20"/>
      </w:rPr>
      <w:fldChar w:fldCharType="separate"/>
    </w:r>
    <w:r w:rsidR="00281CD7">
      <w:rPr>
        <w:noProof/>
        <w:sz w:val="20"/>
      </w:rPr>
      <w:t>Application of amendments</w:t>
    </w:r>
    <w:r>
      <w:rPr>
        <w:sz w:val="20"/>
      </w:rPr>
      <w:fldChar w:fldCharType="end"/>
    </w:r>
  </w:p>
  <w:p w:rsidR="00496C1F" w:rsidRPr="00A961C4" w:rsidRDefault="00496C1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81CD7">
      <w:rPr>
        <w:sz w:val="20"/>
      </w:rPr>
      <w:fldChar w:fldCharType="separate"/>
    </w:r>
    <w:r w:rsidR="00281CD7">
      <w:rPr>
        <w:noProof/>
        <w:sz w:val="20"/>
      </w:rPr>
      <w:t>Other measures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81CD7">
      <w:rPr>
        <w:b/>
        <w:sz w:val="20"/>
      </w:rPr>
      <w:fldChar w:fldCharType="separate"/>
    </w:r>
    <w:r w:rsidR="00281CD7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96C1F" w:rsidRPr="00A961C4" w:rsidRDefault="00496C1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281CD7">
      <w:rPr>
        <w:sz w:val="20"/>
      </w:rPr>
      <w:fldChar w:fldCharType="separate"/>
    </w:r>
    <w:r w:rsidR="00281CD7">
      <w:rPr>
        <w:noProof/>
        <w:sz w:val="20"/>
      </w:rPr>
      <w:t>Offshore Petroleum and Greenhouse Gas Storage Act 2006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281CD7">
      <w:rPr>
        <w:b/>
        <w:sz w:val="20"/>
      </w:rPr>
      <w:fldChar w:fldCharType="separate"/>
    </w:r>
    <w:r w:rsidR="00281CD7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96C1F" w:rsidRPr="00A961C4" w:rsidRDefault="00496C1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F" w:rsidRPr="00A961C4" w:rsidRDefault="00496C1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70C40"/>
    <w:multiLevelType w:val="hybridMultilevel"/>
    <w:tmpl w:val="43800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A315B67"/>
    <w:multiLevelType w:val="hybridMultilevel"/>
    <w:tmpl w:val="5DAE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F3DB2"/>
    <w:multiLevelType w:val="hybridMultilevel"/>
    <w:tmpl w:val="F7B4528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A"/>
    <w:rsid w:val="00006C42"/>
    <w:rsid w:val="000113BC"/>
    <w:rsid w:val="000136AF"/>
    <w:rsid w:val="00025735"/>
    <w:rsid w:val="000348C1"/>
    <w:rsid w:val="000417C9"/>
    <w:rsid w:val="00055B5C"/>
    <w:rsid w:val="00060FF9"/>
    <w:rsid w:val="000614BF"/>
    <w:rsid w:val="00090553"/>
    <w:rsid w:val="000B1FD2"/>
    <w:rsid w:val="000D05EF"/>
    <w:rsid w:val="000D260D"/>
    <w:rsid w:val="000F21C1"/>
    <w:rsid w:val="000F563E"/>
    <w:rsid w:val="00101D90"/>
    <w:rsid w:val="0010745C"/>
    <w:rsid w:val="00113BD1"/>
    <w:rsid w:val="00122206"/>
    <w:rsid w:val="00134E0D"/>
    <w:rsid w:val="0015646E"/>
    <w:rsid w:val="00163D31"/>
    <w:rsid w:val="001643C9"/>
    <w:rsid w:val="00165568"/>
    <w:rsid w:val="00166C2F"/>
    <w:rsid w:val="001716C9"/>
    <w:rsid w:val="00173363"/>
    <w:rsid w:val="00173B94"/>
    <w:rsid w:val="00176CB9"/>
    <w:rsid w:val="00183EF1"/>
    <w:rsid w:val="001854B4"/>
    <w:rsid w:val="001939E1"/>
    <w:rsid w:val="00195382"/>
    <w:rsid w:val="001A3658"/>
    <w:rsid w:val="001A5846"/>
    <w:rsid w:val="001A759A"/>
    <w:rsid w:val="001B1798"/>
    <w:rsid w:val="001B7A5D"/>
    <w:rsid w:val="001C2418"/>
    <w:rsid w:val="001C69C4"/>
    <w:rsid w:val="001E3590"/>
    <w:rsid w:val="001E7407"/>
    <w:rsid w:val="00201D27"/>
    <w:rsid w:val="00240749"/>
    <w:rsid w:val="00263820"/>
    <w:rsid w:val="00281CD7"/>
    <w:rsid w:val="00293B89"/>
    <w:rsid w:val="00297ECB"/>
    <w:rsid w:val="002A0C4A"/>
    <w:rsid w:val="002B5A30"/>
    <w:rsid w:val="002D043A"/>
    <w:rsid w:val="002D395A"/>
    <w:rsid w:val="002F458F"/>
    <w:rsid w:val="003415D3"/>
    <w:rsid w:val="00346895"/>
    <w:rsid w:val="00350417"/>
    <w:rsid w:val="00352B0F"/>
    <w:rsid w:val="00375C6C"/>
    <w:rsid w:val="00383A26"/>
    <w:rsid w:val="003C5F2B"/>
    <w:rsid w:val="003D0BFE"/>
    <w:rsid w:val="003D5700"/>
    <w:rsid w:val="003E678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3B61"/>
    <w:rsid w:val="0048196B"/>
    <w:rsid w:val="0048364F"/>
    <w:rsid w:val="004951E3"/>
    <w:rsid w:val="00496C1F"/>
    <w:rsid w:val="00496F97"/>
    <w:rsid w:val="004C7C8C"/>
    <w:rsid w:val="004D3B43"/>
    <w:rsid w:val="004E2A4A"/>
    <w:rsid w:val="004E6E3E"/>
    <w:rsid w:val="004F0D23"/>
    <w:rsid w:val="004F1FAC"/>
    <w:rsid w:val="00501DEA"/>
    <w:rsid w:val="00516B8D"/>
    <w:rsid w:val="00531E9E"/>
    <w:rsid w:val="00537FBC"/>
    <w:rsid w:val="00543469"/>
    <w:rsid w:val="00551B54"/>
    <w:rsid w:val="0055643B"/>
    <w:rsid w:val="00556672"/>
    <w:rsid w:val="00562F1D"/>
    <w:rsid w:val="00563552"/>
    <w:rsid w:val="00584811"/>
    <w:rsid w:val="0059228C"/>
    <w:rsid w:val="00593AA6"/>
    <w:rsid w:val="00594161"/>
    <w:rsid w:val="00594749"/>
    <w:rsid w:val="00597EE3"/>
    <w:rsid w:val="005A0D92"/>
    <w:rsid w:val="005B4067"/>
    <w:rsid w:val="005C3F41"/>
    <w:rsid w:val="00600219"/>
    <w:rsid w:val="00616B4E"/>
    <w:rsid w:val="00641DE5"/>
    <w:rsid w:val="00656F0C"/>
    <w:rsid w:val="00667CD4"/>
    <w:rsid w:val="00677CC2"/>
    <w:rsid w:val="00681F92"/>
    <w:rsid w:val="006842C2"/>
    <w:rsid w:val="00685F42"/>
    <w:rsid w:val="00691D95"/>
    <w:rsid w:val="0069207B"/>
    <w:rsid w:val="006A66E2"/>
    <w:rsid w:val="006B41CA"/>
    <w:rsid w:val="006C2874"/>
    <w:rsid w:val="006C7A57"/>
    <w:rsid w:val="006C7F8C"/>
    <w:rsid w:val="006D380D"/>
    <w:rsid w:val="006E0135"/>
    <w:rsid w:val="006E303A"/>
    <w:rsid w:val="006F7E19"/>
    <w:rsid w:val="00700B2C"/>
    <w:rsid w:val="007076F8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2A47"/>
    <w:rsid w:val="007A265D"/>
    <w:rsid w:val="007E7D4A"/>
    <w:rsid w:val="008006CC"/>
    <w:rsid w:val="00807F18"/>
    <w:rsid w:val="00831E8D"/>
    <w:rsid w:val="00856A31"/>
    <w:rsid w:val="00857D6B"/>
    <w:rsid w:val="00862475"/>
    <w:rsid w:val="008646A0"/>
    <w:rsid w:val="008754D0"/>
    <w:rsid w:val="00877D48"/>
    <w:rsid w:val="00883781"/>
    <w:rsid w:val="00885570"/>
    <w:rsid w:val="00893958"/>
    <w:rsid w:val="008A2E77"/>
    <w:rsid w:val="008C6F6F"/>
    <w:rsid w:val="008C79C2"/>
    <w:rsid w:val="008D0EE0"/>
    <w:rsid w:val="008F4F1C"/>
    <w:rsid w:val="008F77C4"/>
    <w:rsid w:val="009103F3"/>
    <w:rsid w:val="00932377"/>
    <w:rsid w:val="00963754"/>
    <w:rsid w:val="00967042"/>
    <w:rsid w:val="0098255A"/>
    <w:rsid w:val="009845BE"/>
    <w:rsid w:val="009969C9"/>
    <w:rsid w:val="00A0158A"/>
    <w:rsid w:val="00A10775"/>
    <w:rsid w:val="00A231E2"/>
    <w:rsid w:val="00A368A1"/>
    <w:rsid w:val="00A36C48"/>
    <w:rsid w:val="00A41E0B"/>
    <w:rsid w:val="00A512F7"/>
    <w:rsid w:val="00A64912"/>
    <w:rsid w:val="00A70A74"/>
    <w:rsid w:val="00AA3795"/>
    <w:rsid w:val="00AC1E75"/>
    <w:rsid w:val="00AD5641"/>
    <w:rsid w:val="00AE1088"/>
    <w:rsid w:val="00AE4B68"/>
    <w:rsid w:val="00AF1BA4"/>
    <w:rsid w:val="00B032D8"/>
    <w:rsid w:val="00B32958"/>
    <w:rsid w:val="00B33B3C"/>
    <w:rsid w:val="00B6382D"/>
    <w:rsid w:val="00BA5026"/>
    <w:rsid w:val="00BB40BF"/>
    <w:rsid w:val="00BB482C"/>
    <w:rsid w:val="00BE7036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38F8"/>
    <w:rsid w:val="00C54E84"/>
    <w:rsid w:val="00C55C5E"/>
    <w:rsid w:val="00C7573B"/>
    <w:rsid w:val="00C76CF3"/>
    <w:rsid w:val="00C9609E"/>
    <w:rsid w:val="00CE1E31"/>
    <w:rsid w:val="00CF0BB2"/>
    <w:rsid w:val="00D00EAA"/>
    <w:rsid w:val="00D125C1"/>
    <w:rsid w:val="00D13441"/>
    <w:rsid w:val="00D243A3"/>
    <w:rsid w:val="00D245C0"/>
    <w:rsid w:val="00D477C3"/>
    <w:rsid w:val="00D50CBC"/>
    <w:rsid w:val="00D52EFE"/>
    <w:rsid w:val="00D63EF6"/>
    <w:rsid w:val="00D70DFB"/>
    <w:rsid w:val="00D73029"/>
    <w:rsid w:val="00D766DF"/>
    <w:rsid w:val="00DE4CCD"/>
    <w:rsid w:val="00DF6B57"/>
    <w:rsid w:val="00DF6D8E"/>
    <w:rsid w:val="00DF7AE9"/>
    <w:rsid w:val="00E05704"/>
    <w:rsid w:val="00E133EB"/>
    <w:rsid w:val="00E23C75"/>
    <w:rsid w:val="00E24D66"/>
    <w:rsid w:val="00E54292"/>
    <w:rsid w:val="00E74DC7"/>
    <w:rsid w:val="00E862F4"/>
    <w:rsid w:val="00E87699"/>
    <w:rsid w:val="00ED492F"/>
    <w:rsid w:val="00EF2E3A"/>
    <w:rsid w:val="00F047A6"/>
    <w:rsid w:val="00F047E2"/>
    <w:rsid w:val="00F078DC"/>
    <w:rsid w:val="00F13E86"/>
    <w:rsid w:val="00F17B00"/>
    <w:rsid w:val="00F249FA"/>
    <w:rsid w:val="00F31C29"/>
    <w:rsid w:val="00F677A9"/>
    <w:rsid w:val="00F81A0F"/>
    <w:rsid w:val="00F84CF5"/>
    <w:rsid w:val="00FA420B"/>
    <w:rsid w:val="00FD1E13"/>
    <w:rsid w:val="00FE41C9"/>
    <w:rsid w:val="00FE5D27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C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6C42"/>
  </w:style>
  <w:style w:type="paragraph" w:customStyle="1" w:styleId="OPCParaBase">
    <w:name w:val="OPCParaBase"/>
    <w:link w:val="OPCParaBaseChar"/>
    <w:qFormat/>
    <w:rsid w:val="00006C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6C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6C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6C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6C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6C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6C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6C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6C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6C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6C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6C42"/>
  </w:style>
  <w:style w:type="paragraph" w:customStyle="1" w:styleId="Blocks">
    <w:name w:val="Blocks"/>
    <w:aliases w:val="bb"/>
    <w:basedOn w:val="OPCParaBase"/>
    <w:qFormat/>
    <w:rsid w:val="00006C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6C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6C42"/>
    <w:rPr>
      <w:i/>
    </w:rPr>
  </w:style>
  <w:style w:type="paragraph" w:customStyle="1" w:styleId="BoxList">
    <w:name w:val="BoxList"/>
    <w:aliases w:val="bl"/>
    <w:basedOn w:val="BoxText"/>
    <w:qFormat/>
    <w:rsid w:val="00006C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6C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6C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6C42"/>
    <w:pPr>
      <w:ind w:left="1985" w:hanging="851"/>
    </w:pPr>
  </w:style>
  <w:style w:type="character" w:customStyle="1" w:styleId="CharAmPartNo">
    <w:name w:val="CharAmPartNo"/>
    <w:basedOn w:val="OPCCharBase"/>
    <w:qFormat/>
    <w:rsid w:val="00006C42"/>
  </w:style>
  <w:style w:type="character" w:customStyle="1" w:styleId="CharAmPartText">
    <w:name w:val="CharAmPartText"/>
    <w:basedOn w:val="OPCCharBase"/>
    <w:qFormat/>
    <w:rsid w:val="00006C42"/>
  </w:style>
  <w:style w:type="character" w:customStyle="1" w:styleId="CharAmSchNo">
    <w:name w:val="CharAmSchNo"/>
    <w:basedOn w:val="OPCCharBase"/>
    <w:qFormat/>
    <w:rsid w:val="00006C42"/>
  </w:style>
  <w:style w:type="character" w:customStyle="1" w:styleId="CharAmSchText">
    <w:name w:val="CharAmSchText"/>
    <w:basedOn w:val="OPCCharBase"/>
    <w:qFormat/>
    <w:rsid w:val="00006C42"/>
  </w:style>
  <w:style w:type="character" w:customStyle="1" w:styleId="CharBoldItalic">
    <w:name w:val="CharBoldItalic"/>
    <w:basedOn w:val="OPCCharBase"/>
    <w:uiPriority w:val="1"/>
    <w:qFormat/>
    <w:rsid w:val="00006C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6C42"/>
  </w:style>
  <w:style w:type="character" w:customStyle="1" w:styleId="CharChapText">
    <w:name w:val="CharChapText"/>
    <w:basedOn w:val="OPCCharBase"/>
    <w:uiPriority w:val="1"/>
    <w:qFormat/>
    <w:rsid w:val="00006C42"/>
  </w:style>
  <w:style w:type="character" w:customStyle="1" w:styleId="CharDivNo">
    <w:name w:val="CharDivNo"/>
    <w:basedOn w:val="OPCCharBase"/>
    <w:uiPriority w:val="1"/>
    <w:qFormat/>
    <w:rsid w:val="00006C42"/>
  </w:style>
  <w:style w:type="character" w:customStyle="1" w:styleId="CharDivText">
    <w:name w:val="CharDivText"/>
    <w:basedOn w:val="OPCCharBase"/>
    <w:uiPriority w:val="1"/>
    <w:qFormat/>
    <w:rsid w:val="00006C42"/>
  </w:style>
  <w:style w:type="character" w:customStyle="1" w:styleId="CharItalic">
    <w:name w:val="CharItalic"/>
    <w:basedOn w:val="OPCCharBase"/>
    <w:uiPriority w:val="1"/>
    <w:qFormat/>
    <w:rsid w:val="00006C42"/>
    <w:rPr>
      <w:i/>
    </w:rPr>
  </w:style>
  <w:style w:type="character" w:customStyle="1" w:styleId="CharPartNo">
    <w:name w:val="CharPartNo"/>
    <w:basedOn w:val="OPCCharBase"/>
    <w:uiPriority w:val="1"/>
    <w:qFormat/>
    <w:rsid w:val="00006C42"/>
  </w:style>
  <w:style w:type="character" w:customStyle="1" w:styleId="CharPartText">
    <w:name w:val="CharPartText"/>
    <w:basedOn w:val="OPCCharBase"/>
    <w:uiPriority w:val="1"/>
    <w:qFormat/>
    <w:rsid w:val="00006C42"/>
  </w:style>
  <w:style w:type="character" w:customStyle="1" w:styleId="CharSectno">
    <w:name w:val="CharSectno"/>
    <w:basedOn w:val="OPCCharBase"/>
    <w:qFormat/>
    <w:rsid w:val="00006C42"/>
  </w:style>
  <w:style w:type="character" w:customStyle="1" w:styleId="CharSubdNo">
    <w:name w:val="CharSubdNo"/>
    <w:basedOn w:val="OPCCharBase"/>
    <w:uiPriority w:val="1"/>
    <w:qFormat/>
    <w:rsid w:val="00006C42"/>
  </w:style>
  <w:style w:type="character" w:customStyle="1" w:styleId="CharSubdText">
    <w:name w:val="CharSubdText"/>
    <w:basedOn w:val="OPCCharBase"/>
    <w:uiPriority w:val="1"/>
    <w:qFormat/>
    <w:rsid w:val="00006C42"/>
  </w:style>
  <w:style w:type="paragraph" w:customStyle="1" w:styleId="CTA--">
    <w:name w:val="CTA --"/>
    <w:basedOn w:val="OPCParaBase"/>
    <w:next w:val="Normal"/>
    <w:rsid w:val="00006C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6C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6C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6C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6C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6C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6C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6C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6C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6C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6C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6C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6C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6C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6C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6C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6C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6C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6C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6C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6C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6C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6C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6C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6C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6C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6C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6C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6C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6C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6C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6C4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6C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6C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6C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6C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6C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6C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6C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6C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6C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6C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6C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6C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6C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6C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6C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6C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6C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6C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6C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6C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6C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6C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6C4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06C4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6C4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6C4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6C4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06C4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6C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6C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6C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6C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6C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6C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6C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6C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6C42"/>
    <w:rPr>
      <w:sz w:val="16"/>
    </w:rPr>
  </w:style>
  <w:style w:type="table" w:customStyle="1" w:styleId="CFlag">
    <w:name w:val="CFlag"/>
    <w:basedOn w:val="TableNormal"/>
    <w:uiPriority w:val="99"/>
    <w:rsid w:val="00006C4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06C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6C4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6C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6C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6C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6C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6C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6C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6C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6C42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6C4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6C4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6C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6C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6C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6C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6C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6C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6C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6C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6C4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6C4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6C42"/>
  </w:style>
  <w:style w:type="character" w:customStyle="1" w:styleId="CharSubPartNoCASA">
    <w:name w:val="CharSubPartNo(CASA)"/>
    <w:basedOn w:val="OPCCharBase"/>
    <w:uiPriority w:val="1"/>
    <w:rsid w:val="00006C42"/>
  </w:style>
  <w:style w:type="paragraph" w:customStyle="1" w:styleId="ENoteTTIndentHeadingSub">
    <w:name w:val="ENoteTTIndentHeadingSub"/>
    <w:aliases w:val="enTTHis"/>
    <w:basedOn w:val="OPCParaBase"/>
    <w:rsid w:val="00006C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6C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6C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6C4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6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06C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6C42"/>
    <w:rPr>
      <w:sz w:val="22"/>
    </w:rPr>
  </w:style>
  <w:style w:type="paragraph" w:customStyle="1" w:styleId="SOTextNote">
    <w:name w:val="SO TextNote"/>
    <w:aliases w:val="sont"/>
    <w:basedOn w:val="SOText"/>
    <w:qFormat/>
    <w:rsid w:val="00006C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6C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6C42"/>
    <w:rPr>
      <w:sz w:val="22"/>
    </w:rPr>
  </w:style>
  <w:style w:type="paragraph" w:customStyle="1" w:styleId="FileName">
    <w:name w:val="FileName"/>
    <w:basedOn w:val="Normal"/>
    <w:rsid w:val="00006C4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6C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6C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6C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6C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6C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6C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6C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6C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6C42"/>
    <w:rPr>
      <w:sz w:val="22"/>
    </w:rPr>
  </w:style>
  <w:style w:type="character" w:customStyle="1" w:styleId="subsectionChar">
    <w:name w:val="subsection Char"/>
    <w:aliases w:val="ss Char"/>
    <w:link w:val="subsection"/>
    <w:rsid w:val="00501DE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501DE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83EF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83EF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83EF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83EF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3EF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83EF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83EF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83EF1"/>
  </w:style>
  <w:style w:type="character" w:customStyle="1" w:styleId="ShortTCPChar">
    <w:name w:val="ShortTCP Char"/>
    <w:basedOn w:val="ShortTChar"/>
    <w:link w:val="ShortTCP"/>
    <w:rsid w:val="00183EF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83EF1"/>
    <w:pPr>
      <w:spacing w:before="400"/>
    </w:pPr>
  </w:style>
  <w:style w:type="character" w:customStyle="1" w:styleId="ActNoCPChar">
    <w:name w:val="ActNoCP Char"/>
    <w:basedOn w:val="ActnoChar"/>
    <w:link w:val="ActNoCP"/>
    <w:rsid w:val="00183EF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83E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17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17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179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C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6C42"/>
  </w:style>
  <w:style w:type="paragraph" w:customStyle="1" w:styleId="OPCParaBase">
    <w:name w:val="OPCParaBase"/>
    <w:link w:val="OPCParaBaseChar"/>
    <w:qFormat/>
    <w:rsid w:val="00006C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6C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6C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6C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6C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6C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6C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6C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6C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6C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6C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6C42"/>
  </w:style>
  <w:style w:type="paragraph" w:customStyle="1" w:styleId="Blocks">
    <w:name w:val="Blocks"/>
    <w:aliases w:val="bb"/>
    <w:basedOn w:val="OPCParaBase"/>
    <w:qFormat/>
    <w:rsid w:val="00006C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6C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6C42"/>
    <w:rPr>
      <w:i/>
    </w:rPr>
  </w:style>
  <w:style w:type="paragraph" w:customStyle="1" w:styleId="BoxList">
    <w:name w:val="BoxList"/>
    <w:aliases w:val="bl"/>
    <w:basedOn w:val="BoxText"/>
    <w:qFormat/>
    <w:rsid w:val="00006C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6C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6C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6C42"/>
    <w:pPr>
      <w:ind w:left="1985" w:hanging="851"/>
    </w:pPr>
  </w:style>
  <w:style w:type="character" w:customStyle="1" w:styleId="CharAmPartNo">
    <w:name w:val="CharAmPartNo"/>
    <w:basedOn w:val="OPCCharBase"/>
    <w:qFormat/>
    <w:rsid w:val="00006C42"/>
  </w:style>
  <w:style w:type="character" w:customStyle="1" w:styleId="CharAmPartText">
    <w:name w:val="CharAmPartText"/>
    <w:basedOn w:val="OPCCharBase"/>
    <w:qFormat/>
    <w:rsid w:val="00006C42"/>
  </w:style>
  <w:style w:type="character" w:customStyle="1" w:styleId="CharAmSchNo">
    <w:name w:val="CharAmSchNo"/>
    <w:basedOn w:val="OPCCharBase"/>
    <w:qFormat/>
    <w:rsid w:val="00006C42"/>
  </w:style>
  <w:style w:type="character" w:customStyle="1" w:styleId="CharAmSchText">
    <w:name w:val="CharAmSchText"/>
    <w:basedOn w:val="OPCCharBase"/>
    <w:qFormat/>
    <w:rsid w:val="00006C42"/>
  </w:style>
  <w:style w:type="character" w:customStyle="1" w:styleId="CharBoldItalic">
    <w:name w:val="CharBoldItalic"/>
    <w:basedOn w:val="OPCCharBase"/>
    <w:uiPriority w:val="1"/>
    <w:qFormat/>
    <w:rsid w:val="00006C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6C42"/>
  </w:style>
  <w:style w:type="character" w:customStyle="1" w:styleId="CharChapText">
    <w:name w:val="CharChapText"/>
    <w:basedOn w:val="OPCCharBase"/>
    <w:uiPriority w:val="1"/>
    <w:qFormat/>
    <w:rsid w:val="00006C42"/>
  </w:style>
  <w:style w:type="character" w:customStyle="1" w:styleId="CharDivNo">
    <w:name w:val="CharDivNo"/>
    <w:basedOn w:val="OPCCharBase"/>
    <w:uiPriority w:val="1"/>
    <w:qFormat/>
    <w:rsid w:val="00006C42"/>
  </w:style>
  <w:style w:type="character" w:customStyle="1" w:styleId="CharDivText">
    <w:name w:val="CharDivText"/>
    <w:basedOn w:val="OPCCharBase"/>
    <w:uiPriority w:val="1"/>
    <w:qFormat/>
    <w:rsid w:val="00006C42"/>
  </w:style>
  <w:style w:type="character" w:customStyle="1" w:styleId="CharItalic">
    <w:name w:val="CharItalic"/>
    <w:basedOn w:val="OPCCharBase"/>
    <w:uiPriority w:val="1"/>
    <w:qFormat/>
    <w:rsid w:val="00006C42"/>
    <w:rPr>
      <w:i/>
    </w:rPr>
  </w:style>
  <w:style w:type="character" w:customStyle="1" w:styleId="CharPartNo">
    <w:name w:val="CharPartNo"/>
    <w:basedOn w:val="OPCCharBase"/>
    <w:uiPriority w:val="1"/>
    <w:qFormat/>
    <w:rsid w:val="00006C42"/>
  </w:style>
  <w:style w:type="character" w:customStyle="1" w:styleId="CharPartText">
    <w:name w:val="CharPartText"/>
    <w:basedOn w:val="OPCCharBase"/>
    <w:uiPriority w:val="1"/>
    <w:qFormat/>
    <w:rsid w:val="00006C42"/>
  </w:style>
  <w:style w:type="character" w:customStyle="1" w:styleId="CharSectno">
    <w:name w:val="CharSectno"/>
    <w:basedOn w:val="OPCCharBase"/>
    <w:qFormat/>
    <w:rsid w:val="00006C42"/>
  </w:style>
  <w:style w:type="character" w:customStyle="1" w:styleId="CharSubdNo">
    <w:name w:val="CharSubdNo"/>
    <w:basedOn w:val="OPCCharBase"/>
    <w:uiPriority w:val="1"/>
    <w:qFormat/>
    <w:rsid w:val="00006C42"/>
  </w:style>
  <w:style w:type="character" w:customStyle="1" w:styleId="CharSubdText">
    <w:name w:val="CharSubdText"/>
    <w:basedOn w:val="OPCCharBase"/>
    <w:uiPriority w:val="1"/>
    <w:qFormat/>
    <w:rsid w:val="00006C42"/>
  </w:style>
  <w:style w:type="paragraph" w:customStyle="1" w:styleId="CTA--">
    <w:name w:val="CTA --"/>
    <w:basedOn w:val="OPCParaBase"/>
    <w:next w:val="Normal"/>
    <w:rsid w:val="00006C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6C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6C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6C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6C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6C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6C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6C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6C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6C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6C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6C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6C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6C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6C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6C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6C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6C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6C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6C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6C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6C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6C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6C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6C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6C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6C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6C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6C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6C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6C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6C4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6C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6C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6C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6C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6C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6C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6C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6C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6C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6C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6C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6C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6C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6C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6C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6C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6C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6C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6C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6C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6C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6C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6C4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06C4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6C4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6C4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6C4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06C4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06C4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6C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6C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6C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6C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6C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6C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6C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6C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6C42"/>
    <w:rPr>
      <w:sz w:val="16"/>
    </w:rPr>
  </w:style>
  <w:style w:type="table" w:customStyle="1" w:styleId="CFlag">
    <w:name w:val="CFlag"/>
    <w:basedOn w:val="TableNormal"/>
    <w:uiPriority w:val="99"/>
    <w:rsid w:val="00006C4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06C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6C4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6C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6C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6C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6C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6C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6C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6C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6C42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6C4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6C4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6C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6C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6C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6C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6C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6C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6C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6C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6C4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6C4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6C42"/>
  </w:style>
  <w:style w:type="character" w:customStyle="1" w:styleId="CharSubPartNoCASA">
    <w:name w:val="CharSubPartNo(CASA)"/>
    <w:basedOn w:val="OPCCharBase"/>
    <w:uiPriority w:val="1"/>
    <w:rsid w:val="00006C42"/>
  </w:style>
  <w:style w:type="paragraph" w:customStyle="1" w:styleId="ENoteTTIndentHeadingSub">
    <w:name w:val="ENoteTTIndentHeadingSub"/>
    <w:aliases w:val="enTTHis"/>
    <w:basedOn w:val="OPCParaBase"/>
    <w:rsid w:val="00006C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6C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6C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6C4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6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06C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6C42"/>
    <w:rPr>
      <w:sz w:val="22"/>
    </w:rPr>
  </w:style>
  <w:style w:type="paragraph" w:customStyle="1" w:styleId="SOTextNote">
    <w:name w:val="SO TextNote"/>
    <w:aliases w:val="sont"/>
    <w:basedOn w:val="SOText"/>
    <w:qFormat/>
    <w:rsid w:val="00006C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6C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6C42"/>
    <w:rPr>
      <w:sz w:val="22"/>
    </w:rPr>
  </w:style>
  <w:style w:type="paragraph" w:customStyle="1" w:styleId="FileName">
    <w:name w:val="FileName"/>
    <w:basedOn w:val="Normal"/>
    <w:rsid w:val="00006C4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6C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6C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6C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6C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6C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6C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6C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6C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6C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6C42"/>
    <w:rPr>
      <w:sz w:val="22"/>
    </w:rPr>
  </w:style>
  <w:style w:type="character" w:customStyle="1" w:styleId="subsectionChar">
    <w:name w:val="subsection Char"/>
    <w:aliases w:val="ss Char"/>
    <w:link w:val="subsection"/>
    <w:rsid w:val="00501DE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501DE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83EF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83EF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83EF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83EF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3EF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83EF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83EF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83EF1"/>
  </w:style>
  <w:style w:type="character" w:customStyle="1" w:styleId="ShortTCPChar">
    <w:name w:val="ShortTCP Char"/>
    <w:basedOn w:val="ShortTChar"/>
    <w:link w:val="ShortTCP"/>
    <w:rsid w:val="00183EF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83EF1"/>
    <w:pPr>
      <w:spacing w:before="400"/>
    </w:pPr>
  </w:style>
  <w:style w:type="character" w:customStyle="1" w:styleId="ActNoCPChar">
    <w:name w:val="ActNoCP Char"/>
    <w:basedOn w:val="ActnoChar"/>
    <w:link w:val="ActNoCP"/>
    <w:rsid w:val="00183EF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83E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17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17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179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2319</Words>
  <Characters>11761</Characters>
  <Application>Microsoft Office Word</Application>
  <DocSecurity>0</DocSecurity>
  <PresentationFormat/>
  <Lines>1470</Lines>
  <Paragraphs>879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2015-01-20T03:10:00Z</dcterms:created>
  <dcterms:modified xsi:type="dcterms:W3CDTF">2015-01-20T03:15:00Z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Petroleum and Greenhouse Gas Storage Amendment (Regulatory Powers and Other Measures) Act 2014</vt:lpwstr>
  </property>
  <property fmtid="{D5CDD505-2E9C-101B-9397-08002B2CF9AE}" pid="3" name="Actno">
    <vt:lpwstr>No. 80, 2014</vt:lpwstr>
  </property>
</Properties>
</file>