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2" w:rsidRDefault="0012601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pt" fillcolor="window">
            <v:imagedata r:id="rId8" o:title=""/>
          </v:shape>
        </w:pict>
      </w:r>
    </w:p>
    <w:p w:rsidR="007F3992" w:rsidRDefault="007F3992"/>
    <w:p w:rsidR="007F3992" w:rsidRDefault="007F3992" w:rsidP="007F3992">
      <w:pPr>
        <w:spacing w:line="240" w:lineRule="auto"/>
      </w:pPr>
    </w:p>
    <w:p w:rsidR="007F3992" w:rsidRDefault="007F3992" w:rsidP="007F3992"/>
    <w:p w:rsidR="007F3992" w:rsidRDefault="007F3992" w:rsidP="007F3992"/>
    <w:p w:rsidR="007F3992" w:rsidRDefault="007F3992" w:rsidP="007F3992"/>
    <w:p w:rsidR="007F3992" w:rsidRDefault="007F3992" w:rsidP="007F3992"/>
    <w:p w:rsidR="0048364F" w:rsidRPr="004F324E" w:rsidRDefault="00972610" w:rsidP="0048364F">
      <w:pPr>
        <w:pStyle w:val="ShortT"/>
      </w:pPr>
      <w:r w:rsidRPr="004F324E">
        <w:t xml:space="preserve">Customs Tariff Amendment (Tobacco) </w:t>
      </w:r>
      <w:r w:rsidR="007F3992">
        <w:t>Act</w:t>
      </w:r>
      <w:r w:rsidRPr="004F324E">
        <w:t xml:space="preserve"> 2014</w:t>
      </w:r>
    </w:p>
    <w:p w:rsidR="0048364F" w:rsidRPr="004F324E" w:rsidRDefault="0048364F" w:rsidP="0048364F"/>
    <w:p w:rsidR="0048364F" w:rsidRPr="004F324E" w:rsidRDefault="00C164CA" w:rsidP="007F3992">
      <w:pPr>
        <w:pStyle w:val="Actno"/>
        <w:spacing w:before="400"/>
      </w:pPr>
      <w:r w:rsidRPr="004F324E">
        <w:t>No.</w:t>
      </w:r>
      <w:r w:rsidR="00E8245A">
        <w:t xml:space="preserve"> 8</w:t>
      </w:r>
      <w:r w:rsidRPr="004F324E">
        <w:t>, 201</w:t>
      </w:r>
      <w:r w:rsidR="0005472D" w:rsidRPr="004F324E">
        <w:t>4</w:t>
      </w:r>
    </w:p>
    <w:p w:rsidR="0048364F" w:rsidRPr="004F324E" w:rsidRDefault="0048364F" w:rsidP="0048364F"/>
    <w:p w:rsidR="007F3992" w:rsidRDefault="007F3992" w:rsidP="007F3992"/>
    <w:p w:rsidR="007F3992" w:rsidRDefault="007F3992" w:rsidP="007F3992"/>
    <w:p w:rsidR="007F3992" w:rsidRDefault="007F3992" w:rsidP="007F3992"/>
    <w:p w:rsidR="007F3992" w:rsidRDefault="007F3992" w:rsidP="007F3992"/>
    <w:p w:rsidR="0048364F" w:rsidRPr="004F324E" w:rsidRDefault="007F3992" w:rsidP="0048364F">
      <w:pPr>
        <w:pStyle w:val="LongT"/>
      </w:pPr>
      <w:r>
        <w:t>An Act</w:t>
      </w:r>
      <w:r w:rsidR="0048364F" w:rsidRPr="004F324E">
        <w:t xml:space="preserve"> to </w:t>
      </w:r>
      <w:r w:rsidR="00FB74A9" w:rsidRPr="004F324E">
        <w:t xml:space="preserve">amend the </w:t>
      </w:r>
      <w:r w:rsidR="00FB74A9" w:rsidRPr="004F324E">
        <w:rPr>
          <w:i/>
        </w:rPr>
        <w:t>Customs Tariff Act 1995</w:t>
      </w:r>
      <w:r w:rsidR="0048364F" w:rsidRPr="004F324E">
        <w:t>, and for related purposes</w:t>
      </w:r>
    </w:p>
    <w:p w:rsidR="0048364F" w:rsidRPr="004F324E" w:rsidRDefault="0048364F" w:rsidP="0048364F">
      <w:pPr>
        <w:pStyle w:val="Header"/>
        <w:tabs>
          <w:tab w:val="clear" w:pos="4150"/>
          <w:tab w:val="clear" w:pos="8307"/>
        </w:tabs>
      </w:pPr>
      <w:r w:rsidRPr="004F324E">
        <w:rPr>
          <w:rStyle w:val="CharAmSchNo"/>
        </w:rPr>
        <w:t xml:space="preserve"> </w:t>
      </w:r>
      <w:r w:rsidRPr="004F324E">
        <w:rPr>
          <w:rStyle w:val="CharAmSchText"/>
        </w:rPr>
        <w:t xml:space="preserve"> </w:t>
      </w:r>
    </w:p>
    <w:p w:rsidR="0048364F" w:rsidRPr="004F324E" w:rsidRDefault="0048364F" w:rsidP="0048364F">
      <w:pPr>
        <w:pStyle w:val="Header"/>
        <w:tabs>
          <w:tab w:val="clear" w:pos="4150"/>
          <w:tab w:val="clear" w:pos="8307"/>
        </w:tabs>
      </w:pPr>
      <w:r w:rsidRPr="004F324E">
        <w:rPr>
          <w:rStyle w:val="CharAmPartNo"/>
        </w:rPr>
        <w:t xml:space="preserve"> </w:t>
      </w:r>
      <w:r w:rsidRPr="004F324E">
        <w:rPr>
          <w:rStyle w:val="CharAmPartText"/>
        </w:rPr>
        <w:t xml:space="preserve"> </w:t>
      </w:r>
    </w:p>
    <w:p w:rsidR="0048364F" w:rsidRPr="004F324E" w:rsidRDefault="0048364F" w:rsidP="0048364F">
      <w:pPr>
        <w:sectPr w:rsidR="0048364F" w:rsidRPr="004F324E" w:rsidSect="007F39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F324E" w:rsidRDefault="0048364F" w:rsidP="00185D5B">
      <w:pPr>
        <w:rPr>
          <w:sz w:val="36"/>
        </w:rPr>
      </w:pPr>
      <w:r w:rsidRPr="004F324E">
        <w:rPr>
          <w:sz w:val="36"/>
        </w:rPr>
        <w:lastRenderedPageBreak/>
        <w:t>Contents</w:t>
      </w:r>
    </w:p>
    <w:bookmarkStart w:id="1" w:name="BKCheck15B_1"/>
    <w:bookmarkEnd w:id="1"/>
    <w:p w:rsidR="00E8245A" w:rsidRDefault="00E824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8245A">
        <w:rPr>
          <w:noProof/>
        </w:rPr>
        <w:tab/>
      </w:r>
      <w:r w:rsidRPr="00E8245A">
        <w:rPr>
          <w:noProof/>
        </w:rPr>
        <w:fldChar w:fldCharType="begin"/>
      </w:r>
      <w:r w:rsidRPr="00E8245A">
        <w:rPr>
          <w:noProof/>
        </w:rPr>
        <w:instrText xml:space="preserve"> PAGEREF _Toc383071304 \h </w:instrText>
      </w:r>
      <w:r w:rsidRPr="00E8245A">
        <w:rPr>
          <w:noProof/>
        </w:rPr>
      </w:r>
      <w:r w:rsidRPr="00E8245A">
        <w:rPr>
          <w:noProof/>
        </w:rPr>
        <w:fldChar w:fldCharType="separate"/>
      </w:r>
      <w:r w:rsidR="00126012">
        <w:rPr>
          <w:noProof/>
        </w:rPr>
        <w:t>1</w:t>
      </w:r>
      <w:r w:rsidRPr="00E8245A">
        <w:rPr>
          <w:noProof/>
        </w:rPr>
        <w:fldChar w:fldCharType="end"/>
      </w:r>
    </w:p>
    <w:p w:rsidR="00E8245A" w:rsidRDefault="00E824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8245A">
        <w:rPr>
          <w:noProof/>
        </w:rPr>
        <w:tab/>
      </w:r>
      <w:r w:rsidRPr="00E8245A">
        <w:rPr>
          <w:noProof/>
        </w:rPr>
        <w:fldChar w:fldCharType="begin"/>
      </w:r>
      <w:r w:rsidRPr="00E8245A">
        <w:rPr>
          <w:noProof/>
        </w:rPr>
        <w:instrText xml:space="preserve"> PAGEREF _Toc383071305 \h </w:instrText>
      </w:r>
      <w:r w:rsidRPr="00E8245A">
        <w:rPr>
          <w:noProof/>
        </w:rPr>
      </w:r>
      <w:r w:rsidRPr="00E8245A">
        <w:rPr>
          <w:noProof/>
        </w:rPr>
        <w:fldChar w:fldCharType="separate"/>
      </w:r>
      <w:r w:rsidR="00126012">
        <w:rPr>
          <w:noProof/>
        </w:rPr>
        <w:t>1</w:t>
      </w:r>
      <w:r w:rsidRPr="00E8245A">
        <w:rPr>
          <w:noProof/>
        </w:rPr>
        <w:fldChar w:fldCharType="end"/>
      </w:r>
    </w:p>
    <w:p w:rsidR="00E8245A" w:rsidRDefault="00E824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E8245A">
        <w:rPr>
          <w:noProof/>
        </w:rPr>
        <w:tab/>
      </w:r>
      <w:r w:rsidRPr="00E8245A">
        <w:rPr>
          <w:noProof/>
        </w:rPr>
        <w:fldChar w:fldCharType="begin"/>
      </w:r>
      <w:r w:rsidRPr="00E8245A">
        <w:rPr>
          <w:noProof/>
        </w:rPr>
        <w:instrText xml:space="preserve"> PAGEREF _Toc383071306 \h </w:instrText>
      </w:r>
      <w:r w:rsidRPr="00E8245A">
        <w:rPr>
          <w:noProof/>
        </w:rPr>
      </w:r>
      <w:r w:rsidRPr="00E8245A">
        <w:rPr>
          <w:noProof/>
        </w:rPr>
        <w:fldChar w:fldCharType="separate"/>
      </w:r>
      <w:r w:rsidR="00126012">
        <w:rPr>
          <w:noProof/>
        </w:rPr>
        <w:t>2</w:t>
      </w:r>
      <w:r w:rsidRPr="00E8245A">
        <w:rPr>
          <w:noProof/>
        </w:rPr>
        <w:fldChar w:fldCharType="end"/>
      </w:r>
    </w:p>
    <w:p w:rsidR="00E8245A" w:rsidRDefault="00E824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8245A">
        <w:rPr>
          <w:b w:val="0"/>
          <w:noProof/>
          <w:sz w:val="18"/>
        </w:rPr>
        <w:tab/>
      </w:r>
      <w:r w:rsidRPr="00E8245A">
        <w:rPr>
          <w:b w:val="0"/>
          <w:noProof/>
          <w:sz w:val="18"/>
        </w:rPr>
        <w:fldChar w:fldCharType="begin"/>
      </w:r>
      <w:r w:rsidRPr="00E8245A">
        <w:rPr>
          <w:b w:val="0"/>
          <w:noProof/>
          <w:sz w:val="18"/>
        </w:rPr>
        <w:instrText xml:space="preserve"> PAGEREF _Toc383071307 \h </w:instrText>
      </w:r>
      <w:r w:rsidRPr="00E8245A">
        <w:rPr>
          <w:b w:val="0"/>
          <w:noProof/>
          <w:sz w:val="18"/>
        </w:rPr>
      </w:r>
      <w:r w:rsidRPr="00E8245A">
        <w:rPr>
          <w:b w:val="0"/>
          <w:noProof/>
          <w:sz w:val="18"/>
        </w:rPr>
        <w:fldChar w:fldCharType="separate"/>
      </w:r>
      <w:r w:rsidR="00126012">
        <w:rPr>
          <w:b w:val="0"/>
          <w:noProof/>
          <w:sz w:val="18"/>
        </w:rPr>
        <w:t>3</w:t>
      </w:r>
      <w:r w:rsidRPr="00E8245A">
        <w:rPr>
          <w:b w:val="0"/>
          <w:noProof/>
          <w:sz w:val="18"/>
        </w:rPr>
        <w:fldChar w:fldCharType="end"/>
      </w:r>
    </w:p>
    <w:p w:rsidR="00E8245A" w:rsidRDefault="00E824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1—Increase in tobacco duty rates on 1 December 2013</w:t>
      </w:r>
      <w:r w:rsidRPr="00E8245A">
        <w:rPr>
          <w:noProof/>
          <w:sz w:val="18"/>
        </w:rPr>
        <w:tab/>
      </w:r>
      <w:r w:rsidRPr="00E8245A">
        <w:rPr>
          <w:noProof/>
          <w:sz w:val="18"/>
        </w:rPr>
        <w:fldChar w:fldCharType="begin"/>
      </w:r>
      <w:r w:rsidRPr="00E8245A">
        <w:rPr>
          <w:noProof/>
          <w:sz w:val="18"/>
        </w:rPr>
        <w:instrText xml:space="preserve"> PAGEREF _Toc383071308 \h </w:instrText>
      </w:r>
      <w:r w:rsidRPr="00E8245A">
        <w:rPr>
          <w:noProof/>
          <w:sz w:val="18"/>
        </w:rPr>
      </w:r>
      <w:r w:rsidRPr="00E8245A">
        <w:rPr>
          <w:noProof/>
          <w:sz w:val="18"/>
        </w:rPr>
        <w:fldChar w:fldCharType="separate"/>
      </w:r>
      <w:r w:rsidR="00126012">
        <w:rPr>
          <w:noProof/>
          <w:sz w:val="18"/>
        </w:rPr>
        <w:t>3</w:t>
      </w:r>
      <w:r w:rsidRPr="00E8245A">
        <w:rPr>
          <w:noProof/>
          <w:sz w:val="18"/>
        </w:rPr>
        <w:fldChar w:fldCharType="end"/>
      </w:r>
    </w:p>
    <w:p w:rsidR="00E8245A" w:rsidRDefault="00E824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E8245A">
        <w:rPr>
          <w:i w:val="0"/>
          <w:noProof/>
          <w:sz w:val="18"/>
        </w:rPr>
        <w:tab/>
      </w:r>
      <w:r w:rsidRPr="00E8245A">
        <w:rPr>
          <w:i w:val="0"/>
          <w:noProof/>
          <w:sz w:val="18"/>
        </w:rPr>
        <w:fldChar w:fldCharType="begin"/>
      </w:r>
      <w:r w:rsidRPr="00E8245A">
        <w:rPr>
          <w:i w:val="0"/>
          <w:noProof/>
          <w:sz w:val="18"/>
        </w:rPr>
        <w:instrText xml:space="preserve"> PAGEREF _Toc383071309 \h </w:instrText>
      </w:r>
      <w:r w:rsidRPr="00E8245A">
        <w:rPr>
          <w:i w:val="0"/>
          <w:noProof/>
          <w:sz w:val="18"/>
        </w:rPr>
      </w:r>
      <w:r w:rsidRPr="00E8245A">
        <w:rPr>
          <w:i w:val="0"/>
          <w:noProof/>
          <w:sz w:val="18"/>
        </w:rPr>
        <w:fldChar w:fldCharType="separate"/>
      </w:r>
      <w:r w:rsidR="00126012">
        <w:rPr>
          <w:i w:val="0"/>
          <w:noProof/>
          <w:sz w:val="18"/>
        </w:rPr>
        <w:t>3</w:t>
      </w:r>
      <w:r w:rsidRPr="00E8245A">
        <w:rPr>
          <w:i w:val="0"/>
          <w:noProof/>
          <w:sz w:val="18"/>
        </w:rPr>
        <w:fldChar w:fldCharType="end"/>
      </w:r>
    </w:p>
    <w:p w:rsidR="00E8245A" w:rsidRDefault="00E8245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2—Indexation</w:t>
      </w:r>
      <w:r w:rsidRPr="00E8245A">
        <w:rPr>
          <w:noProof/>
          <w:sz w:val="18"/>
        </w:rPr>
        <w:tab/>
      </w:r>
      <w:r w:rsidRPr="00E8245A">
        <w:rPr>
          <w:noProof/>
          <w:sz w:val="18"/>
        </w:rPr>
        <w:fldChar w:fldCharType="begin"/>
      </w:r>
      <w:r w:rsidRPr="00E8245A">
        <w:rPr>
          <w:noProof/>
          <w:sz w:val="18"/>
        </w:rPr>
        <w:instrText xml:space="preserve"> PAGEREF _Toc383071310 \h </w:instrText>
      </w:r>
      <w:r w:rsidRPr="00E8245A">
        <w:rPr>
          <w:noProof/>
          <w:sz w:val="18"/>
        </w:rPr>
      </w:r>
      <w:r w:rsidRPr="00E8245A">
        <w:rPr>
          <w:noProof/>
          <w:sz w:val="18"/>
        </w:rPr>
        <w:fldChar w:fldCharType="separate"/>
      </w:r>
      <w:r w:rsidR="00126012">
        <w:rPr>
          <w:noProof/>
          <w:sz w:val="18"/>
        </w:rPr>
        <w:t>14</w:t>
      </w:r>
      <w:r w:rsidRPr="00E8245A">
        <w:rPr>
          <w:noProof/>
          <w:sz w:val="18"/>
        </w:rPr>
        <w:fldChar w:fldCharType="end"/>
      </w:r>
    </w:p>
    <w:p w:rsidR="00E8245A" w:rsidRDefault="00E824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E8245A">
        <w:rPr>
          <w:i w:val="0"/>
          <w:noProof/>
          <w:sz w:val="18"/>
        </w:rPr>
        <w:tab/>
      </w:r>
      <w:r w:rsidRPr="00E8245A">
        <w:rPr>
          <w:i w:val="0"/>
          <w:noProof/>
          <w:sz w:val="18"/>
        </w:rPr>
        <w:fldChar w:fldCharType="begin"/>
      </w:r>
      <w:r w:rsidRPr="00E8245A">
        <w:rPr>
          <w:i w:val="0"/>
          <w:noProof/>
          <w:sz w:val="18"/>
        </w:rPr>
        <w:instrText xml:space="preserve"> PAGEREF _Toc383071311 \h </w:instrText>
      </w:r>
      <w:r w:rsidRPr="00E8245A">
        <w:rPr>
          <w:i w:val="0"/>
          <w:noProof/>
          <w:sz w:val="18"/>
        </w:rPr>
      </w:r>
      <w:r w:rsidRPr="00E8245A">
        <w:rPr>
          <w:i w:val="0"/>
          <w:noProof/>
          <w:sz w:val="18"/>
        </w:rPr>
        <w:fldChar w:fldCharType="separate"/>
      </w:r>
      <w:r w:rsidR="00126012">
        <w:rPr>
          <w:i w:val="0"/>
          <w:noProof/>
          <w:sz w:val="18"/>
        </w:rPr>
        <w:t>14</w:t>
      </w:r>
      <w:r w:rsidRPr="00E8245A">
        <w:rPr>
          <w:i w:val="0"/>
          <w:noProof/>
          <w:sz w:val="18"/>
        </w:rPr>
        <w:fldChar w:fldCharType="end"/>
      </w:r>
    </w:p>
    <w:p w:rsidR="00C176CF" w:rsidRPr="004F324E" w:rsidRDefault="00E8245A" w:rsidP="0048364F">
      <w:r>
        <w:fldChar w:fldCharType="end"/>
      </w:r>
    </w:p>
    <w:p w:rsidR="00060FF9" w:rsidRPr="004F324E" w:rsidRDefault="00060FF9" w:rsidP="0048364F">
      <w:pPr>
        <w:sectPr w:rsidR="00060FF9" w:rsidRPr="004F324E" w:rsidSect="007F39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F3992" w:rsidRDefault="00126012">
      <w:r>
        <w:lastRenderedPageBreak/>
        <w:pict>
          <v:shape id="_x0000_i1026" type="#_x0000_t75" style="width:108.75pt;height:78pt" fillcolor="window">
            <v:imagedata r:id="rId8" o:title=""/>
          </v:shape>
        </w:pict>
      </w:r>
    </w:p>
    <w:p w:rsidR="007F3992" w:rsidRDefault="007F3992"/>
    <w:p w:rsidR="007F3992" w:rsidRDefault="007F3992" w:rsidP="007F3992">
      <w:pPr>
        <w:spacing w:line="240" w:lineRule="auto"/>
      </w:pPr>
    </w:p>
    <w:p w:rsidR="007F3992" w:rsidRDefault="00126012" w:rsidP="007F399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Customs Tariff Amendment (Tobacco) Act 2014</w:t>
      </w:r>
      <w:r>
        <w:rPr>
          <w:noProof/>
        </w:rPr>
        <w:fldChar w:fldCharType="end"/>
      </w:r>
    </w:p>
    <w:p w:rsidR="007F3992" w:rsidRDefault="00126012" w:rsidP="007F399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8, 2014</w:t>
      </w:r>
      <w:r>
        <w:rPr>
          <w:noProof/>
        </w:rPr>
        <w:fldChar w:fldCharType="end"/>
      </w:r>
    </w:p>
    <w:p w:rsidR="007F3992" w:rsidRPr="009A0728" w:rsidRDefault="007F3992" w:rsidP="007F3992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F3992" w:rsidRPr="009A0728" w:rsidRDefault="007F3992" w:rsidP="007F3992">
      <w:pPr>
        <w:spacing w:line="40" w:lineRule="exact"/>
        <w:rPr>
          <w:rFonts w:eastAsia="Calibri"/>
          <w:b/>
          <w:sz w:val="28"/>
        </w:rPr>
      </w:pPr>
    </w:p>
    <w:p w:rsidR="007F3992" w:rsidRPr="009A0728" w:rsidRDefault="007F3992" w:rsidP="007F3992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F324E" w:rsidRDefault="007F3992" w:rsidP="004F324E">
      <w:pPr>
        <w:pStyle w:val="Page1"/>
      </w:pPr>
      <w:r>
        <w:t>An Act</w:t>
      </w:r>
      <w:r w:rsidR="004F324E" w:rsidRPr="004F324E">
        <w:t xml:space="preserve"> to amend the </w:t>
      </w:r>
      <w:r w:rsidR="004F324E" w:rsidRPr="004F324E">
        <w:rPr>
          <w:i/>
        </w:rPr>
        <w:t>Customs Tariff Act 1995</w:t>
      </w:r>
      <w:r w:rsidR="004F324E" w:rsidRPr="004F324E">
        <w:t>, and for related purposes</w:t>
      </w:r>
    </w:p>
    <w:p w:rsidR="00E8245A" w:rsidRDefault="00E8245A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18 March 2014</w:t>
      </w:r>
      <w:r>
        <w:rPr>
          <w:sz w:val="24"/>
        </w:rPr>
        <w:t>]</w:t>
      </w:r>
    </w:p>
    <w:p w:rsidR="0048364F" w:rsidRPr="004F324E" w:rsidRDefault="0048364F" w:rsidP="004F324E">
      <w:pPr>
        <w:spacing w:before="240" w:line="240" w:lineRule="auto"/>
        <w:rPr>
          <w:sz w:val="32"/>
        </w:rPr>
      </w:pPr>
      <w:r w:rsidRPr="004F324E">
        <w:rPr>
          <w:sz w:val="32"/>
        </w:rPr>
        <w:t>The Parliament of Australia enacts:</w:t>
      </w:r>
    </w:p>
    <w:p w:rsidR="0048364F" w:rsidRPr="004F324E" w:rsidRDefault="0048364F" w:rsidP="004F324E">
      <w:pPr>
        <w:pStyle w:val="ActHead5"/>
      </w:pPr>
      <w:bookmarkStart w:id="2" w:name="_Toc383071304"/>
      <w:r w:rsidRPr="004F324E">
        <w:rPr>
          <w:rStyle w:val="CharSectno"/>
        </w:rPr>
        <w:t>1</w:t>
      </w:r>
      <w:r w:rsidRPr="004F324E">
        <w:t xml:space="preserve">  Short title</w:t>
      </w:r>
      <w:bookmarkEnd w:id="2"/>
    </w:p>
    <w:p w:rsidR="0048364F" w:rsidRPr="004F324E" w:rsidRDefault="0048364F" w:rsidP="004F324E">
      <w:pPr>
        <w:pStyle w:val="subsection"/>
      </w:pPr>
      <w:r w:rsidRPr="004F324E">
        <w:tab/>
      </w:r>
      <w:r w:rsidRPr="004F324E">
        <w:tab/>
        <w:t xml:space="preserve">This Act may be cited as the </w:t>
      </w:r>
      <w:r w:rsidR="00180432" w:rsidRPr="004F324E">
        <w:rPr>
          <w:i/>
        </w:rPr>
        <w:t>Customs Tariff Amendment (Tobacco) Act 201</w:t>
      </w:r>
      <w:r w:rsidR="0005472D" w:rsidRPr="004F324E">
        <w:rPr>
          <w:i/>
        </w:rPr>
        <w:t>4</w:t>
      </w:r>
      <w:r w:rsidRPr="004F324E">
        <w:t>.</w:t>
      </w:r>
    </w:p>
    <w:p w:rsidR="0048364F" w:rsidRPr="004F324E" w:rsidRDefault="0048364F" w:rsidP="004F324E">
      <w:pPr>
        <w:pStyle w:val="ActHead5"/>
      </w:pPr>
      <w:bookmarkStart w:id="3" w:name="_Toc383071305"/>
      <w:r w:rsidRPr="004F324E">
        <w:rPr>
          <w:rStyle w:val="CharSectno"/>
        </w:rPr>
        <w:t>2</w:t>
      </w:r>
      <w:r w:rsidRPr="004F324E">
        <w:t xml:space="preserve">  Commencement</w:t>
      </w:r>
      <w:bookmarkEnd w:id="3"/>
    </w:p>
    <w:p w:rsidR="00071A96" w:rsidRPr="004F324E" w:rsidRDefault="00071A96" w:rsidP="004F324E">
      <w:pPr>
        <w:pStyle w:val="subsection"/>
      </w:pPr>
      <w:r w:rsidRPr="004F324E">
        <w:tab/>
      </w:r>
      <w:r w:rsidRPr="004F324E">
        <w:tab/>
        <w:t>This Act is taken to have commenced on 1</w:t>
      </w:r>
      <w:r w:rsidR="004F324E" w:rsidRPr="004F324E">
        <w:t> </w:t>
      </w:r>
      <w:r w:rsidRPr="004F324E">
        <w:t>December 2013.</w:t>
      </w:r>
    </w:p>
    <w:p w:rsidR="0048364F" w:rsidRPr="004F324E" w:rsidRDefault="0048364F" w:rsidP="004F324E">
      <w:pPr>
        <w:pStyle w:val="ActHead5"/>
      </w:pPr>
      <w:bookmarkStart w:id="4" w:name="_Toc383071306"/>
      <w:r w:rsidRPr="004F324E">
        <w:rPr>
          <w:rStyle w:val="CharSectno"/>
        </w:rPr>
        <w:lastRenderedPageBreak/>
        <w:t>3</w:t>
      </w:r>
      <w:r w:rsidRPr="004F324E">
        <w:t xml:space="preserve">  Schedule(s)</w:t>
      </w:r>
      <w:bookmarkEnd w:id="4"/>
    </w:p>
    <w:p w:rsidR="0048364F" w:rsidRPr="004F324E" w:rsidRDefault="0048364F" w:rsidP="004F324E">
      <w:pPr>
        <w:pStyle w:val="subsection"/>
      </w:pPr>
      <w:r w:rsidRPr="004F324E">
        <w:tab/>
      </w:r>
      <w:r w:rsidRPr="004F324E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180432" w:rsidRPr="004F324E" w:rsidRDefault="00180432" w:rsidP="004F324E">
      <w:pPr>
        <w:pStyle w:val="ActHead6"/>
        <w:pageBreakBefore/>
      </w:pPr>
      <w:bookmarkStart w:id="5" w:name="_Toc383071307"/>
      <w:bookmarkStart w:id="6" w:name="opcAmSched"/>
      <w:bookmarkStart w:id="7" w:name="opcCurrentFind"/>
      <w:r w:rsidRPr="004F324E">
        <w:rPr>
          <w:rStyle w:val="CharAmSchNo"/>
        </w:rPr>
        <w:lastRenderedPageBreak/>
        <w:t>Schedule</w:t>
      </w:r>
      <w:r w:rsidR="004F324E" w:rsidRPr="004F324E">
        <w:rPr>
          <w:rStyle w:val="CharAmSchNo"/>
        </w:rPr>
        <w:t> </w:t>
      </w:r>
      <w:r w:rsidRPr="004F324E">
        <w:rPr>
          <w:rStyle w:val="CharAmSchNo"/>
        </w:rPr>
        <w:t>1</w:t>
      </w:r>
      <w:r w:rsidRPr="004F324E">
        <w:t>—</w:t>
      </w:r>
      <w:r w:rsidRPr="004F324E">
        <w:rPr>
          <w:rStyle w:val="CharAmSchText"/>
        </w:rPr>
        <w:t>Amendments</w:t>
      </w:r>
      <w:bookmarkEnd w:id="5"/>
    </w:p>
    <w:p w:rsidR="00180432" w:rsidRPr="004F324E" w:rsidRDefault="00180432" w:rsidP="004F324E">
      <w:pPr>
        <w:pStyle w:val="ActHead7"/>
      </w:pPr>
      <w:bookmarkStart w:id="8" w:name="_Toc383071308"/>
      <w:bookmarkEnd w:id="6"/>
      <w:bookmarkEnd w:id="7"/>
      <w:r w:rsidRPr="004F324E">
        <w:rPr>
          <w:rStyle w:val="CharAmPartNo"/>
        </w:rPr>
        <w:t>Part</w:t>
      </w:r>
      <w:r w:rsidR="004F324E" w:rsidRPr="004F324E">
        <w:rPr>
          <w:rStyle w:val="CharAmPartNo"/>
        </w:rPr>
        <w:t> </w:t>
      </w:r>
      <w:r w:rsidRPr="004F324E">
        <w:rPr>
          <w:rStyle w:val="CharAmPartNo"/>
        </w:rPr>
        <w:t>1</w:t>
      </w:r>
      <w:r w:rsidRPr="004F324E">
        <w:t>—</w:t>
      </w:r>
      <w:r w:rsidR="00071A96" w:rsidRPr="004F324E">
        <w:rPr>
          <w:rStyle w:val="CharAmPartText"/>
        </w:rPr>
        <w:t>Increase in tobacco duty rates on 1</w:t>
      </w:r>
      <w:r w:rsidR="004F324E" w:rsidRPr="004F324E">
        <w:rPr>
          <w:rStyle w:val="CharAmPartText"/>
        </w:rPr>
        <w:t> </w:t>
      </w:r>
      <w:r w:rsidR="00071A96" w:rsidRPr="004F324E">
        <w:rPr>
          <w:rStyle w:val="CharAmPartText"/>
        </w:rPr>
        <w:t>December 2013</w:t>
      </w:r>
      <w:bookmarkEnd w:id="8"/>
    </w:p>
    <w:p w:rsidR="00180432" w:rsidRPr="004F324E" w:rsidRDefault="00180432" w:rsidP="004F324E">
      <w:pPr>
        <w:pStyle w:val="ActHead9"/>
        <w:rPr>
          <w:i w:val="0"/>
        </w:rPr>
      </w:pPr>
      <w:bookmarkStart w:id="9" w:name="_Toc383071309"/>
      <w:r w:rsidRPr="004F324E">
        <w:t>Customs Tariff Act 1995</w:t>
      </w:r>
      <w:bookmarkEnd w:id="9"/>
    </w:p>
    <w:p w:rsidR="00180432" w:rsidRPr="004F324E" w:rsidRDefault="00180432" w:rsidP="004F324E">
      <w:pPr>
        <w:pStyle w:val="ItemHead"/>
      </w:pPr>
      <w:r w:rsidRPr="004F324E">
        <w:t>1  Schedule</w:t>
      </w:r>
      <w:r w:rsidR="004F324E" w:rsidRPr="004F324E">
        <w:t> </w:t>
      </w:r>
      <w:r w:rsidRPr="004F324E">
        <w:t>3 (subheading 2401.10.00,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SG:$502.48/kg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  Schedule</w:t>
      </w:r>
      <w:r w:rsidR="004F324E" w:rsidRPr="004F324E">
        <w:t> </w:t>
      </w:r>
      <w:r w:rsidRPr="004F324E">
        <w:t>3 (subheading 2401.20.00,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$502.48/kg of</w:t>
            </w:r>
            <w:r w:rsidRPr="004F324E">
              <w:br/>
              <w:t>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  Schedule</w:t>
      </w:r>
      <w:r w:rsidR="004F324E" w:rsidRPr="004F324E">
        <w:t> </w:t>
      </w:r>
      <w:r w:rsidRPr="004F324E">
        <w:t>3 (subheading 2401.30.00,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$502.48/kg of</w:t>
            </w:r>
            <w:r w:rsidRPr="004F324E">
              <w:br/>
              <w:t>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4  Schedule</w:t>
      </w:r>
      <w:r w:rsidR="004F324E" w:rsidRPr="004F324E">
        <w:t> </w:t>
      </w:r>
      <w:r w:rsidRPr="004F324E">
        <w:t>3 (subheading 2402.10.20,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  Schedule</w:t>
      </w:r>
      <w:r w:rsidR="004F324E" w:rsidRPr="004F324E">
        <w:t> </w:t>
      </w:r>
      <w:r w:rsidRPr="004F324E">
        <w:t>3 (subheading 2402.10.80,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$502.48/kg of</w:t>
            </w:r>
            <w:r w:rsidRPr="004F324E">
              <w:br/>
              <w:t>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  Schedule</w:t>
      </w:r>
      <w:r w:rsidR="004F324E" w:rsidRPr="004F324E">
        <w:t> </w:t>
      </w:r>
      <w:r w:rsidRPr="004F324E">
        <w:t>3 (subheading 2402.20.20,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7  Schedule</w:t>
      </w:r>
      <w:r w:rsidR="004F324E" w:rsidRPr="004F324E">
        <w:t> </w:t>
      </w:r>
      <w:r w:rsidRPr="004F324E">
        <w:t>3 (subheading 2402.20.80,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$502.48/kg of</w:t>
            </w:r>
            <w:r w:rsidRPr="004F324E">
              <w:br/>
              <w:t>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8  Schedule</w:t>
      </w:r>
      <w:r w:rsidR="004F324E" w:rsidRPr="004F324E">
        <w:t> </w:t>
      </w:r>
      <w:r w:rsidRPr="004F324E">
        <w:t>3 (subheading 2403.11.00,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9  Schedule</w:t>
      </w:r>
      <w:r w:rsidR="004F324E" w:rsidRPr="004F324E">
        <w:t> </w:t>
      </w:r>
      <w:r w:rsidRPr="004F324E">
        <w:t>3 (subheading 2403.19.10,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10  Schedule</w:t>
      </w:r>
      <w:r w:rsidR="004F324E" w:rsidRPr="004F324E">
        <w:t> </w:t>
      </w:r>
      <w:r w:rsidRPr="004F324E">
        <w:t>3 (subheading 2403.19.90,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11  Schedule</w:t>
      </w:r>
      <w:r w:rsidR="004F324E" w:rsidRPr="004F324E">
        <w:t> </w:t>
      </w:r>
      <w:r w:rsidRPr="004F324E">
        <w:t>3 (subheading 2403.91.00,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$502.48/kg of</w:t>
            </w:r>
            <w:r w:rsidRPr="004F324E">
              <w:br/>
            </w:r>
            <w:r w:rsidRPr="004F324E">
              <w:lastRenderedPageBreak/>
              <w:t>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12  Schedule</w:t>
      </w:r>
      <w:r w:rsidR="004F324E" w:rsidRPr="004F324E">
        <w:t> </w:t>
      </w:r>
      <w:r w:rsidRPr="004F324E">
        <w:t>3 (subheading 2403.99.80, the rates of duty in column 3)</w:t>
      </w:r>
    </w:p>
    <w:p w:rsidR="00180432" w:rsidRPr="004F324E" w:rsidRDefault="00180432" w:rsidP="004F324E">
      <w:pPr>
        <w:pStyle w:val="Item"/>
      </w:pPr>
      <w:r w:rsidRPr="004F324E">
        <w:t>Repeal the rates of duty, substitute:</w:t>
      </w:r>
    </w:p>
    <w:tbl>
      <w:tblPr>
        <w:tblW w:w="1608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</w:tblGrid>
      <w:tr w:rsidR="00180432" w:rsidRPr="004F324E" w:rsidTr="00185D5B">
        <w:tc>
          <w:tcPr>
            <w:tcW w:w="1608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  <w:r w:rsidRPr="004F324E">
              <w:br/>
              <w:t>NZ/PG/FI/</w:t>
            </w:r>
            <w:r w:rsidRPr="004F324E">
              <w:br/>
              <w:t>DC/LDC/</w:t>
            </w:r>
            <w:r w:rsidRPr="004F324E">
              <w:br/>
              <w:t>SG:</w:t>
            </w:r>
            <w:r w:rsidRPr="004F324E">
              <w:br/>
              <w:t>$502.48/kg of</w:t>
            </w:r>
            <w:r w:rsidRPr="004F324E">
              <w:br/>
              <w:t>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13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43A,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14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44,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15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45,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16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46,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17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47,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18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48,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19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49,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20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50,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21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51,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22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51A,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23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52,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24  Schedule</w:t>
      </w:r>
      <w:r w:rsidR="004F324E" w:rsidRPr="004F324E">
        <w:t> </w:t>
      </w:r>
      <w:r w:rsidRPr="004F324E">
        <w:t>5 (cell at table item</w:t>
      </w:r>
      <w:r w:rsidR="004F324E" w:rsidRPr="004F324E">
        <w:t> </w:t>
      </w:r>
      <w:r w:rsidRPr="004F324E">
        <w:t>54,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25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46A,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26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47,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27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48,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28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49,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29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50,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30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51,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31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52,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32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53,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33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54,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34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54A,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35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55,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36  Schedule</w:t>
      </w:r>
      <w:r w:rsidR="004F324E" w:rsidRPr="004F324E">
        <w:t> </w:t>
      </w:r>
      <w:r w:rsidRPr="004F324E">
        <w:t>6 (cell at table item</w:t>
      </w:r>
      <w:r w:rsidR="004F324E" w:rsidRPr="004F324E">
        <w:t> </w:t>
      </w:r>
      <w:r w:rsidRPr="004F324E">
        <w:t>57,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37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46,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38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47,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39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48,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40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49,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41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50,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42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51,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43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52,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44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53,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45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54,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46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54A,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47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55,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48  Schedule</w:t>
      </w:r>
      <w:r w:rsidR="004F324E" w:rsidRPr="004F324E">
        <w:t> </w:t>
      </w:r>
      <w:r w:rsidRPr="004F324E">
        <w:t>7 (cell at table item</w:t>
      </w:r>
      <w:r w:rsidR="004F324E" w:rsidRPr="004F324E">
        <w:t> </w:t>
      </w:r>
      <w:r w:rsidRPr="004F324E">
        <w:t>56,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49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52,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50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53,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51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54,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52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55,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53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56,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54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57,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55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58,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56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59,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57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60,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58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60A,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59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61,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60  Schedule</w:t>
      </w:r>
      <w:r w:rsidR="004F324E" w:rsidRPr="004F324E">
        <w:t> </w:t>
      </w:r>
      <w:r w:rsidRPr="004F324E">
        <w:t>8 (cell at table item</w:t>
      </w:r>
      <w:r w:rsidR="004F324E" w:rsidRPr="004F324E">
        <w:t> </w:t>
      </w:r>
      <w:r w:rsidRPr="004F324E">
        <w:t>62,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61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50,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62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51,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63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52,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64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53,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65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54,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66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55,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67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56,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68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57,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69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58,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$0.40197/stick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70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59,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71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60,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72  Schedule</w:t>
      </w:r>
      <w:r w:rsidR="004F324E" w:rsidRPr="004F324E">
        <w:t> </w:t>
      </w:r>
      <w:r w:rsidRPr="004F324E">
        <w:t>9 (cell at table item</w:t>
      </w:r>
      <w:r w:rsidR="004F324E" w:rsidRPr="004F324E">
        <w:t> </w:t>
      </w:r>
      <w:r w:rsidRPr="004F324E">
        <w:t>61, column 3)</w:t>
      </w:r>
    </w:p>
    <w:p w:rsidR="00180432" w:rsidRPr="004F324E" w:rsidRDefault="00180432" w:rsidP="004F324E">
      <w:pPr>
        <w:pStyle w:val="Item"/>
      </w:pPr>
      <w:r w:rsidRPr="004F324E">
        <w:t>Repeal the cell, substitute:</w:t>
      </w:r>
    </w:p>
    <w:tbl>
      <w:tblPr>
        <w:tblW w:w="363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</w:tblGrid>
      <w:tr w:rsidR="00180432" w:rsidRPr="004F324E" w:rsidTr="00185D5B">
        <w:tc>
          <w:tcPr>
            <w:tcW w:w="3630" w:type="dxa"/>
          </w:tcPr>
          <w:p w:rsidR="00180432" w:rsidRPr="004F324E" w:rsidRDefault="00180432" w:rsidP="004F324E">
            <w:pPr>
              <w:pStyle w:val="Tabletext"/>
            </w:pPr>
            <w:r w:rsidRPr="004F324E">
              <w:t>$502.48/kg of tobacco content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lastRenderedPageBreak/>
        <w:t>73  Application provision</w:t>
      </w:r>
    </w:p>
    <w:p w:rsidR="00180432" w:rsidRPr="004F324E" w:rsidRDefault="00180432" w:rsidP="004F324E">
      <w:pPr>
        <w:pStyle w:val="Item"/>
      </w:pPr>
      <w:r w:rsidRPr="004F324E">
        <w:t>The amendments made by this Part apply in relation to: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>goods imported into Australia on or after 1</w:t>
      </w:r>
      <w:r w:rsidR="004F324E" w:rsidRPr="004F324E">
        <w:t> </w:t>
      </w:r>
      <w:r w:rsidRPr="004F324E">
        <w:t>December 2013; and</w:t>
      </w:r>
    </w:p>
    <w:p w:rsidR="00180432" w:rsidRPr="004F324E" w:rsidRDefault="00180432" w:rsidP="004F324E">
      <w:pPr>
        <w:pStyle w:val="paragraph"/>
      </w:pPr>
      <w:r w:rsidRPr="004F324E">
        <w:tab/>
        <w:t>(b)</w:t>
      </w:r>
      <w:r w:rsidRPr="004F324E">
        <w:tab/>
        <w:t>goods imported into Australia before 1</w:t>
      </w:r>
      <w:r w:rsidR="004F324E" w:rsidRPr="004F324E">
        <w:t> </w:t>
      </w:r>
      <w:r w:rsidRPr="004F324E">
        <w:t>December 2013, where the time for working out the rate of import duty on the goods had not occurred before 1</w:t>
      </w:r>
      <w:r w:rsidR="004F324E" w:rsidRPr="004F324E">
        <w:t> </w:t>
      </w:r>
      <w:r w:rsidRPr="004F324E">
        <w:t>December 2013.</w:t>
      </w:r>
    </w:p>
    <w:p w:rsidR="00180432" w:rsidRPr="004F324E" w:rsidRDefault="00180432" w:rsidP="004F324E">
      <w:pPr>
        <w:pStyle w:val="ActHead7"/>
        <w:pageBreakBefore/>
      </w:pPr>
      <w:bookmarkStart w:id="10" w:name="_Toc383071310"/>
      <w:r w:rsidRPr="004F324E">
        <w:rPr>
          <w:rStyle w:val="CharAmPartNo"/>
        </w:rPr>
        <w:lastRenderedPageBreak/>
        <w:t>Part</w:t>
      </w:r>
      <w:r w:rsidR="004F324E" w:rsidRPr="004F324E">
        <w:rPr>
          <w:rStyle w:val="CharAmPartNo"/>
        </w:rPr>
        <w:t> </w:t>
      </w:r>
      <w:r w:rsidRPr="004F324E">
        <w:rPr>
          <w:rStyle w:val="CharAmPartNo"/>
        </w:rPr>
        <w:t>2</w:t>
      </w:r>
      <w:r w:rsidRPr="004F324E">
        <w:t>—</w:t>
      </w:r>
      <w:r w:rsidR="00071A96" w:rsidRPr="004F324E">
        <w:rPr>
          <w:rStyle w:val="CharAmPartText"/>
        </w:rPr>
        <w:t>Indexation</w:t>
      </w:r>
      <w:bookmarkEnd w:id="10"/>
    </w:p>
    <w:p w:rsidR="00180432" w:rsidRPr="004F324E" w:rsidRDefault="00180432" w:rsidP="004F324E">
      <w:pPr>
        <w:pStyle w:val="ActHead9"/>
        <w:rPr>
          <w:i w:val="0"/>
        </w:rPr>
      </w:pPr>
      <w:bookmarkStart w:id="11" w:name="_Toc383071311"/>
      <w:r w:rsidRPr="004F324E">
        <w:t>Customs Tariff Act 1995</w:t>
      </w:r>
      <w:bookmarkEnd w:id="11"/>
    </w:p>
    <w:p w:rsidR="00764847" w:rsidRPr="004F324E" w:rsidRDefault="00764847" w:rsidP="004F324E">
      <w:pPr>
        <w:pStyle w:val="ItemHead"/>
      </w:pPr>
      <w:r w:rsidRPr="004F324E">
        <w:t>74  Subsection</w:t>
      </w:r>
      <w:r w:rsidR="004F324E" w:rsidRPr="004F324E">
        <w:t> </w:t>
      </w:r>
      <w:r w:rsidRPr="004F324E">
        <w:t xml:space="preserve">3(1) (definition of </w:t>
      </w:r>
      <w:r w:rsidRPr="004F324E">
        <w:rPr>
          <w:i/>
        </w:rPr>
        <w:t>excise item</w:t>
      </w:r>
      <w:r w:rsidRPr="004F324E">
        <w:t>)</w:t>
      </w:r>
    </w:p>
    <w:p w:rsidR="00764847" w:rsidRPr="004F324E" w:rsidRDefault="00764847" w:rsidP="004F324E">
      <w:pPr>
        <w:pStyle w:val="Item"/>
      </w:pPr>
      <w:r w:rsidRPr="004F324E">
        <w:t>Repeal the definition.</w:t>
      </w:r>
    </w:p>
    <w:p w:rsidR="00180432" w:rsidRPr="004F324E" w:rsidRDefault="00180432" w:rsidP="004F324E">
      <w:pPr>
        <w:pStyle w:val="ItemHead"/>
      </w:pPr>
      <w:r w:rsidRPr="004F324E">
        <w:t>7</w:t>
      </w:r>
      <w:r w:rsidR="00764847" w:rsidRPr="004F324E">
        <w:t>5</w:t>
      </w:r>
      <w:r w:rsidRPr="004F324E">
        <w:t xml:space="preserve">  Section</w:t>
      </w:r>
      <w:r w:rsidR="004F324E" w:rsidRPr="004F324E">
        <w:t> </w:t>
      </w:r>
      <w:r w:rsidRPr="004F324E">
        <w:t>19</w:t>
      </w:r>
    </w:p>
    <w:p w:rsidR="00180432" w:rsidRPr="004F324E" w:rsidRDefault="00180432" w:rsidP="004F324E">
      <w:pPr>
        <w:pStyle w:val="Item"/>
      </w:pPr>
      <w:r w:rsidRPr="004F324E">
        <w:t>Repeal the section, substitute:</w:t>
      </w:r>
    </w:p>
    <w:p w:rsidR="00180432" w:rsidRPr="004F324E" w:rsidRDefault="00180432" w:rsidP="004F324E">
      <w:pPr>
        <w:pStyle w:val="ActHead5"/>
      </w:pPr>
      <w:bookmarkStart w:id="12" w:name="_Toc383071312"/>
      <w:r w:rsidRPr="004F324E">
        <w:rPr>
          <w:rStyle w:val="CharSectno"/>
        </w:rPr>
        <w:t>19</w:t>
      </w:r>
      <w:r w:rsidRPr="004F324E">
        <w:t xml:space="preserve">  Indexation of alcohol duty rates</w:t>
      </w:r>
      <w:bookmarkEnd w:id="12"/>
    </w:p>
    <w:p w:rsidR="00180432" w:rsidRPr="004F324E" w:rsidRDefault="00180432" w:rsidP="004F324E">
      <w:pPr>
        <w:pStyle w:val="subsection"/>
      </w:pPr>
      <w:r w:rsidRPr="004F324E">
        <w:tab/>
        <w:t>(1)</w:t>
      </w:r>
      <w:r w:rsidRPr="004F324E">
        <w:tab/>
        <w:t xml:space="preserve">If the indexation factor for an indexation day is greater than 1, each alcohol duty rate is, on that day, replaced by </w:t>
      </w:r>
      <w:r w:rsidR="00B57DAC" w:rsidRPr="004F324E">
        <w:t>the</w:t>
      </w:r>
      <w:r w:rsidR="009551A3" w:rsidRPr="004F324E">
        <w:t xml:space="preserve"> rate of duty</w:t>
      </w:r>
      <w:r w:rsidRPr="004F324E">
        <w:t xml:space="preserve"> worked out using the formula:</w:t>
      </w:r>
    </w:p>
    <w:p w:rsidR="00180432" w:rsidRPr="004F324E" w:rsidRDefault="00126012" w:rsidP="004F324E">
      <w:pPr>
        <w:pStyle w:val="subsection2"/>
      </w:pPr>
      <w:bookmarkStart w:id="13" w:name="BKCheck15B_12"/>
      <w:bookmarkStart w:id="14" w:name="BKCheck15B_2"/>
      <w:bookmarkEnd w:id="13"/>
      <w:bookmarkEnd w:id="14"/>
      <w:r>
        <w:pict>
          <v:shape id="_x0000_i1027" type="#_x0000_t75" style="width:177pt;height:41.25pt">
            <v:imagedata r:id="rId20" o:title=""/>
          </v:shape>
        </w:pict>
      </w:r>
    </w:p>
    <w:p w:rsidR="00180432" w:rsidRPr="004F324E" w:rsidRDefault="00180432" w:rsidP="004F324E">
      <w:pPr>
        <w:pStyle w:val="notetext"/>
      </w:pPr>
      <w:r w:rsidRPr="004F324E">
        <w:t>Note:</w:t>
      </w:r>
      <w:r w:rsidRPr="004F324E">
        <w:tab/>
        <w:t xml:space="preserve">For </w:t>
      </w:r>
      <w:r w:rsidRPr="004F324E">
        <w:rPr>
          <w:b/>
          <w:i/>
        </w:rPr>
        <w:t xml:space="preserve">alcohol duty rate </w:t>
      </w:r>
      <w:r w:rsidRPr="004F324E">
        <w:t>see section</w:t>
      </w:r>
      <w:r w:rsidR="004F324E" w:rsidRPr="004F324E">
        <w:t> </w:t>
      </w:r>
      <w:r w:rsidRPr="004F324E">
        <w:t>19A</w:t>
      </w:r>
      <w:r w:rsidR="0051762E" w:rsidRPr="004F324E">
        <w:t>A</w:t>
      </w:r>
      <w:r w:rsidRPr="004F324E">
        <w:t xml:space="preserve">. For </w:t>
      </w:r>
      <w:r w:rsidR="0060669D" w:rsidRPr="004F324E">
        <w:rPr>
          <w:b/>
          <w:i/>
        </w:rPr>
        <w:t>indexation factor</w:t>
      </w:r>
      <w:r w:rsidR="0060669D" w:rsidRPr="004F324E">
        <w:t xml:space="preserve"> see </w:t>
      </w:r>
      <w:r w:rsidR="004F324E" w:rsidRPr="004F324E">
        <w:t>subsection (</w:t>
      </w:r>
      <w:r w:rsidR="0060669D" w:rsidRPr="004F324E">
        <w:t>3)</w:t>
      </w:r>
      <w:r w:rsidR="0060669D" w:rsidRPr="004F324E">
        <w:rPr>
          <w:b/>
          <w:i/>
        </w:rPr>
        <w:t xml:space="preserve"> </w:t>
      </w:r>
      <w:r w:rsidR="0060669D" w:rsidRPr="004F324E">
        <w:t xml:space="preserve">and for </w:t>
      </w:r>
      <w:r w:rsidRPr="004F324E">
        <w:rPr>
          <w:b/>
          <w:i/>
        </w:rPr>
        <w:t>indexation day</w:t>
      </w:r>
      <w:r w:rsidRPr="004F324E">
        <w:t xml:space="preserve"> see </w:t>
      </w:r>
      <w:r w:rsidR="004F324E" w:rsidRPr="004F324E">
        <w:t>subsection (</w:t>
      </w:r>
      <w:r w:rsidR="00744B1D" w:rsidRPr="004F324E">
        <w:t>10</w:t>
      </w:r>
      <w:r w:rsidRPr="004F324E">
        <w:t>)</w:t>
      </w:r>
      <w:r w:rsidR="0060669D" w:rsidRPr="004F324E">
        <w:t>.</w:t>
      </w:r>
    </w:p>
    <w:p w:rsidR="00180432" w:rsidRPr="004F324E" w:rsidRDefault="00180432" w:rsidP="004F324E">
      <w:pPr>
        <w:pStyle w:val="subsection"/>
      </w:pPr>
      <w:r w:rsidRPr="004F324E">
        <w:tab/>
        <w:t>(2)</w:t>
      </w:r>
      <w:r w:rsidRPr="004F324E">
        <w:tab/>
        <w:t xml:space="preserve">The amount worked out under </w:t>
      </w:r>
      <w:r w:rsidR="004F324E" w:rsidRPr="004F324E">
        <w:t>subsection (</w:t>
      </w:r>
      <w:r w:rsidRPr="004F324E">
        <w:t>1) is to be rounded to the same number of decimal places as the alcohol duty rate was on the day before the indexation day (rounding up if the next decimal place is 5 or more).</w:t>
      </w:r>
    </w:p>
    <w:p w:rsidR="00180432" w:rsidRPr="004F324E" w:rsidRDefault="00180432" w:rsidP="004F324E">
      <w:pPr>
        <w:pStyle w:val="SubsectionHead"/>
      </w:pPr>
      <w:r w:rsidRPr="004F324E">
        <w:t>Indexation factor</w:t>
      </w:r>
    </w:p>
    <w:p w:rsidR="00180432" w:rsidRPr="004F324E" w:rsidRDefault="00180432" w:rsidP="004F324E">
      <w:pPr>
        <w:pStyle w:val="subsection"/>
      </w:pPr>
      <w:r w:rsidRPr="004F324E">
        <w:tab/>
        <w:t>(3)</w:t>
      </w:r>
      <w:r w:rsidRPr="004F324E">
        <w:tab/>
        <w:t xml:space="preserve">The </w:t>
      </w:r>
      <w:r w:rsidRPr="004F324E">
        <w:rPr>
          <w:b/>
          <w:i/>
        </w:rPr>
        <w:t xml:space="preserve">indexation factor </w:t>
      </w:r>
      <w:r w:rsidRPr="004F324E">
        <w:t>for an indexation day is the number worked out using the formula:</w:t>
      </w:r>
    </w:p>
    <w:p w:rsidR="00180432" w:rsidRPr="004F324E" w:rsidRDefault="00126012" w:rsidP="004F324E">
      <w:pPr>
        <w:pStyle w:val="subsection2"/>
      </w:pPr>
      <w:bookmarkStart w:id="15" w:name="BKCheck15B_6"/>
      <w:bookmarkStart w:id="16" w:name="BKCheck15B_3"/>
      <w:bookmarkEnd w:id="15"/>
      <w:bookmarkEnd w:id="16"/>
      <w:r>
        <w:rPr>
          <w:position w:val="-36"/>
        </w:rPr>
        <w:pict>
          <v:shape id="_x0000_i1028" type="#_x0000_t75" style="width:210.75pt;height:49.5pt">
            <v:imagedata r:id="rId21" o:title=""/>
          </v:shape>
        </w:pict>
      </w:r>
    </w:p>
    <w:p w:rsidR="00185D5B" w:rsidRPr="004F324E" w:rsidRDefault="00185D5B" w:rsidP="004F324E">
      <w:pPr>
        <w:pStyle w:val="notetext"/>
      </w:pPr>
      <w:r w:rsidRPr="004F324E">
        <w:t>Note:</w:t>
      </w:r>
      <w:r w:rsidRPr="004F324E">
        <w:tab/>
        <w:t xml:space="preserve">For </w:t>
      </w:r>
      <w:r w:rsidRPr="004F324E">
        <w:rPr>
          <w:b/>
          <w:i/>
        </w:rPr>
        <w:t>index number</w:t>
      </w:r>
      <w:r w:rsidRPr="004F324E">
        <w:t xml:space="preserve">, </w:t>
      </w:r>
      <w:r w:rsidRPr="004F324E">
        <w:rPr>
          <w:b/>
          <w:i/>
        </w:rPr>
        <w:t>reference quarter</w:t>
      </w:r>
      <w:r w:rsidRPr="004F324E">
        <w:t xml:space="preserve"> and </w:t>
      </w:r>
      <w:r w:rsidRPr="004F324E">
        <w:rPr>
          <w:b/>
          <w:i/>
        </w:rPr>
        <w:t>base quarter</w:t>
      </w:r>
      <w:r w:rsidRPr="004F324E">
        <w:t xml:space="preserve"> see </w:t>
      </w:r>
      <w:r w:rsidR="004F324E" w:rsidRPr="004F324E">
        <w:t>subsection (</w:t>
      </w:r>
      <w:r w:rsidR="00744B1D" w:rsidRPr="004F324E">
        <w:t>10</w:t>
      </w:r>
      <w:r w:rsidRPr="004F324E">
        <w:t>).</w:t>
      </w:r>
    </w:p>
    <w:p w:rsidR="00180432" w:rsidRPr="004F324E" w:rsidRDefault="00180432" w:rsidP="004F324E">
      <w:pPr>
        <w:pStyle w:val="subsection"/>
      </w:pPr>
      <w:r w:rsidRPr="004F324E">
        <w:tab/>
        <w:t>(4)</w:t>
      </w:r>
      <w:r w:rsidRPr="004F324E">
        <w:tab/>
        <w:t>The indexation factor is to be worked out to 3 decimal places (rounding up if the fourth decimal place is 5 or more).</w:t>
      </w:r>
    </w:p>
    <w:p w:rsidR="00304A73" w:rsidRPr="004F324E" w:rsidRDefault="00304A73" w:rsidP="004F324E">
      <w:pPr>
        <w:pStyle w:val="SubsectionHead"/>
      </w:pPr>
      <w:r w:rsidRPr="004F324E">
        <w:lastRenderedPageBreak/>
        <w:t>Effect of delay in publication of index number</w:t>
      </w:r>
    </w:p>
    <w:p w:rsidR="00235DB8" w:rsidRPr="004F324E" w:rsidRDefault="00235DB8" w:rsidP="004F324E">
      <w:pPr>
        <w:pStyle w:val="subsection"/>
      </w:pPr>
      <w:r w:rsidRPr="004F324E">
        <w:tab/>
        <w:t>(5)</w:t>
      </w:r>
      <w:r w:rsidRPr="004F324E">
        <w:tab/>
        <w:t xml:space="preserve">If the index number for the most recent reference quarter before the indexation day is published by the Australian Statistician on a day (the </w:t>
      </w:r>
      <w:r w:rsidRPr="004F324E">
        <w:rPr>
          <w:b/>
          <w:i/>
        </w:rPr>
        <w:t>publication day</w:t>
      </w:r>
      <w:r w:rsidRPr="004F324E">
        <w:t xml:space="preserve">) that is not </w:t>
      </w:r>
      <w:r w:rsidR="005B73AE" w:rsidRPr="004F324E">
        <w:t xml:space="preserve">at least </w:t>
      </w:r>
      <w:r w:rsidRPr="004F324E">
        <w:t xml:space="preserve">5 days before the indexation day, then, despite </w:t>
      </w:r>
      <w:r w:rsidR="004F324E" w:rsidRPr="004F324E">
        <w:t>subsection (</w:t>
      </w:r>
      <w:r w:rsidRPr="004F324E">
        <w:t xml:space="preserve">1), any replacement of an alcohol duty rate under </w:t>
      </w:r>
      <w:r w:rsidR="004F324E" w:rsidRPr="004F324E">
        <w:t>subsection (</w:t>
      </w:r>
      <w:r w:rsidR="005B73AE" w:rsidRPr="004F324E">
        <w:t xml:space="preserve">1) </w:t>
      </w:r>
      <w:r w:rsidRPr="004F324E">
        <w:t>happens on the fifth day after the publication day.</w:t>
      </w:r>
    </w:p>
    <w:p w:rsidR="00180432" w:rsidRPr="004F324E" w:rsidRDefault="00180432" w:rsidP="004F324E">
      <w:pPr>
        <w:pStyle w:val="SubsectionHead"/>
      </w:pPr>
      <w:r w:rsidRPr="004F324E">
        <w:t xml:space="preserve">Effect of </w:t>
      </w:r>
      <w:r w:rsidR="002325BC" w:rsidRPr="004F324E">
        <w:t>C</w:t>
      </w:r>
      <w:r w:rsidRPr="004F324E">
        <w:t xml:space="preserve">ustoms </w:t>
      </w:r>
      <w:r w:rsidR="002325BC" w:rsidRPr="004F324E">
        <w:t>T</w:t>
      </w:r>
      <w:r w:rsidRPr="004F324E">
        <w:t>ariff alteration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744B1D" w:rsidRPr="004F324E">
        <w:t>6</w:t>
      </w:r>
      <w:r w:rsidRPr="004F324E">
        <w:t>)</w:t>
      </w:r>
      <w:r w:rsidRPr="004F324E">
        <w:tab/>
        <w:t xml:space="preserve">If a </w:t>
      </w:r>
      <w:r w:rsidR="002325BC" w:rsidRPr="004F324E">
        <w:t>Customs T</w:t>
      </w:r>
      <w:r w:rsidRPr="004F324E">
        <w:t>ariff alteration proposed in the Parliament proposes to substitute, on and after a particular day, a rate for an alcohol duty rate, treat that substitution as having had effect on and after that day for the purposes of this section.</w:t>
      </w:r>
    </w:p>
    <w:p w:rsidR="00180432" w:rsidRPr="004F324E" w:rsidRDefault="00180432" w:rsidP="004F324E">
      <w:pPr>
        <w:pStyle w:val="SubsectionHead"/>
      </w:pPr>
      <w:r w:rsidRPr="004F324E">
        <w:t xml:space="preserve">Changes to CPI </w:t>
      </w:r>
      <w:r w:rsidR="002325BC" w:rsidRPr="004F324E">
        <w:t>index reference period</w:t>
      </w:r>
      <w:r w:rsidRPr="004F324E">
        <w:t xml:space="preserve"> and publication of substituted index numbers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744B1D" w:rsidRPr="004F324E">
        <w:t>7</w:t>
      </w:r>
      <w:r w:rsidRPr="004F324E">
        <w:t>)</w:t>
      </w:r>
      <w:r w:rsidRPr="004F324E">
        <w:tab/>
        <w:t>Amounts are to be worked out under this section: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 xml:space="preserve">using only the index numbers published in terms of the most recently published </w:t>
      </w:r>
      <w:r w:rsidR="00B12DE0" w:rsidRPr="004F324E">
        <w:t>index reference period</w:t>
      </w:r>
      <w:r w:rsidRPr="004F324E">
        <w:t xml:space="preserve"> for the Consumer Price Index; and</w:t>
      </w:r>
    </w:p>
    <w:p w:rsidR="00180432" w:rsidRPr="004F324E" w:rsidRDefault="00180432" w:rsidP="004F324E">
      <w:pPr>
        <w:pStyle w:val="paragraph"/>
      </w:pPr>
      <w:r w:rsidRPr="004F324E">
        <w:tab/>
        <w:t>(b)</w:t>
      </w:r>
      <w:r w:rsidRPr="004F324E">
        <w:tab/>
        <w:t xml:space="preserve">disregarding index numbers published in substitution for previously published index numbers (except where the substituted numbers are published to take account of changes in the </w:t>
      </w:r>
      <w:r w:rsidR="00B12DE0" w:rsidRPr="004F324E">
        <w:t>index reference period</w:t>
      </w:r>
      <w:r w:rsidRPr="004F324E">
        <w:t>).</w:t>
      </w:r>
    </w:p>
    <w:p w:rsidR="00180432" w:rsidRPr="004F324E" w:rsidRDefault="00180432" w:rsidP="004F324E">
      <w:pPr>
        <w:pStyle w:val="SubsectionHead"/>
      </w:pPr>
      <w:r w:rsidRPr="004F324E">
        <w:t xml:space="preserve">Application of </w:t>
      </w:r>
      <w:r w:rsidR="00365CF5" w:rsidRPr="004F324E">
        <w:t>replacement</w:t>
      </w:r>
      <w:r w:rsidRPr="004F324E">
        <w:t xml:space="preserve"> rate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744B1D" w:rsidRPr="004F324E">
        <w:t>8</w:t>
      </w:r>
      <w:r w:rsidRPr="004F324E">
        <w:t>)</w:t>
      </w:r>
      <w:r w:rsidRPr="004F324E">
        <w:tab/>
      </w:r>
      <w:r w:rsidR="00365CF5" w:rsidRPr="004F324E">
        <w:t>If</w:t>
      </w:r>
      <w:r w:rsidRPr="004F324E">
        <w:t xml:space="preserve"> </w:t>
      </w:r>
      <w:r w:rsidR="00365CF5" w:rsidRPr="004F324E">
        <w:t xml:space="preserve">an </w:t>
      </w:r>
      <w:r w:rsidRPr="004F324E">
        <w:t>alcohol duty rate is replaced under this section on a particular day</w:t>
      </w:r>
      <w:r w:rsidR="00365CF5" w:rsidRPr="004F324E">
        <w:t>,</w:t>
      </w:r>
      <w:r w:rsidRPr="004F324E">
        <w:t xml:space="preserve"> </w:t>
      </w:r>
      <w:r w:rsidR="00365CF5" w:rsidRPr="004F324E">
        <w:t>the replacement rate applies in relation to</w:t>
      </w:r>
      <w:r w:rsidRPr="004F324E">
        <w:t>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>goods imported into Australia on or after that day; and</w:t>
      </w:r>
    </w:p>
    <w:p w:rsidR="00180432" w:rsidRPr="004F324E" w:rsidRDefault="00180432" w:rsidP="004F324E">
      <w:pPr>
        <w:pStyle w:val="paragraph"/>
      </w:pPr>
      <w:r w:rsidRPr="004F324E">
        <w:tab/>
        <w:t>(b)</w:t>
      </w:r>
      <w:r w:rsidRPr="004F324E">
        <w:tab/>
        <w:t>goods imported into Australia before that day, where the time for working out the rate of import duty on the goods had not occurred before that day.</w:t>
      </w:r>
    </w:p>
    <w:p w:rsidR="00180432" w:rsidRPr="004F324E" w:rsidRDefault="00180432" w:rsidP="004F324E">
      <w:pPr>
        <w:pStyle w:val="SubsectionHead"/>
      </w:pPr>
      <w:r w:rsidRPr="004F324E">
        <w:t xml:space="preserve">Publication of </w:t>
      </w:r>
      <w:r w:rsidR="00365CF5" w:rsidRPr="004F324E">
        <w:t>replacement</w:t>
      </w:r>
      <w:r w:rsidRPr="004F324E">
        <w:t xml:space="preserve"> rate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744B1D" w:rsidRPr="004F324E">
        <w:t>9</w:t>
      </w:r>
      <w:r w:rsidRPr="004F324E">
        <w:t>)</w:t>
      </w:r>
      <w:r w:rsidRPr="004F324E">
        <w:tab/>
        <w:t xml:space="preserve">The Chief Executive Officer of Customs must, on or as soon as practicable after the day an alcohol duty rate is </w:t>
      </w:r>
      <w:r w:rsidR="00C848C1" w:rsidRPr="004F324E">
        <w:t>replaced</w:t>
      </w:r>
      <w:r w:rsidRPr="004F324E">
        <w:t xml:space="preserve"> under this section, publish a notice in the </w:t>
      </w:r>
      <w:r w:rsidRPr="004F324E">
        <w:rPr>
          <w:i/>
        </w:rPr>
        <w:t xml:space="preserve">Gazette </w:t>
      </w:r>
      <w:r w:rsidR="009551A3" w:rsidRPr="004F324E">
        <w:t>advertising the replacement rate and the goods it applies to</w:t>
      </w:r>
      <w:r w:rsidRPr="004F324E">
        <w:t>.</w:t>
      </w:r>
    </w:p>
    <w:p w:rsidR="00180432" w:rsidRPr="004F324E" w:rsidRDefault="00180432" w:rsidP="004F324E">
      <w:pPr>
        <w:pStyle w:val="SubsectionHead"/>
      </w:pPr>
      <w:r w:rsidRPr="004F324E">
        <w:lastRenderedPageBreak/>
        <w:t>Definitions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744B1D" w:rsidRPr="004F324E">
        <w:t>10</w:t>
      </w:r>
      <w:r w:rsidRPr="004F324E">
        <w:t>)</w:t>
      </w:r>
      <w:r w:rsidRPr="004F324E">
        <w:tab/>
        <w:t>In this section: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base quarter</w:t>
      </w:r>
      <w:r w:rsidRPr="004F324E">
        <w:t xml:space="preserve"> means the June quarter or December quarter that has the highest index number of all the June quarters and December quarters that occur: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>before the most recent reference quarter before the indexation day; and</w:t>
      </w:r>
    </w:p>
    <w:p w:rsidR="00180432" w:rsidRPr="004F324E" w:rsidRDefault="00180432" w:rsidP="004F324E">
      <w:pPr>
        <w:pStyle w:val="paragraph"/>
      </w:pPr>
      <w:r w:rsidRPr="004F324E">
        <w:tab/>
        <w:t>(b)</w:t>
      </w:r>
      <w:r w:rsidRPr="004F324E">
        <w:tab/>
        <w:t>after the June quarter of 1983.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December quarter</w:t>
      </w:r>
      <w:r w:rsidRPr="004F324E">
        <w:t xml:space="preserve"> means a period of 3 months starting on 1</w:t>
      </w:r>
      <w:r w:rsidR="004F324E" w:rsidRPr="004F324E">
        <w:t> </w:t>
      </w:r>
      <w:r w:rsidRPr="004F324E">
        <w:t>October.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 xml:space="preserve">indexation day </w:t>
      </w:r>
      <w:r w:rsidRPr="004F324E">
        <w:t>means each 1</w:t>
      </w:r>
      <w:r w:rsidR="004F324E" w:rsidRPr="004F324E">
        <w:t> </w:t>
      </w:r>
      <w:r w:rsidRPr="004F324E">
        <w:t>February and 1</w:t>
      </w:r>
      <w:r w:rsidR="004F324E" w:rsidRPr="004F324E">
        <w:t> </w:t>
      </w:r>
      <w:r w:rsidRPr="004F324E">
        <w:t>August.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index number</w:t>
      </w:r>
      <w:r w:rsidRPr="004F324E">
        <w:t>, for a quarter, means the All Groups Consumer Price Index number that is the weighted average of the 8 capital cities and is published by the Australian Statistician in relation to that quarter.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June quarter</w:t>
      </w:r>
      <w:r w:rsidRPr="004F324E">
        <w:t xml:space="preserve"> means a period of 3 months starting on 1</w:t>
      </w:r>
      <w:r w:rsidR="004F324E" w:rsidRPr="004F324E">
        <w:t> </w:t>
      </w:r>
      <w:r w:rsidRPr="004F324E">
        <w:t>April.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reference quarter</w:t>
      </w:r>
      <w:r w:rsidRPr="004F324E">
        <w:t xml:space="preserve"> means the June quarter or December quarter.</w:t>
      </w:r>
    </w:p>
    <w:p w:rsidR="00180432" w:rsidRPr="004F324E" w:rsidRDefault="00180432" w:rsidP="004F324E">
      <w:pPr>
        <w:pStyle w:val="ActHead5"/>
      </w:pPr>
      <w:bookmarkStart w:id="17" w:name="_Toc383071313"/>
      <w:r w:rsidRPr="004F324E">
        <w:rPr>
          <w:rStyle w:val="CharSectno"/>
        </w:rPr>
        <w:t>19A</w:t>
      </w:r>
      <w:r w:rsidR="0051762E" w:rsidRPr="004F324E">
        <w:rPr>
          <w:rStyle w:val="CharSectno"/>
        </w:rPr>
        <w:t>A</w:t>
      </w:r>
      <w:r w:rsidRPr="004F324E">
        <w:t xml:space="preserve">  Alcohol duty rates</w:t>
      </w:r>
      <w:bookmarkEnd w:id="17"/>
    </w:p>
    <w:p w:rsidR="00180432" w:rsidRPr="004F324E" w:rsidRDefault="00180432" w:rsidP="004F324E">
      <w:pPr>
        <w:pStyle w:val="subsection"/>
      </w:pPr>
      <w:r w:rsidRPr="004F324E">
        <w:tab/>
      </w:r>
      <w:r w:rsidRPr="004F324E">
        <w:tab/>
        <w:t>For the purposes of section</w:t>
      </w:r>
      <w:r w:rsidR="004F324E" w:rsidRPr="004F324E">
        <w:t> </w:t>
      </w:r>
      <w:r w:rsidRPr="004F324E">
        <w:t xml:space="preserve">19, an </w:t>
      </w:r>
      <w:r w:rsidRPr="004F324E">
        <w:rPr>
          <w:b/>
          <w:i/>
        </w:rPr>
        <w:t>alcohol duty rate</w:t>
      </w:r>
      <w:r w:rsidRPr="004F324E">
        <w:t xml:space="preserve"> is a rate of duty </w:t>
      </w:r>
      <w:r w:rsidR="00C70D30" w:rsidRPr="004F324E">
        <w:t xml:space="preserve">(except so much of a rate of duty </w:t>
      </w:r>
      <w:r w:rsidR="003B3C06" w:rsidRPr="004F324E">
        <w:t>as</w:t>
      </w:r>
      <w:r w:rsidR="00C70D30" w:rsidRPr="004F324E">
        <w:t xml:space="preserve"> is calculated as a percentage of the value of goods) </w:t>
      </w:r>
      <w:r w:rsidRPr="004F324E">
        <w:t>in the following: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 xml:space="preserve">the rate column of </w:t>
      </w:r>
      <w:r w:rsidR="00F43521" w:rsidRPr="004F324E">
        <w:t>a</w:t>
      </w:r>
      <w:r w:rsidRPr="004F324E">
        <w:t xml:space="preserve"> subheading in Schedule</w:t>
      </w:r>
      <w:r w:rsidR="004F324E" w:rsidRPr="004F324E">
        <w:t> </w:t>
      </w:r>
      <w:r w:rsidRPr="004F324E">
        <w:t>3 specified in the table at the end of this section;</w:t>
      </w:r>
    </w:p>
    <w:p w:rsidR="00180432" w:rsidRPr="004F324E" w:rsidRDefault="00180432" w:rsidP="004F324E">
      <w:pPr>
        <w:pStyle w:val="paragraph"/>
      </w:pPr>
      <w:r w:rsidRPr="004F324E">
        <w:tab/>
        <w:t>(b)</w:t>
      </w:r>
      <w:r w:rsidRPr="004F324E">
        <w:tab/>
        <w:t>the rate column of an item in the table in Schedule</w:t>
      </w:r>
      <w:r w:rsidR="004F324E" w:rsidRPr="004F324E">
        <w:t> </w:t>
      </w:r>
      <w:r w:rsidRPr="004F324E">
        <w:t>5, 6, 7, 8 or 9 that relates to a subheading in Schedule</w:t>
      </w:r>
      <w:r w:rsidR="004F324E" w:rsidRPr="004F324E">
        <w:t> </w:t>
      </w:r>
      <w:r w:rsidRPr="004F324E">
        <w:t>3</w:t>
      </w:r>
      <w:r w:rsidR="00F43521" w:rsidRPr="004F324E">
        <w:t xml:space="preserve"> specified in the table at the end of this section.</w:t>
      </w:r>
    </w:p>
    <w:p w:rsidR="00180432" w:rsidRPr="004F324E" w:rsidRDefault="00180432" w:rsidP="004F324E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1843"/>
      </w:tblGrid>
      <w:tr w:rsidR="00180432" w:rsidRPr="004F324E" w:rsidTr="00185D5B">
        <w:trPr>
          <w:tblHeader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0432" w:rsidRPr="004F324E" w:rsidRDefault="00180432" w:rsidP="004F324E">
            <w:pPr>
              <w:pStyle w:val="TableHeading"/>
            </w:pPr>
            <w:r w:rsidRPr="004F324E">
              <w:t>Alcohol duty rates</w:t>
            </w:r>
          </w:p>
        </w:tc>
      </w:tr>
      <w:tr w:rsidR="00180432" w:rsidRPr="004F324E" w:rsidTr="00185D5B"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2203.00.61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2203.00.62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2203.00.69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2203.00.71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lastRenderedPageBreak/>
              <w:t>2203.00.72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2203.00.79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2203.00.91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2203.00.99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2204.10.23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2204.10.29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2204.10.83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2204.10.89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2204.21.30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2204.21.90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2204.29.30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2204.29.90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2205.10.30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2205.10.90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2205.90.30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2205.90.90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2206.00.13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2206.00.14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2206.00.21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2206.00.22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2206.00.23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2206.00.24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2206.00.52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2206.00.59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2206.00.62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2206.00.69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2206.00.74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2206.00.75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2206.00.78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2206.00.82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2206.00.83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2206.00.89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2206.00.92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2206.00.99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lastRenderedPageBreak/>
              <w:t>2207.10.00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2208.20.10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2208.20.90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2208.30.00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2208.40.00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2208.50.00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2208.60.00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2208.70.00</w:t>
            </w:r>
          </w:p>
        </w:tc>
      </w:tr>
      <w:tr w:rsidR="00180432" w:rsidRPr="004F324E" w:rsidTr="00185D5B">
        <w:tc>
          <w:tcPr>
            <w:tcW w:w="1843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2208.90.20</w:t>
            </w:r>
          </w:p>
        </w:tc>
      </w:tr>
      <w:tr w:rsidR="00180432" w:rsidRPr="004F324E" w:rsidTr="00185D5B"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2208.90.90</w:t>
            </w:r>
          </w:p>
        </w:tc>
      </w:tr>
    </w:tbl>
    <w:p w:rsidR="00180432" w:rsidRPr="004F324E" w:rsidRDefault="00180432" w:rsidP="004F324E">
      <w:pPr>
        <w:pStyle w:val="ActHead5"/>
      </w:pPr>
      <w:bookmarkStart w:id="18" w:name="_Toc383071314"/>
      <w:r w:rsidRPr="004F324E">
        <w:rPr>
          <w:rStyle w:val="CharSectno"/>
        </w:rPr>
        <w:t>19</w:t>
      </w:r>
      <w:r w:rsidR="0051762E" w:rsidRPr="004F324E">
        <w:rPr>
          <w:rStyle w:val="CharSectno"/>
        </w:rPr>
        <w:t>A</w:t>
      </w:r>
      <w:r w:rsidRPr="004F324E">
        <w:rPr>
          <w:rStyle w:val="CharSectno"/>
        </w:rPr>
        <w:t>B</w:t>
      </w:r>
      <w:r w:rsidRPr="004F324E">
        <w:t xml:space="preserve">  Indexation of tobacco duty rates</w:t>
      </w:r>
      <w:bookmarkEnd w:id="18"/>
    </w:p>
    <w:p w:rsidR="00180432" w:rsidRPr="004F324E" w:rsidRDefault="00180432" w:rsidP="004F324E">
      <w:pPr>
        <w:pStyle w:val="subsection"/>
      </w:pPr>
      <w:r w:rsidRPr="004F324E">
        <w:tab/>
        <w:t>(1)</w:t>
      </w:r>
      <w:r w:rsidRPr="004F324E">
        <w:tab/>
        <w:t xml:space="preserve">If the indexation factor for an indexation day </w:t>
      </w:r>
      <w:r w:rsidR="00093FC0" w:rsidRPr="004F324E">
        <w:t>is at least 1</w:t>
      </w:r>
      <w:r w:rsidRPr="004F324E">
        <w:t xml:space="preserve">, each tobacco duty rate is, on that day, replaced by </w:t>
      </w:r>
      <w:r w:rsidR="00B57DAC" w:rsidRPr="004F324E">
        <w:t>the rate of duty</w:t>
      </w:r>
      <w:r w:rsidRPr="004F324E">
        <w:t xml:space="preserve"> worked out using the formula:</w:t>
      </w:r>
    </w:p>
    <w:p w:rsidR="00180432" w:rsidRPr="004F324E" w:rsidRDefault="00126012" w:rsidP="004F324E">
      <w:pPr>
        <w:pStyle w:val="subsection2"/>
      </w:pPr>
      <w:bookmarkStart w:id="19" w:name="BKCheck15B_4"/>
      <w:bookmarkEnd w:id="19"/>
      <w:r>
        <w:rPr>
          <w:position w:val="-30"/>
        </w:rPr>
        <w:pict>
          <v:shape id="_x0000_i1029" type="#_x0000_t75" style="width:274.5pt;height:41.25pt">
            <v:imagedata r:id="rId22" o:title=""/>
          </v:shape>
        </w:pict>
      </w:r>
    </w:p>
    <w:p w:rsidR="00180432" w:rsidRPr="004F324E" w:rsidRDefault="00180432" w:rsidP="004F324E">
      <w:pPr>
        <w:pStyle w:val="notetext"/>
      </w:pPr>
      <w:r w:rsidRPr="004F324E">
        <w:t>Note:</w:t>
      </w:r>
      <w:r w:rsidRPr="004F324E">
        <w:tab/>
        <w:t xml:space="preserve">For </w:t>
      </w:r>
      <w:r w:rsidRPr="004F324E">
        <w:rPr>
          <w:b/>
          <w:i/>
        </w:rPr>
        <w:t xml:space="preserve">tobacco duty rate </w:t>
      </w:r>
      <w:r w:rsidRPr="004F324E">
        <w:t>see section</w:t>
      </w:r>
      <w:r w:rsidR="004F324E" w:rsidRPr="004F324E">
        <w:t> </w:t>
      </w:r>
      <w:r w:rsidRPr="004F324E">
        <w:t>19</w:t>
      </w:r>
      <w:r w:rsidR="0051762E" w:rsidRPr="004F324E">
        <w:t>A</w:t>
      </w:r>
      <w:r w:rsidRPr="004F324E">
        <w:t xml:space="preserve">C. For </w:t>
      </w:r>
      <w:r w:rsidR="00816BD8" w:rsidRPr="004F324E">
        <w:rPr>
          <w:b/>
          <w:i/>
        </w:rPr>
        <w:t>indexation factor</w:t>
      </w:r>
      <w:r w:rsidR="00816BD8" w:rsidRPr="004F324E">
        <w:t xml:space="preserve"> see </w:t>
      </w:r>
      <w:r w:rsidR="004F324E" w:rsidRPr="004F324E">
        <w:t>subsections (</w:t>
      </w:r>
      <w:r w:rsidR="00816BD8" w:rsidRPr="004F324E">
        <w:t>3)</w:t>
      </w:r>
      <w:r w:rsidR="00093FC0" w:rsidRPr="004F324E">
        <w:t xml:space="preserve"> and (5)</w:t>
      </w:r>
      <w:r w:rsidR="00816BD8" w:rsidRPr="004F324E">
        <w:t xml:space="preserve">, for </w:t>
      </w:r>
      <w:r w:rsidR="00816BD8" w:rsidRPr="004F324E">
        <w:rPr>
          <w:b/>
          <w:i/>
        </w:rPr>
        <w:t>additional factor</w:t>
      </w:r>
      <w:r w:rsidR="00816BD8" w:rsidRPr="004F324E">
        <w:t xml:space="preserve"> see </w:t>
      </w:r>
      <w:r w:rsidR="004F324E" w:rsidRPr="004F324E">
        <w:t>subsection (</w:t>
      </w:r>
      <w:r w:rsidR="00093FC0" w:rsidRPr="004F324E">
        <w:t>6</w:t>
      </w:r>
      <w:r w:rsidR="00816BD8" w:rsidRPr="004F324E">
        <w:t xml:space="preserve">) and for </w:t>
      </w:r>
      <w:r w:rsidRPr="004F324E">
        <w:rPr>
          <w:b/>
          <w:i/>
        </w:rPr>
        <w:t>indexation day</w:t>
      </w:r>
      <w:r w:rsidRPr="004F324E">
        <w:t xml:space="preserve"> see </w:t>
      </w:r>
      <w:r w:rsidR="004F324E" w:rsidRPr="004F324E">
        <w:t>subsection (</w:t>
      </w:r>
      <w:r w:rsidRPr="004F324E">
        <w:t>1</w:t>
      </w:r>
      <w:r w:rsidR="00093FC0" w:rsidRPr="004F324E">
        <w:t>2</w:t>
      </w:r>
      <w:r w:rsidRPr="004F324E">
        <w:t>).</w:t>
      </w:r>
    </w:p>
    <w:p w:rsidR="00180432" w:rsidRPr="004F324E" w:rsidRDefault="00180432" w:rsidP="004F324E">
      <w:pPr>
        <w:pStyle w:val="subsection"/>
      </w:pPr>
      <w:r w:rsidRPr="004F324E">
        <w:tab/>
        <w:t>(2)</w:t>
      </w:r>
      <w:r w:rsidRPr="004F324E">
        <w:tab/>
        <w:t xml:space="preserve">The amount worked out under </w:t>
      </w:r>
      <w:r w:rsidR="004F324E" w:rsidRPr="004F324E">
        <w:t>subsection (</w:t>
      </w:r>
      <w:r w:rsidRPr="004F324E">
        <w:t>1) is to be rounded to the same number of decimal places as the tobacco duty rate was on the day before the indexation day (rounding up if the next decimal place is 5 or more).</w:t>
      </w:r>
    </w:p>
    <w:p w:rsidR="00180432" w:rsidRPr="004F324E" w:rsidRDefault="00180432" w:rsidP="004F324E">
      <w:pPr>
        <w:pStyle w:val="SubsectionHead"/>
      </w:pPr>
      <w:r w:rsidRPr="004F324E">
        <w:t>Indexation factor</w:t>
      </w:r>
    </w:p>
    <w:p w:rsidR="00180432" w:rsidRPr="004F324E" w:rsidRDefault="00180432" w:rsidP="004F324E">
      <w:pPr>
        <w:pStyle w:val="subsection"/>
      </w:pPr>
      <w:r w:rsidRPr="004F324E">
        <w:tab/>
        <w:t>(3)</w:t>
      </w:r>
      <w:r w:rsidRPr="004F324E">
        <w:tab/>
        <w:t xml:space="preserve">The </w:t>
      </w:r>
      <w:r w:rsidRPr="004F324E">
        <w:rPr>
          <w:b/>
          <w:i/>
        </w:rPr>
        <w:t xml:space="preserve">indexation factor </w:t>
      </w:r>
      <w:r w:rsidRPr="004F324E">
        <w:t>for an indexation day is the number worked out using the formula:</w:t>
      </w:r>
    </w:p>
    <w:p w:rsidR="00180432" w:rsidRPr="004F324E" w:rsidRDefault="00126012" w:rsidP="004F324E">
      <w:pPr>
        <w:pStyle w:val="subsection2"/>
      </w:pPr>
      <w:bookmarkStart w:id="20" w:name="BKCheck15B_5"/>
      <w:bookmarkEnd w:id="20"/>
      <w:r>
        <w:rPr>
          <w:position w:val="-36"/>
        </w:rPr>
        <w:pict>
          <v:shape id="_x0000_i1030" type="#_x0000_t75" style="width:222pt;height:49.5pt">
            <v:imagedata r:id="rId23" o:title=""/>
          </v:shape>
        </w:pict>
      </w:r>
    </w:p>
    <w:p w:rsidR="00185D5B" w:rsidRPr="004F324E" w:rsidRDefault="00185D5B" w:rsidP="004F324E">
      <w:pPr>
        <w:pStyle w:val="notetext"/>
      </w:pPr>
      <w:r w:rsidRPr="004F324E">
        <w:t>Note:</w:t>
      </w:r>
      <w:r w:rsidRPr="004F324E">
        <w:tab/>
        <w:t xml:space="preserve">For </w:t>
      </w:r>
      <w:r w:rsidRPr="004F324E">
        <w:rPr>
          <w:b/>
          <w:i/>
        </w:rPr>
        <w:t>AWOTE amount</w:t>
      </w:r>
      <w:r w:rsidRPr="004F324E">
        <w:t xml:space="preserve">, </w:t>
      </w:r>
      <w:r w:rsidRPr="004F324E">
        <w:rPr>
          <w:b/>
          <w:i/>
        </w:rPr>
        <w:t>reference quarter</w:t>
      </w:r>
      <w:r w:rsidRPr="004F324E">
        <w:t xml:space="preserve"> and </w:t>
      </w:r>
      <w:r w:rsidRPr="004F324E">
        <w:rPr>
          <w:b/>
          <w:i/>
        </w:rPr>
        <w:t>base quarter</w:t>
      </w:r>
      <w:r w:rsidRPr="004F324E">
        <w:t xml:space="preserve"> see </w:t>
      </w:r>
      <w:r w:rsidR="004F324E" w:rsidRPr="004F324E">
        <w:t>subsection (</w:t>
      </w:r>
      <w:r w:rsidR="00747F33" w:rsidRPr="004F324E">
        <w:t>1</w:t>
      </w:r>
      <w:r w:rsidR="00093FC0" w:rsidRPr="004F324E">
        <w:t>2</w:t>
      </w:r>
      <w:r w:rsidRPr="004F324E">
        <w:t>).</w:t>
      </w:r>
    </w:p>
    <w:p w:rsidR="00180432" w:rsidRPr="004F324E" w:rsidRDefault="00180432" w:rsidP="004F324E">
      <w:pPr>
        <w:pStyle w:val="subsection"/>
      </w:pPr>
      <w:r w:rsidRPr="004F324E">
        <w:lastRenderedPageBreak/>
        <w:tab/>
        <w:t>(4)</w:t>
      </w:r>
      <w:r w:rsidRPr="004F324E">
        <w:tab/>
        <w:t>The indexation factor is to be worked out to 3 decimal places (rounding up if the fourth decimal place is 5 or more).</w:t>
      </w:r>
    </w:p>
    <w:p w:rsidR="00093FC0" w:rsidRPr="004F324E" w:rsidRDefault="00093FC0" w:rsidP="004F324E">
      <w:pPr>
        <w:pStyle w:val="subsection"/>
      </w:pPr>
      <w:r w:rsidRPr="004F324E">
        <w:tab/>
        <w:t>(5)</w:t>
      </w:r>
      <w:r w:rsidRPr="004F324E">
        <w:tab/>
        <w:t xml:space="preserve">Despite </w:t>
      </w:r>
      <w:r w:rsidR="004F324E" w:rsidRPr="004F324E">
        <w:t>subsection (</w:t>
      </w:r>
      <w:r w:rsidRPr="004F324E">
        <w:t xml:space="preserve">3), treat the </w:t>
      </w:r>
      <w:r w:rsidRPr="004F324E">
        <w:rPr>
          <w:b/>
          <w:i/>
        </w:rPr>
        <w:t>indexation factor</w:t>
      </w:r>
      <w:r w:rsidRPr="004F324E">
        <w:t xml:space="preserve"> for 1</w:t>
      </w:r>
      <w:r w:rsidR="004F324E" w:rsidRPr="004F324E">
        <w:t> </w:t>
      </w:r>
      <w:r w:rsidRPr="004F324E">
        <w:t>September 2014, 1</w:t>
      </w:r>
      <w:r w:rsidR="004F324E" w:rsidRPr="004F324E">
        <w:t> </w:t>
      </w:r>
      <w:r w:rsidRPr="004F324E">
        <w:t>September 2015 or 1</w:t>
      </w:r>
      <w:r w:rsidR="004F324E" w:rsidRPr="004F324E">
        <w:t> </w:t>
      </w:r>
      <w:r w:rsidRPr="004F324E">
        <w:t>September 2016 as 1 if, on that day, it would otherwise be less than 1.</w:t>
      </w:r>
    </w:p>
    <w:p w:rsidR="00180432" w:rsidRPr="004F324E" w:rsidRDefault="00180432" w:rsidP="004F324E">
      <w:pPr>
        <w:pStyle w:val="SubsectionHead"/>
      </w:pPr>
      <w:r w:rsidRPr="004F324E">
        <w:t>Additional factor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093FC0" w:rsidRPr="004F324E">
        <w:t>6</w:t>
      </w:r>
      <w:r w:rsidRPr="004F324E">
        <w:t>)</w:t>
      </w:r>
      <w:r w:rsidRPr="004F324E">
        <w:tab/>
        <w:t xml:space="preserve">The </w:t>
      </w:r>
      <w:r w:rsidRPr="004F324E">
        <w:rPr>
          <w:b/>
          <w:i/>
        </w:rPr>
        <w:t xml:space="preserve">additional factor </w:t>
      </w:r>
      <w:r w:rsidRPr="004F324E">
        <w:t>for an indexation day is: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>1.125, if the indexation day is 1</w:t>
      </w:r>
      <w:r w:rsidR="004F324E" w:rsidRPr="004F324E">
        <w:t> </w:t>
      </w:r>
      <w:r w:rsidRPr="004F324E">
        <w:t>September 2014, 1</w:t>
      </w:r>
      <w:r w:rsidR="004F324E" w:rsidRPr="004F324E">
        <w:t> </w:t>
      </w:r>
      <w:r w:rsidRPr="004F324E">
        <w:t>September 2015 or 1</w:t>
      </w:r>
      <w:r w:rsidR="004F324E" w:rsidRPr="004F324E">
        <w:t> </w:t>
      </w:r>
      <w:r w:rsidRPr="004F324E">
        <w:t>September 2016; or</w:t>
      </w:r>
    </w:p>
    <w:p w:rsidR="00180432" w:rsidRPr="004F324E" w:rsidRDefault="00180432" w:rsidP="004F324E">
      <w:pPr>
        <w:pStyle w:val="paragraph"/>
      </w:pPr>
      <w:r w:rsidRPr="004F324E">
        <w:tab/>
        <w:t>(b)</w:t>
      </w:r>
      <w:r w:rsidRPr="004F324E">
        <w:tab/>
        <w:t>1, for each other indexation day.</w:t>
      </w:r>
    </w:p>
    <w:p w:rsidR="006924BA" w:rsidRPr="004F324E" w:rsidRDefault="006924BA" w:rsidP="004F324E">
      <w:pPr>
        <w:pStyle w:val="SubsectionHead"/>
      </w:pPr>
      <w:r w:rsidRPr="004F324E">
        <w:t>Effect of delay in publication of AWOTE amount</w:t>
      </w:r>
    </w:p>
    <w:p w:rsidR="006924BA" w:rsidRPr="004F324E" w:rsidRDefault="00093FC0" w:rsidP="004F324E">
      <w:pPr>
        <w:pStyle w:val="subsection"/>
      </w:pPr>
      <w:r w:rsidRPr="004F324E">
        <w:tab/>
        <w:t>(7</w:t>
      </w:r>
      <w:r w:rsidR="006924BA" w:rsidRPr="004F324E">
        <w:t>)</w:t>
      </w:r>
      <w:r w:rsidR="006924BA" w:rsidRPr="004F324E">
        <w:tab/>
        <w:t xml:space="preserve">If the AWOTE amount for the most recent reference quarter before the indexation day is published by the Australian Statistician on a day (the </w:t>
      </w:r>
      <w:r w:rsidR="006924BA" w:rsidRPr="004F324E">
        <w:rPr>
          <w:b/>
          <w:i/>
        </w:rPr>
        <w:t>publication day</w:t>
      </w:r>
      <w:r w:rsidR="006924BA" w:rsidRPr="004F324E">
        <w:t xml:space="preserve">) that is not at least 5 days before the indexation day, then, despite </w:t>
      </w:r>
      <w:r w:rsidR="004F324E" w:rsidRPr="004F324E">
        <w:t>subsection (</w:t>
      </w:r>
      <w:r w:rsidR="006924BA" w:rsidRPr="004F324E">
        <w:t xml:space="preserve">1), any replacement of a </w:t>
      </w:r>
      <w:r w:rsidR="006B31B9" w:rsidRPr="004F324E">
        <w:t>tobacco</w:t>
      </w:r>
      <w:r w:rsidR="006924BA" w:rsidRPr="004F324E">
        <w:t xml:space="preserve"> duty rate under </w:t>
      </w:r>
      <w:r w:rsidR="004F324E" w:rsidRPr="004F324E">
        <w:t>subsection (</w:t>
      </w:r>
      <w:r w:rsidR="006924BA" w:rsidRPr="004F324E">
        <w:t>1) happens on the fifth day after the publication day.</w:t>
      </w:r>
    </w:p>
    <w:p w:rsidR="00180432" w:rsidRPr="004F324E" w:rsidRDefault="002325BC" w:rsidP="004F324E">
      <w:pPr>
        <w:pStyle w:val="SubsectionHead"/>
      </w:pPr>
      <w:r w:rsidRPr="004F324E">
        <w:t>Effect of C</w:t>
      </w:r>
      <w:r w:rsidR="00180432" w:rsidRPr="004F324E">
        <w:t xml:space="preserve">ustoms </w:t>
      </w:r>
      <w:r w:rsidRPr="004F324E">
        <w:t>T</w:t>
      </w:r>
      <w:r w:rsidR="00180432" w:rsidRPr="004F324E">
        <w:t>ariff alteration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093FC0" w:rsidRPr="004F324E">
        <w:t>8</w:t>
      </w:r>
      <w:r w:rsidRPr="004F324E">
        <w:t>)</w:t>
      </w:r>
      <w:r w:rsidRPr="004F324E">
        <w:tab/>
        <w:t xml:space="preserve">If a </w:t>
      </w:r>
      <w:r w:rsidR="002325BC" w:rsidRPr="004F324E">
        <w:t>C</w:t>
      </w:r>
      <w:r w:rsidRPr="004F324E">
        <w:t xml:space="preserve">ustoms </w:t>
      </w:r>
      <w:r w:rsidR="002325BC" w:rsidRPr="004F324E">
        <w:t>T</w:t>
      </w:r>
      <w:r w:rsidRPr="004F324E">
        <w:t>ariff alteration proposed in the Parliament proposes to substitute, on and after a particular day, a rate for a tobacco duty rate, treat that substitution as having had effect on and after that day for the purposes of this section.</w:t>
      </w:r>
    </w:p>
    <w:p w:rsidR="00180432" w:rsidRPr="004F324E" w:rsidRDefault="00180432" w:rsidP="004F324E">
      <w:pPr>
        <w:pStyle w:val="SubsectionHead"/>
      </w:pPr>
      <w:r w:rsidRPr="004F324E">
        <w:t>Publication of substituted AWOTE amounts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093FC0" w:rsidRPr="004F324E">
        <w:t>9</w:t>
      </w:r>
      <w:r w:rsidRPr="004F324E">
        <w:t>)</w:t>
      </w:r>
      <w:r w:rsidRPr="004F324E">
        <w:tab/>
        <w:t>If the Australian Statistician publishes an estimate of full</w:t>
      </w:r>
      <w:r w:rsidR="00F9513C">
        <w:noBreakHyphen/>
      </w:r>
      <w:r w:rsidRPr="004F324E">
        <w:t>time adult average weekly ordinary time earnings for persons in Australia for a period for which such an estimate was previously published by the Australian Statistician, the publication of the later estimate is to be disregarded for the purposes of this section.</w:t>
      </w:r>
    </w:p>
    <w:p w:rsidR="00180432" w:rsidRPr="004F324E" w:rsidRDefault="00180432" w:rsidP="004F324E">
      <w:pPr>
        <w:pStyle w:val="SubsectionHead"/>
      </w:pPr>
      <w:r w:rsidRPr="004F324E">
        <w:t xml:space="preserve">Application of </w:t>
      </w:r>
      <w:r w:rsidR="00B57DAC" w:rsidRPr="004F324E">
        <w:t>replacement</w:t>
      </w:r>
      <w:r w:rsidRPr="004F324E">
        <w:t xml:space="preserve"> rate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093FC0" w:rsidRPr="004F324E">
        <w:t>10</w:t>
      </w:r>
      <w:r w:rsidRPr="004F324E">
        <w:t>)</w:t>
      </w:r>
      <w:r w:rsidRPr="004F324E">
        <w:tab/>
      </w:r>
      <w:r w:rsidR="00B57DAC" w:rsidRPr="004F324E">
        <w:t>If a tobacco duty rate is replaced under this section on a particular day, the replacement rate applies in relation to</w:t>
      </w:r>
      <w:r w:rsidRPr="004F324E">
        <w:t>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>goods imported into Australia on or after that day; and</w:t>
      </w:r>
    </w:p>
    <w:p w:rsidR="00180432" w:rsidRPr="004F324E" w:rsidRDefault="00180432" w:rsidP="004F324E">
      <w:pPr>
        <w:pStyle w:val="paragraph"/>
      </w:pPr>
      <w:r w:rsidRPr="004F324E">
        <w:lastRenderedPageBreak/>
        <w:tab/>
        <w:t>(b)</w:t>
      </w:r>
      <w:r w:rsidRPr="004F324E">
        <w:tab/>
        <w:t>goods imported into Australia before that day, where the time for working out the rate of import duty on the goods had not occurred before that day.</w:t>
      </w:r>
    </w:p>
    <w:p w:rsidR="00180432" w:rsidRPr="004F324E" w:rsidRDefault="00180432" w:rsidP="004F324E">
      <w:pPr>
        <w:pStyle w:val="SubsectionHead"/>
      </w:pPr>
      <w:r w:rsidRPr="004F324E">
        <w:t xml:space="preserve">Publication of </w:t>
      </w:r>
      <w:r w:rsidR="00B57DAC" w:rsidRPr="004F324E">
        <w:t>replacement</w:t>
      </w:r>
      <w:r w:rsidRPr="004F324E">
        <w:t xml:space="preserve"> rate</w:t>
      </w:r>
    </w:p>
    <w:p w:rsidR="00180432" w:rsidRPr="004F324E" w:rsidRDefault="00180432" w:rsidP="004F324E">
      <w:pPr>
        <w:pStyle w:val="subsection"/>
      </w:pPr>
      <w:r w:rsidRPr="004F324E">
        <w:tab/>
        <w:t>(</w:t>
      </w:r>
      <w:r w:rsidR="006B31B9" w:rsidRPr="004F324E">
        <w:t>1</w:t>
      </w:r>
      <w:r w:rsidR="00093FC0" w:rsidRPr="004F324E">
        <w:t>1</w:t>
      </w:r>
      <w:r w:rsidR="006B31B9" w:rsidRPr="004F324E">
        <w:t>)</w:t>
      </w:r>
      <w:r w:rsidRPr="004F324E">
        <w:tab/>
      </w:r>
      <w:r w:rsidR="00B57DAC" w:rsidRPr="004F324E">
        <w:t xml:space="preserve">The Chief Executive Officer of Customs must, on or as soon as practicable after the day a tobacco duty rate is replaced under this section, publish a notice in the </w:t>
      </w:r>
      <w:r w:rsidR="00B57DAC" w:rsidRPr="004F324E">
        <w:rPr>
          <w:i/>
        </w:rPr>
        <w:t xml:space="preserve">Gazette </w:t>
      </w:r>
      <w:r w:rsidR="00B57DAC" w:rsidRPr="004F324E">
        <w:t>advertising the replacement rate and the goods it applies to</w:t>
      </w:r>
      <w:r w:rsidRPr="004F324E">
        <w:t>.</w:t>
      </w:r>
    </w:p>
    <w:p w:rsidR="00180432" w:rsidRPr="004F324E" w:rsidRDefault="00180432" w:rsidP="004F324E">
      <w:pPr>
        <w:pStyle w:val="SubsectionHead"/>
      </w:pPr>
      <w:r w:rsidRPr="004F324E">
        <w:t>Definitions</w:t>
      </w:r>
    </w:p>
    <w:p w:rsidR="00180432" w:rsidRPr="004F324E" w:rsidRDefault="00180432" w:rsidP="004F324E">
      <w:pPr>
        <w:pStyle w:val="subsection"/>
      </w:pPr>
      <w:r w:rsidRPr="004F324E">
        <w:tab/>
        <w:t>(1</w:t>
      </w:r>
      <w:r w:rsidR="00093FC0" w:rsidRPr="004F324E">
        <w:t>2</w:t>
      </w:r>
      <w:r w:rsidRPr="004F324E">
        <w:t>)</w:t>
      </w:r>
      <w:r w:rsidRPr="004F324E">
        <w:tab/>
        <w:t>In this section: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AWOTE amount</w:t>
      </w:r>
      <w:r w:rsidRPr="004F324E">
        <w:t>, for a quarter, means the estimate of the full</w:t>
      </w:r>
      <w:r w:rsidR="00F9513C">
        <w:noBreakHyphen/>
      </w:r>
      <w:r w:rsidRPr="004F324E">
        <w:t>time adult average weekly ordinary time earnings for persons in Australia for the middle month of the quarter published by the Australian Statistician in relation to that month.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base quarter</w:t>
      </w:r>
      <w:r w:rsidRPr="004F324E">
        <w:t xml:space="preserve"> means the June quarter or December quarter that has the highest AWOTE amount of all the June quarters and December quarters that occur: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>before the most recent reference quarter before the indexation day; and</w:t>
      </w:r>
    </w:p>
    <w:p w:rsidR="00180432" w:rsidRPr="004F324E" w:rsidRDefault="00180432" w:rsidP="004F324E">
      <w:pPr>
        <w:pStyle w:val="paragraph"/>
      </w:pPr>
      <w:r w:rsidRPr="004F324E">
        <w:tab/>
        <w:t>(b)</w:t>
      </w:r>
      <w:r w:rsidRPr="004F324E">
        <w:tab/>
        <w:t>after the December quarter of 2012.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December quarter</w:t>
      </w:r>
      <w:r w:rsidRPr="004F324E">
        <w:t xml:space="preserve"> means a period of 3 months starting on 1</w:t>
      </w:r>
      <w:r w:rsidR="004F324E" w:rsidRPr="004F324E">
        <w:t> </w:t>
      </w:r>
      <w:r w:rsidRPr="004F324E">
        <w:t>October.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 xml:space="preserve">indexation day </w:t>
      </w:r>
      <w:r w:rsidRPr="004F324E">
        <w:t>means each 1</w:t>
      </w:r>
      <w:r w:rsidR="004F324E" w:rsidRPr="004F324E">
        <w:t> </w:t>
      </w:r>
      <w:r w:rsidRPr="004F324E">
        <w:t>March and 1</w:t>
      </w:r>
      <w:r w:rsidR="004F324E" w:rsidRPr="004F324E">
        <w:t> </w:t>
      </w:r>
      <w:r w:rsidRPr="004F324E">
        <w:t>September.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June quarter</w:t>
      </w:r>
      <w:r w:rsidRPr="004F324E">
        <w:t xml:space="preserve"> means a period of 3 months starting on 1</w:t>
      </w:r>
      <w:r w:rsidR="004F324E" w:rsidRPr="004F324E">
        <w:t> </w:t>
      </w:r>
      <w:r w:rsidRPr="004F324E">
        <w:t>April.</w:t>
      </w:r>
    </w:p>
    <w:p w:rsidR="00180432" w:rsidRPr="004F324E" w:rsidRDefault="00180432" w:rsidP="004F324E">
      <w:pPr>
        <w:pStyle w:val="Definition"/>
      </w:pPr>
      <w:r w:rsidRPr="004F324E">
        <w:rPr>
          <w:b/>
          <w:i/>
        </w:rPr>
        <w:t>reference quarter</w:t>
      </w:r>
      <w:r w:rsidRPr="004F324E">
        <w:t xml:space="preserve"> means the June quarter or December quarter.</w:t>
      </w:r>
    </w:p>
    <w:p w:rsidR="00180432" w:rsidRPr="004F324E" w:rsidRDefault="00180432" w:rsidP="004F324E">
      <w:pPr>
        <w:pStyle w:val="ActHead5"/>
      </w:pPr>
      <w:bookmarkStart w:id="21" w:name="_Toc383071315"/>
      <w:r w:rsidRPr="004F324E">
        <w:rPr>
          <w:rStyle w:val="CharSectno"/>
        </w:rPr>
        <w:t>19</w:t>
      </w:r>
      <w:r w:rsidR="0051762E" w:rsidRPr="004F324E">
        <w:rPr>
          <w:rStyle w:val="CharSectno"/>
        </w:rPr>
        <w:t>A</w:t>
      </w:r>
      <w:r w:rsidRPr="004F324E">
        <w:rPr>
          <w:rStyle w:val="CharSectno"/>
        </w:rPr>
        <w:t>C</w:t>
      </w:r>
      <w:r w:rsidRPr="004F324E">
        <w:t xml:space="preserve">  Tobacco duty rates</w:t>
      </w:r>
      <w:bookmarkEnd w:id="21"/>
    </w:p>
    <w:p w:rsidR="00180432" w:rsidRPr="004F324E" w:rsidRDefault="00180432" w:rsidP="004F324E">
      <w:pPr>
        <w:pStyle w:val="subsection"/>
      </w:pPr>
      <w:r w:rsidRPr="004F324E">
        <w:tab/>
      </w:r>
      <w:r w:rsidRPr="004F324E">
        <w:tab/>
        <w:t>For the purposes of section</w:t>
      </w:r>
      <w:r w:rsidR="004F324E" w:rsidRPr="004F324E">
        <w:t> </w:t>
      </w:r>
      <w:r w:rsidRPr="004F324E">
        <w:t>19</w:t>
      </w:r>
      <w:r w:rsidR="0051762E" w:rsidRPr="004F324E">
        <w:t>A</w:t>
      </w:r>
      <w:r w:rsidRPr="004F324E">
        <w:t xml:space="preserve">B, a </w:t>
      </w:r>
      <w:r w:rsidRPr="004F324E">
        <w:rPr>
          <w:b/>
          <w:i/>
        </w:rPr>
        <w:t>tobacco duty rate</w:t>
      </w:r>
      <w:r w:rsidRPr="004F324E">
        <w:t xml:space="preserve"> is a rate of duty in the following:</w:t>
      </w:r>
    </w:p>
    <w:p w:rsidR="00180432" w:rsidRPr="004F324E" w:rsidRDefault="00180432" w:rsidP="004F324E">
      <w:pPr>
        <w:pStyle w:val="paragraph"/>
      </w:pPr>
      <w:r w:rsidRPr="004F324E">
        <w:tab/>
        <w:t>(a)</w:t>
      </w:r>
      <w:r w:rsidRPr="004F324E">
        <w:tab/>
        <w:t xml:space="preserve">the rate column of </w:t>
      </w:r>
      <w:r w:rsidR="00F43521" w:rsidRPr="004F324E">
        <w:t>a</w:t>
      </w:r>
      <w:r w:rsidRPr="004F324E">
        <w:t xml:space="preserve"> subheading in Schedule</w:t>
      </w:r>
      <w:r w:rsidR="004F324E" w:rsidRPr="004F324E">
        <w:t> </w:t>
      </w:r>
      <w:r w:rsidRPr="004F324E">
        <w:t>3 specified in the table at the end of this section;</w:t>
      </w:r>
    </w:p>
    <w:p w:rsidR="00180432" w:rsidRPr="004F324E" w:rsidRDefault="00180432" w:rsidP="004F324E">
      <w:pPr>
        <w:pStyle w:val="paragraph"/>
      </w:pPr>
      <w:r w:rsidRPr="004F324E">
        <w:lastRenderedPageBreak/>
        <w:tab/>
        <w:t>(b)</w:t>
      </w:r>
      <w:r w:rsidRPr="004F324E">
        <w:tab/>
        <w:t>the rate column of an item in the table in Schedule</w:t>
      </w:r>
      <w:r w:rsidR="004F324E" w:rsidRPr="004F324E">
        <w:t> </w:t>
      </w:r>
      <w:r w:rsidRPr="004F324E">
        <w:t>5, 6, 7, 8 or 9 that relates to a subheading in Schedule</w:t>
      </w:r>
      <w:r w:rsidR="004F324E" w:rsidRPr="004F324E">
        <w:t> </w:t>
      </w:r>
      <w:r w:rsidRPr="004F324E">
        <w:t>3</w:t>
      </w:r>
      <w:r w:rsidR="00F43521" w:rsidRPr="004F324E">
        <w:t xml:space="preserve"> specified in the table at the end of this section.</w:t>
      </w:r>
    </w:p>
    <w:p w:rsidR="00180432" w:rsidRPr="004F324E" w:rsidRDefault="00180432" w:rsidP="004F324E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1985"/>
      </w:tblGrid>
      <w:tr w:rsidR="00180432" w:rsidRPr="004F324E" w:rsidTr="00185D5B">
        <w:trPr>
          <w:tblHeader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0432" w:rsidRPr="004F324E" w:rsidRDefault="00180432" w:rsidP="004F324E">
            <w:pPr>
              <w:pStyle w:val="TableHeading"/>
            </w:pPr>
            <w:r w:rsidRPr="004F324E">
              <w:t>Tobacco duty rates</w:t>
            </w:r>
          </w:p>
        </w:tc>
      </w:tr>
      <w:tr w:rsidR="00180432" w:rsidRPr="004F324E" w:rsidTr="00185D5B"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2401.10.00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2401.20.00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2401.30.00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2402.10.20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2402.10.80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2402.20.20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2402.20.80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2403.11.00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2403.19.10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2403.19.90</w:t>
            </w:r>
          </w:p>
        </w:tc>
      </w:tr>
      <w:tr w:rsidR="00180432" w:rsidRPr="004F324E" w:rsidTr="00185D5B">
        <w:tc>
          <w:tcPr>
            <w:tcW w:w="1985" w:type="dxa"/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2403.91.00</w:t>
            </w:r>
          </w:p>
        </w:tc>
      </w:tr>
      <w:tr w:rsidR="00180432" w:rsidRPr="004F324E" w:rsidTr="00185D5B"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180432" w:rsidRPr="004F324E" w:rsidRDefault="00180432" w:rsidP="004F324E">
            <w:pPr>
              <w:pStyle w:val="Tabletext"/>
            </w:pPr>
            <w:r w:rsidRPr="004F324E">
              <w:t>2403.99.80</w:t>
            </w:r>
          </w:p>
        </w:tc>
      </w:tr>
    </w:tbl>
    <w:p w:rsidR="00180432" w:rsidRPr="004F324E" w:rsidRDefault="00180432" w:rsidP="004F324E">
      <w:pPr>
        <w:pStyle w:val="ItemHead"/>
      </w:pPr>
      <w:r w:rsidRPr="004F324E">
        <w:t>7</w:t>
      </w:r>
      <w:r w:rsidR="00764847" w:rsidRPr="004F324E">
        <w:t>6</w:t>
      </w:r>
      <w:r w:rsidRPr="004F324E">
        <w:t xml:space="preserve">  Application provisions</w:t>
      </w:r>
    </w:p>
    <w:p w:rsidR="00180432" w:rsidRPr="004F324E" w:rsidRDefault="00180432" w:rsidP="004F324E">
      <w:pPr>
        <w:pStyle w:val="Subitem"/>
      </w:pPr>
      <w:r w:rsidRPr="004F324E">
        <w:t>(1)</w:t>
      </w:r>
      <w:r w:rsidRPr="004F324E">
        <w:tab/>
        <w:t>Section</w:t>
      </w:r>
      <w:r w:rsidR="004F324E" w:rsidRPr="004F324E">
        <w:t> </w:t>
      </w:r>
      <w:r w:rsidRPr="004F324E">
        <w:t xml:space="preserve">19 of the </w:t>
      </w:r>
      <w:r w:rsidRPr="004F324E">
        <w:rPr>
          <w:i/>
        </w:rPr>
        <w:t>Customs Tariff Act 1995</w:t>
      </w:r>
      <w:r w:rsidRPr="004F324E">
        <w:t xml:space="preserve">, as </w:t>
      </w:r>
      <w:r w:rsidR="00F22644" w:rsidRPr="004F324E">
        <w:t>amended</w:t>
      </w:r>
      <w:r w:rsidRPr="004F324E">
        <w:t xml:space="preserve"> by this </w:t>
      </w:r>
      <w:r w:rsidR="002F2D19" w:rsidRPr="004F324E">
        <w:t>Part</w:t>
      </w:r>
      <w:r w:rsidRPr="004F324E">
        <w:t>, applies in relation to the indexation day that is 1</w:t>
      </w:r>
      <w:r w:rsidR="004F324E" w:rsidRPr="004F324E">
        <w:t> </w:t>
      </w:r>
      <w:r w:rsidRPr="004F324E">
        <w:t>February 2014 and each later indexation day.</w:t>
      </w:r>
    </w:p>
    <w:p w:rsidR="00F9513C" w:rsidRDefault="00180432" w:rsidP="004F324E">
      <w:pPr>
        <w:pStyle w:val="Subitem"/>
      </w:pPr>
      <w:r w:rsidRPr="004F324E">
        <w:t>(2)</w:t>
      </w:r>
      <w:r w:rsidRPr="004F324E">
        <w:tab/>
        <w:t>Section</w:t>
      </w:r>
      <w:r w:rsidR="004F324E" w:rsidRPr="004F324E">
        <w:t> </w:t>
      </w:r>
      <w:r w:rsidRPr="004F324E">
        <w:t>19</w:t>
      </w:r>
      <w:r w:rsidR="00A907FB" w:rsidRPr="004F324E">
        <w:t>A</w:t>
      </w:r>
      <w:r w:rsidRPr="004F324E">
        <w:t xml:space="preserve">B of the </w:t>
      </w:r>
      <w:r w:rsidRPr="004F324E">
        <w:rPr>
          <w:i/>
        </w:rPr>
        <w:t>Customs Tariff Act 1995</w:t>
      </w:r>
      <w:r w:rsidRPr="004F324E">
        <w:t xml:space="preserve">, as </w:t>
      </w:r>
      <w:r w:rsidR="00F22644" w:rsidRPr="004F324E">
        <w:t>amended</w:t>
      </w:r>
      <w:r w:rsidRPr="004F324E">
        <w:t xml:space="preserve"> by this </w:t>
      </w:r>
      <w:r w:rsidR="002F2D19" w:rsidRPr="004F324E">
        <w:t>Part</w:t>
      </w:r>
      <w:r w:rsidRPr="004F324E">
        <w:t>, applies in relation to the indexation day that is 1</w:t>
      </w:r>
      <w:r w:rsidR="004F324E" w:rsidRPr="004F324E">
        <w:t> </w:t>
      </w:r>
      <w:r w:rsidRPr="004F324E">
        <w:t>March 2014 and each later indexation day.</w:t>
      </w:r>
      <w:bookmarkStart w:id="22" w:name="opcScheduleEnd"/>
      <w:bookmarkEnd w:id="22"/>
    </w:p>
    <w:p w:rsidR="00E8245A" w:rsidRDefault="00E8245A" w:rsidP="00E8245A"/>
    <w:p w:rsidR="00E8245A" w:rsidRDefault="00E8245A" w:rsidP="00E8245A">
      <w:pPr>
        <w:pStyle w:val="2ndRd"/>
        <w:keepNext/>
        <w:pBdr>
          <w:top w:val="single" w:sz="2" w:space="1" w:color="auto"/>
        </w:pBdr>
      </w:pPr>
    </w:p>
    <w:p w:rsidR="00E8245A" w:rsidRDefault="00E8245A" w:rsidP="00E8245A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8245A" w:rsidRDefault="00E8245A" w:rsidP="00E8245A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February 2014</w:t>
      </w:r>
    </w:p>
    <w:p w:rsidR="00E8245A" w:rsidRDefault="00E8245A" w:rsidP="00E8245A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March 2014</w:t>
      </w:r>
      <w:r>
        <w:t>]</w:t>
      </w:r>
    </w:p>
    <w:p w:rsidR="00E8245A" w:rsidRDefault="00E8245A" w:rsidP="004F324E">
      <w:pPr>
        <w:pStyle w:val="Subitem"/>
        <w:sectPr w:rsidR="00E8245A" w:rsidSect="007F399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7F3992" w:rsidRDefault="007F3992" w:rsidP="007F3992">
      <w:pPr>
        <w:pStyle w:val="AssentBk"/>
        <w:keepNext/>
      </w:pPr>
    </w:p>
    <w:p w:rsidR="00E8245A" w:rsidRDefault="00E8245A" w:rsidP="00E8245A">
      <w:pPr>
        <w:framePr w:hSpace="180" w:wrap="around" w:vAnchor="text" w:hAnchor="page" w:x="2371" w:y="1497"/>
      </w:pPr>
      <w:r>
        <w:t>(10/14)</w:t>
      </w:r>
    </w:p>
    <w:p w:rsidR="00E8245A" w:rsidRDefault="00E8245A"/>
    <w:sectPr w:rsidR="00E8245A" w:rsidSect="00E8245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39"/>
      <w:pgMar w:top="1871" w:right="2410" w:bottom="4253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92" w:rsidRDefault="007F3992" w:rsidP="0048364F">
      <w:pPr>
        <w:spacing w:line="240" w:lineRule="auto"/>
      </w:pPr>
      <w:r>
        <w:separator/>
      </w:r>
    </w:p>
  </w:endnote>
  <w:endnote w:type="continuationSeparator" w:id="0">
    <w:p w:rsidR="007F3992" w:rsidRDefault="007F399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5F1388" w:rsidRDefault="007F3992" w:rsidP="004F32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F324E">
    <w:pPr>
      <w:pBdr>
        <w:top w:val="single" w:sz="6" w:space="1" w:color="auto"/>
      </w:pBdr>
      <w:spacing w:before="120"/>
      <w:rPr>
        <w:sz w:val="18"/>
      </w:rPr>
    </w:pPr>
  </w:p>
  <w:p w:rsidR="007F3992" w:rsidRPr="00A961C4" w:rsidRDefault="007F3992" w:rsidP="0048364F">
    <w:pPr>
      <w:jc w:val="right"/>
      <w:rPr>
        <w:i/>
        <w:sz w:val="18"/>
      </w:rPr>
    </w:pPr>
    <w:r>
      <w:rPr>
        <w:i/>
        <w:sz w:val="18"/>
      </w:rPr>
      <w:t>Customs Tariff Amendment (Tobacco) Act 2014</w:t>
    </w:r>
    <w:r w:rsidRPr="00A961C4">
      <w:rPr>
        <w:i/>
        <w:sz w:val="18"/>
      </w:rPr>
      <w:t xml:space="preserve">       </w:t>
    </w:r>
    <w:r>
      <w:rPr>
        <w:i/>
        <w:sz w:val="18"/>
      </w:rPr>
      <w:t>No.      , 2014</w:t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26012">
      <w:rPr>
        <w:i/>
        <w:noProof/>
        <w:sz w:val="18"/>
      </w:rPr>
      <w:t>14</w:t>
    </w:r>
    <w:r w:rsidRPr="00A961C4">
      <w:rPr>
        <w:i/>
        <w:sz w:val="18"/>
      </w:rPr>
      <w:fldChar w:fldCharType="end"/>
    </w:r>
  </w:p>
  <w:p w:rsidR="007F3992" w:rsidRPr="00A961C4" w:rsidRDefault="007F3992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F324E">
    <w:pPr>
      <w:pBdr>
        <w:top w:val="single" w:sz="6" w:space="1" w:color="auto"/>
      </w:pBdr>
      <w:spacing w:before="120"/>
      <w:rPr>
        <w:sz w:val="18"/>
      </w:rPr>
    </w:pPr>
  </w:p>
  <w:p w:rsidR="007F3992" w:rsidRPr="00A961C4" w:rsidRDefault="007F3992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</w:instrText>
    </w:r>
    <w:r>
      <w:rPr>
        <w:i/>
        <w:sz w:val="18"/>
      </w:rPr>
      <w:instrText>DOCPROPERTY</w:instrText>
    </w:r>
    <w:r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126012">
      <w:rPr>
        <w:i/>
        <w:sz w:val="18"/>
      </w:rPr>
      <w:t>Customs Tariff Amendment (Tobacco) Act 2014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</w:instrText>
    </w:r>
    <w:r>
      <w:rPr>
        <w:i/>
        <w:sz w:val="18"/>
      </w:rPr>
      <w:instrText>DOCPROPERTY</w:instrText>
    </w:r>
    <w:r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126012">
      <w:rPr>
        <w:i/>
        <w:sz w:val="18"/>
      </w:rPr>
      <w:t>No. 8, 2014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26012">
      <w:rPr>
        <w:i/>
        <w:noProof/>
        <w:sz w:val="18"/>
      </w:rPr>
      <w:t>14</w:t>
    </w:r>
    <w:r w:rsidRPr="00A961C4">
      <w:rPr>
        <w:i/>
        <w:sz w:val="18"/>
      </w:rPr>
      <w:fldChar w:fldCharType="end"/>
    </w:r>
  </w:p>
  <w:p w:rsidR="007F3992" w:rsidRPr="00A961C4" w:rsidRDefault="007F3992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5A" w:rsidRDefault="00E8245A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7F3992" w:rsidRPr="005F1388" w:rsidRDefault="007F3992" w:rsidP="004F32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ED79B6" w:rsidRDefault="007F3992" w:rsidP="004F32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ED79B6" w:rsidRDefault="007F3992" w:rsidP="004F324E">
    <w:pPr>
      <w:pBdr>
        <w:top w:val="single" w:sz="6" w:space="1" w:color="auto"/>
      </w:pBdr>
      <w:spacing w:before="120"/>
      <w:rPr>
        <w:sz w:val="18"/>
      </w:rPr>
    </w:pPr>
  </w:p>
  <w:p w:rsidR="007F3992" w:rsidRPr="00ED79B6" w:rsidRDefault="007F3992" w:rsidP="0048364F">
    <w:pPr>
      <w:jc w:val="right"/>
      <w:rPr>
        <w:i/>
        <w:sz w:val="18"/>
      </w:rPr>
    </w:pPr>
    <w:r>
      <w:rPr>
        <w:i/>
        <w:sz w:val="18"/>
      </w:rPr>
      <w:t>Customs Tariff Amendment (Tobacco) Act 2014</w:t>
    </w:r>
    <w:r w:rsidRPr="00ED79B6">
      <w:rPr>
        <w:i/>
        <w:sz w:val="18"/>
      </w:rPr>
      <w:t xml:space="preserve">       </w:t>
    </w:r>
    <w:r>
      <w:rPr>
        <w:i/>
        <w:sz w:val="18"/>
      </w:rPr>
      <w:t>No.      , 2014</w:t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126012">
      <w:rPr>
        <w:i/>
        <w:noProof/>
        <w:sz w:val="18"/>
      </w:rPr>
      <w:t>xiv</w:t>
    </w:r>
    <w:r w:rsidRPr="00ED79B6">
      <w:rPr>
        <w:i/>
        <w:sz w:val="18"/>
      </w:rPr>
      <w:fldChar w:fldCharType="end"/>
    </w:r>
  </w:p>
  <w:p w:rsidR="007F3992" w:rsidRPr="00ED79B6" w:rsidRDefault="007F3992" w:rsidP="0048364F">
    <w:pPr>
      <w:rPr>
        <w:i/>
        <w:sz w:val="18"/>
      </w:rPr>
    </w:pPr>
    <w:r w:rsidRPr="00ED79B6">
      <w:rPr>
        <w:i/>
        <w:sz w:val="1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A29EC">
    <w:pPr>
      <w:pBdr>
        <w:top w:val="single" w:sz="6" w:space="1" w:color="auto"/>
      </w:pBdr>
      <w:spacing w:before="120"/>
      <w:rPr>
        <w:sz w:val="18"/>
      </w:rPr>
    </w:pPr>
  </w:p>
  <w:p w:rsidR="007F3992" w:rsidRPr="00A961C4" w:rsidRDefault="007F3992" w:rsidP="004A29EC">
    <w:pPr>
      <w:jc w:val="right"/>
      <w:rPr>
        <w:i/>
        <w:sz w:val="18"/>
      </w:rPr>
    </w:pPr>
    <w:r>
      <w:rPr>
        <w:i/>
        <w:sz w:val="18"/>
      </w:rPr>
      <w:t>Customs Tariff Amendment (Tobacco) Act 2014</w:t>
    </w:r>
    <w:r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E8245A">
      <w:rPr>
        <w:i/>
        <w:sz w:val="18"/>
      </w:rPr>
      <w:t>8</w:t>
    </w:r>
    <w:r>
      <w:rPr>
        <w:i/>
        <w:sz w:val="18"/>
      </w:rPr>
      <w:t>, 2014</w:t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26012">
      <w:rPr>
        <w:i/>
        <w:noProof/>
        <w:sz w:val="18"/>
      </w:rPr>
      <w:t>i</w:t>
    </w:r>
    <w:r w:rsidRPr="00A961C4">
      <w:rPr>
        <w:i/>
        <w:sz w:val="18"/>
      </w:rPr>
      <w:fldChar w:fldCharType="end"/>
    </w:r>
  </w:p>
  <w:p w:rsidR="007F3992" w:rsidRPr="00A961C4" w:rsidRDefault="007F3992" w:rsidP="004A29EC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F324E">
    <w:pPr>
      <w:pBdr>
        <w:top w:val="single" w:sz="6" w:space="1" w:color="auto"/>
      </w:pBdr>
      <w:spacing w:before="120"/>
      <w:jc w:val="right"/>
      <w:rPr>
        <w:sz w:val="18"/>
      </w:rPr>
    </w:pPr>
  </w:p>
  <w:p w:rsidR="007F3992" w:rsidRPr="00A961C4" w:rsidRDefault="007F3992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26012">
      <w:rPr>
        <w:i/>
        <w:noProof/>
        <w:sz w:val="18"/>
      </w:rPr>
      <w:t>20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>
      <w:rPr>
        <w:i/>
        <w:sz w:val="18"/>
      </w:rPr>
      <w:t>Customs Tariff Amendment (Tobacco) Act 2014</w:t>
    </w:r>
    <w:r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E8245A">
      <w:rPr>
        <w:i/>
        <w:sz w:val="18"/>
      </w:rPr>
      <w:t>8</w:t>
    </w:r>
    <w:r>
      <w:rPr>
        <w:i/>
        <w:sz w:val="18"/>
      </w:rPr>
      <w:t>, 2014</w:t>
    </w:r>
  </w:p>
  <w:p w:rsidR="007F3992" w:rsidRPr="00A961C4" w:rsidRDefault="007F3992" w:rsidP="0048364F">
    <w:pPr>
      <w:jc w:val="right"/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F324E">
    <w:pPr>
      <w:pBdr>
        <w:top w:val="single" w:sz="6" w:space="1" w:color="auto"/>
      </w:pBdr>
      <w:spacing w:before="120"/>
      <w:rPr>
        <w:sz w:val="18"/>
      </w:rPr>
    </w:pPr>
  </w:p>
  <w:p w:rsidR="007F3992" w:rsidRPr="00A961C4" w:rsidRDefault="007F3992" w:rsidP="0048364F">
    <w:pPr>
      <w:jc w:val="right"/>
      <w:rPr>
        <w:i/>
        <w:sz w:val="18"/>
      </w:rPr>
    </w:pPr>
    <w:r>
      <w:rPr>
        <w:i/>
        <w:sz w:val="18"/>
      </w:rPr>
      <w:t>Customs Tariff Amendment (Tobacco) Act 2014</w:t>
    </w:r>
    <w:r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E8245A">
      <w:rPr>
        <w:i/>
        <w:sz w:val="18"/>
      </w:rPr>
      <w:t>8</w:t>
    </w:r>
    <w:r>
      <w:rPr>
        <w:i/>
        <w:sz w:val="18"/>
      </w:rPr>
      <w:t>, 2014</w:t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26012">
      <w:rPr>
        <w:i/>
        <w:noProof/>
        <w:sz w:val="18"/>
      </w:rPr>
      <w:t>21</w:t>
    </w:r>
    <w:r w:rsidRPr="00A961C4">
      <w:rPr>
        <w:i/>
        <w:sz w:val="18"/>
      </w:rPr>
      <w:fldChar w:fldCharType="end"/>
    </w:r>
  </w:p>
  <w:p w:rsidR="007F3992" w:rsidRPr="00A961C4" w:rsidRDefault="007F3992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F324E">
    <w:pPr>
      <w:pBdr>
        <w:top w:val="single" w:sz="6" w:space="1" w:color="auto"/>
      </w:pBdr>
      <w:spacing w:before="120"/>
      <w:rPr>
        <w:sz w:val="18"/>
      </w:rPr>
    </w:pPr>
  </w:p>
  <w:p w:rsidR="007F3992" w:rsidRPr="00A961C4" w:rsidRDefault="007F3992" w:rsidP="0048364F">
    <w:pPr>
      <w:jc w:val="right"/>
      <w:rPr>
        <w:i/>
        <w:sz w:val="18"/>
      </w:rPr>
    </w:pPr>
    <w:r>
      <w:rPr>
        <w:i/>
        <w:sz w:val="18"/>
      </w:rPr>
      <w:t>Customs Tariff Amendment (Tobacco) Act 2014</w:t>
    </w:r>
    <w:r w:rsidRPr="00A961C4">
      <w:rPr>
        <w:i/>
        <w:sz w:val="18"/>
      </w:rPr>
      <w:t xml:space="preserve">       </w:t>
    </w:r>
    <w:r>
      <w:rPr>
        <w:i/>
        <w:sz w:val="18"/>
      </w:rPr>
      <w:t xml:space="preserve">No. </w:t>
    </w:r>
    <w:r w:rsidR="00E8245A">
      <w:rPr>
        <w:i/>
        <w:sz w:val="18"/>
      </w:rPr>
      <w:t>8</w:t>
    </w:r>
    <w:r>
      <w:rPr>
        <w:i/>
        <w:sz w:val="18"/>
      </w:rPr>
      <w:t>, 2014</w:t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26012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  <w:p w:rsidR="007F3992" w:rsidRPr="00A961C4" w:rsidRDefault="007F3992" w:rsidP="0048364F">
    <w:pPr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F324E">
    <w:pPr>
      <w:pBdr>
        <w:top w:val="single" w:sz="6" w:space="1" w:color="auto"/>
      </w:pBdr>
      <w:spacing w:before="120"/>
      <w:jc w:val="right"/>
      <w:rPr>
        <w:sz w:val="18"/>
      </w:rPr>
    </w:pPr>
  </w:p>
  <w:p w:rsidR="007F3992" w:rsidRPr="00A961C4" w:rsidRDefault="007F3992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26012">
      <w:rPr>
        <w:i/>
        <w:noProof/>
        <w:sz w:val="18"/>
      </w:rPr>
      <w:t>14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>
      <w:rPr>
        <w:i/>
        <w:sz w:val="18"/>
      </w:rPr>
      <w:t>Customs Tariff Amendment (Tobacco) Act 2014</w:t>
    </w:r>
    <w:r w:rsidRPr="00A961C4">
      <w:rPr>
        <w:i/>
        <w:sz w:val="18"/>
      </w:rPr>
      <w:t xml:space="preserve">       </w:t>
    </w:r>
    <w:r>
      <w:rPr>
        <w:i/>
        <w:sz w:val="18"/>
      </w:rPr>
      <w:t>No.      , 2014</w:t>
    </w:r>
  </w:p>
  <w:p w:rsidR="007F3992" w:rsidRPr="00A961C4" w:rsidRDefault="007F3992" w:rsidP="0048364F">
    <w:pPr>
      <w:jc w:val="right"/>
      <w:rPr>
        <w:i/>
        <w:sz w:val="18"/>
      </w:rPr>
    </w:pPr>
    <w:r w:rsidRPr="00A961C4"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92" w:rsidRDefault="007F3992" w:rsidP="0048364F">
      <w:pPr>
        <w:spacing w:line="240" w:lineRule="auto"/>
      </w:pPr>
      <w:r>
        <w:separator/>
      </w:r>
    </w:p>
  </w:footnote>
  <w:footnote w:type="continuationSeparator" w:id="0">
    <w:p w:rsidR="007F3992" w:rsidRDefault="007F399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5F1388" w:rsidRDefault="007F3992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8364F">
    <w:pPr>
      <w:rPr>
        <w:b/>
        <w:sz w:val="20"/>
      </w:rPr>
    </w:pPr>
  </w:p>
  <w:p w:rsidR="007F3992" w:rsidRPr="00A961C4" w:rsidRDefault="007F3992" w:rsidP="0048364F">
    <w:pPr>
      <w:rPr>
        <w:b/>
        <w:sz w:val="20"/>
      </w:rPr>
    </w:pPr>
  </w:p>
  <w:p w:rsidR="007F3992" w:rsidRPr="00A961C4" w:rsidRDefault="007F3992" w:rsidP="005A0D92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8364F">
    <w:pPr>
      <w:jc w:val="right"/>
      <w:rPr>
        <w:sz w:val="20"/>
      </w:rPr>
    </w:pPr>
  </w:p>
  <w:p w:rsidR="007F3992" w:rsidRPr="00A961C4" w:rsidRDefault="007F3992" w:rsidP="0048364F">
    <w:pPr>
      <w:jc w:val="right"/>
      <w:rPr>
        <w:b/>
        <w:sz w:val="20"/>
      </w:rPr>
    </w:pPr>
  </w:p>
  <w:p w:rsidR="007F3992" w:rsidRPr="00A961C4" w:rsidRDefault="007F3992" w:rsidP="005A0D92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5F1388" w:rsidRDefault="007F399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5F1388" w:rsidRDefault="007F399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ED79B6" w:rsidRDefault="007F3992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ED79B6" w:rsidRDefault="007F3992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ED79B6" w:rsidRDefault="007F399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26012">
      <w:rPr>
        <w:b/>
        <w:sz w:val="20"/>
      </w:rPr>
      <w:fldChar w:fldCharType="separate"/>
    </w:r>
    <w:r w:rsidR="001260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26012">
      <w:rPr>
        <w:sz w:val="20"/>
      </w:rPr>
      <w:fldChar w:fldCharType="separate"/>
    </w:r>
    <w:r w:rsidR="00126012">
      <w:rPr>
        <w:noProof/>
        <w:sz w:val="20"/>
      </w:rPr>
      <w:t>Amendments</w:t>
    </w:r>
    <w:r>
      <w:rPr>
        <w:sz w:val="20"/>
      </w:rPr>
      <w:fldChar w:fldCharType="end"/>
    </w:r>
  </w:p>
  <w:p w:rsidR="007F3992" w:rsidRPr="00A961C4" w:rsidRDefault="007F39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26012">
      <w:rPr>
        <w:b/>
        <w:sz w:val="20"/>
      </w:rPr>
      <w:fldChar w:fldCharType="separate"/>
    </w:r>
    <w:r w:rsidR="00126012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26012">
      <w:rPr>
        <w:sz w:val="20"/>
      </w:rPr>
      <w:fldChar w:fldCharType="separate"/>
    </w:r>
    <w:r w:rsidR="00126012">
      <w:rPr>
        <w:noProof/>
        <w:sz w:val="20"/>
      </w:rPr>
      <w:t>Indexation</w:t>
    </w:r>
    <w:r>
      <w:rPr>
        <w:sz w:val="20"/>
      </w:rPr>
      <w:fldChar w:fldCharType="end"/>
    </w:r>
  </w:p>
  <w:p w:rsidR="007F3992" w:rsidRPr="00A961C4" w:rsidRDefault="007F3992" w:rsidP="005A0D9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26012">
      <w:rPr>
        <w:sz w:val="20"/>
      </w:rPr>
      <w:fldChar w:fldCharType="separate"/>
    </w:r>
    <w:r w:rsidR="0012601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26012">
      <w:rPr>
        <w:b/>
        <w:sz w:val="20"/>
      </w:rPr>
      <w:fldChar w:fldCharType="separate"/>
    </w:r>
    <w:r w:rsidR="0012601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F3992" w:rsidRPr="00A961C4" w:rsidRDefault="007F399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26012">
      <w:rPr>
        <w:sz w:val="20"/>
      </w:rPr>
      <w:fldChar w:fldCharType="separate"/>
    </w:r>
    <w:r w:rsidR="00126012">
      <w:rPr>
        <w:noProof/>
        <w:sz w:val="20"/>
      </w:rPr>
      <w:t>Indexation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26012">
      <w:rPr>
        <w:b/>
        <w:sz w:val="20"/>
      </w:rPr>
      <w:fldChar w:fldCharType="separate"/>
    </w:r>
    <w:r w:rsidR="00126012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7F3992" w:rsidRPr="00A961C4" w:rsidRDefault="007F3992" w:rsidP="005A0D9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92" w:rsidRPr="00A961C4" w:rsidRDefault="007F399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9F"/>
    <w:rsid w:val="000113BC"/>
    <w:rsid w:val="000136AF"/>
    <w:rsid w:val="00014DC8"/>
    <w:rsid w:val="00031A39"/>
    <w:rsid w:val="000325F6"/>
    <w:rsid w:val="000417C9"/>
    <w:rsid w:val="0004569D"/>
    <w:rsid w:val="0005161C"/>
    <w:rsid w:val="0005472D"/>
    <w:rsid w:val="00060FF9"/>
    <w:rsid w:val="000614BF"/>
    <w:rsid w:val="00071A96"/>
    <w:rsid w:val="00081BA6"/>
    <w:rsid w:val="00093FC0"/>
    <w:rsid w:val="000B3FCE"/>
    <w:rsid w:val="000D05EF"/>
    <w:rsid w:val="000F21C1"/>
    <w:rsid w:val="0010745C"/>
    <w:rsid w:val="00113BD1"/>
    <w:rsid w:val="00122206"/>
    <w:rsid w:val="00126012"/>
    <w:rsid w:val="00155508"/>
    <w:rsid w:val="0015646E"/>
    <w:rsid w:val="001643C9"/>
    <w:rsid w:val="00165568"/>
    <w:rsid w:val="00166C2F"/>
    <w:rsid w:val="001716C9"/>
    <w:rsid w:val="00172902"/>
    <w:rsid w:val="00173363"/>
    <w:rsid w:val="00173B94"/>
    <w:rsid w:val="00180432"/>
    <w:rsid w:val="00185D5B"/>
    <w:rsid w:val="001939E1"/>
    <w:rsid w:val="00195382"/>
    <w:rsid w:val="0019544B"/>
    <w:rsid w:val="001A3658"/>
    <w:rsid w:val="001B65EB"/>
    <w:rsid w:val="001B7A5D"/>
    <w:rsid w:val="001C2418"/>
    <w:rsid w:val="001C69C4"/>
    <w:rsid w:val="001E3590"/>
    <w:rsid w:val="001E4C65"/>
    <w:rsid w:val="001E7407"/>
    <w:rsid w:val="001F1509"/>
    <w:rsid w:val="001F2D49"/>
    <w:rsid w:val="00201D27"/>
    <w:rsid w:val="00206F08"/>
    <w:rsid w:val="0023133E"/>
    <w:rsid w:val="002325BC"/>
    <w:rsid w:val="00235DB8"/>
    <w:rsid w:val="00240749"/>
    <w:rsid w:val="00284D3F"/>
    <w:rsid w:val="00297ECB"/>
    <w:rsid w:val="002B5A30"/>
    <w:rsid w:val="002D043A"/>
    <w:rsid w:val="002E2254"/>
    <w:rsid w:val="002F2D19"/>
    <w:rsid w:val="00304A73"/>
    <w:rsid w:val="003209A8"/>
    <w:rsid w:val="003415D3"/>
    <w:rsid w:val="00350417"/>
    <w:rsid w:val="00350F77"/>
    <w:rsid w:val="00352B0F"/>
    <w:rsid w:val="00360A7F"/>
    <w:rsid w:val="00365CF5"/>
    <w:rsid w:val="00393EA2"/>
    <w:rsid w:val="003A4B34"/>
    <w:rsid w:val="003B3C06"/>
    <w:rsid w:val="003C5F2B"/>
    <w:rsid w:val="003C6D68"/>
    <w:rsid w:val="003D0BFE"/>
    <w:rsid w:val="003D5700"/>
    <w:rsid w:val="004116CD"/>
    <w:rsid w:val="00424CA9"/>
    <w:rsid w:val="00436785"/>
    <w:rsid w:val="00436BD5"/>
    <w:rsid w:val="00437E4B"/>
    <w:rsid w:val="0044291A"/>
    <w:rsid w:val="00446CD1"/>
    <w:rsid w:val="0048364F"/>
    <w:rsid w:val="00496F97"/>
    <w:rsid w:val="004A29EC"/>
    <w:rsid w:val="004F1FAC"/>
    <w:rsid w:val="004F324E"/>
    <w:rsid w:val="00505E7B"/>
    <w:rsid w:val="00516B8D"/>
    <w:rsid w:val="0051762E"/>
    <w:rsid w:val="00537FBC"/>
    <w:rsid w:val="00543469"/>
    <w:rsid w:val="005521AA"/>
    <w:rsid w:val="00584811"/>
    <w:rsid w:val="00593AA6"/>
    <w:rsid w:val="00594161"/>
    <w:rsid w:val="00594749"/>
    <w:rsid w:val="005A0D92"/>
    <w:rsid w:val="005A39A4"/>
    <w:rsid w:val="005B4067"/>
    <w:rsid w:val="005B73AE"/>
    <w:rsid w:val="005C3F41"/>
    <w:rsid w:val="005E328C"/>
    <w:rsid w:val="00600219"/>
    <w:rsid w:val="0060669D"/>
    <w:rsid w:val="00641DE5"/>
    <w:rsid w:val="0064774D"/>
    <w:rsid w:val="00656F0C"/>
    <w:rsid w:val="00660DFF"/>
    <w:rsid w:val="00667053"/>
    <w:rsid w:val="00677CC2"/>
    <w:rsid w:val="00685F42"/>
    <w:rsid w:val="0069207B"/>
    <w:rsid w:val="006924BA"/>
    <w:rsid w:val="006A315D"/>
    <w:rsid w:val="006A33CE"/>
    <w:rsid w:val="006B31B9"/>
    <w:rsid w:val="006C2874"/>
    <w:rsid w:val="006C7F8C"/>
    <w:rsid w:val="006E0135"/>
    <w:rsid w:val="006E303A"/>
    <w:rsid w:val="00700B2C"/>
    <w:rsid w:val="00712D8D"/>
    <w:rsid w:val="00713084"/>
    <w:rsid w:val="00714B26"/>
    <w:rsid w:val="00731E00"/>
    <w:rsid w:val="00735838"/>
    <w:rsid w:val="007440B7"/>
    <w:rsid w:val="00744B1D"/>
    <w:rsid w:val="00747F33"/>
    <w:rsid w:val="00756013"/>
    <w:rsid w:val="0076009B"/>
    <w:rsid w:val="007634AD"/>
    <w:rsid w:val="00764847"/>
    <w:rsid w:val="007715C9"/>
    <w:rsid w:val="00774EDD"/>
    <w:rsid w:val="007757EC"/>
    <w:rsid w:val="0079170F"/>
    <w:rsid w:val="007A1CA1"/>
    <w:rsid w:val="007B2038"/>
    <w:rsid w:val="007E0BBE"/>
    <w:rsid w:val="007E7D4A"/>
    <w:rsid w:val="007F3992"/>
    <w:rsid w:val="008002B4"/>
    <w:rsid w:val="008006CC"/>
    <w:rsid w:val="00807F18"/>
    <w:rsid w:val="00816BD8"/>
    <w:rsid w:val="008262E8"/>
    <w:rsid w:val="00841E0A"/>
    <w:rsid w:val="0085229B"/>
    <w:rsid w:val="00855765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3B2A"/>
    <w:rsid w:val="008F4F1C"/>
    <w:rsid w:val="00907391"/>
    <w:rsid w:val="009278D7"/>
    <w:rsid w:val="00932377"/>
    <w:rsid w:val="009365A0"/>
    <w:rsid w:val="00941A1B"/>
    <w:rsid w:val="009551A3"/>
    <w:rsid w:val="00967042"/>
    <w:rsid w:val="00972610"/>
    <w:rsid w:val="009845BE"/>
    <w:rsid w:val="00992E79"/>
    <w:rsid w:val="009969C9"/>
    <w:rsid w:val="009E3A98"/>
    <w:rsid w:val="009F7524"/>
    <w:rsid w:val="00A1207A"/>
    <w:rsid w:val="00A231E2"/>
    <w:rsid w:val="00A46011"/>
    <w:rsid w:val="00A56964"/>
    <w:rsid w:val="00A64912"/>
    <w:rsid w:val="00A70A74"/>
    <w:rsid w:val="00A73A61"/>
    <w:rsid w:val="00A8055C"/>
    <w:rsid w:val="00A85268"/>
    <w:rsid w:val="00A907FB"/>
    <w:rsid w:val="00AA3795"/>
    <w:rsid w:val="00AA3E1C"/>
    <w:rsid w:val="00AB1476"/>
    <w:rsid w:val="00AC17A1"/>
    <w:rsid w:val="00AC5637"/>
    <w:rsid w:val="00AD5641"/>
    <w:rsid w:val="00AD5B3C"/>
    <w:rsid w:val="00AE1088"/>
    <w:rsid w:val="00B032D8"/>
    <w:rsid w:val="00B12DE0"/>
    <w:rsid w:val="00B33B3C"/>
    <w:rsid w:val="00B57DAC"/>
    <w:rsid w:val="00B6382D"/>
    <w:rsid w:val="00BA5026"/>
    <w:rsid w:val="00BB40BF"/>
    <w:rsid w:val="00BE719A"/>
    <w:rsid w:val="00BE720A"/>
    <w:rsid w:val="00BF0461"/>
    <w:rsid w:val="00BF1E0E"/>
    <w:rsid w:val="00BF4944"/>
    <w:rsid w:val="00C02627"/>
    <w:rsid w:val="00C04409"/>
    <w:rsid w:val="00C067E5"/>
    <w:rsid w:val="00C10865"/>
    <w:rsid w:val="00C164CA"/>
    <w:rsid w:val="00C1699F"/>
    <w:rsid w:val="00C176CF"/>
    <w:rsid w:val="00C42BF8"/>
    <w:rsid w:val="00C460AE"/>
    <w:rsid w:val="00C50043"/>
    <w:rsid w:val="00C61BE9"/>
    <w:rsid w:val="00C70D30"/>
    <w:rsid w:val="00C7573B"/>
    <w:rsid w:val="00C76CF3"/>
    <w:rsid w:val="00C8472E"/>
    <w:rsid w:val="00C848C1"/>
    <w:rsid w:val="00CE1E31"/>
    <w:rsid w:val="00CF0BB2"/>
    <w:rsid w:val="00CF7B26"/>
    <w:rsid w:val="00D00EAA"/>
    <w:rsid w:val="00D13441"/>
    <w:rsid w:val="00D243A3"/>
    <w:rsid w:val="00D2758D"/>
    <w:rsid w:val="00D52EFE"/>
    <w:rsid w:val="00D56B94"/>
    <w:rsid w:val="00D62D7E"/>
    <w:rsid w:val="00D63EF6"/>
    <w:rsid w:val="00D64D25"/>
    <w:rsid w:val="00D70DFB"/>
    <w:rsid w:val="00D73029"/>
    <w:rsid w:val="00D766DF"/>
    <w:rsid w:val="00D779C6"/>
    <w:rsid w:val="00D83A79"/>
    <w:rsid w:val="00DB54BD"/>
    <w:rsid w:val="00DC3142"/>
    <w:rsid w:val="00E05704"/>
    <w:rsid w:val="00E10801"/>
    <w:rsid w:val="00E24D66"/>
    <w:rsid w:val="00E25BC0"/>
    <w:rsid w:val="00E267FE"/>
    <w:rsid w:val="00E31832"/>
    <w:rsid w:val="00E54292"/>
    <w:rsid w:val="00E73AAA"/>
    <w:rsid w:val="00E74DC7"/>
    <w:rsid w:val="00E8245A"/>
    <w:rsid w:val="00E8758F"/>
    <w:rsid w:val="00E87699"/>
    <w:rsid w:val="00ED492F"/>
    <w:rsid w:val="00EF2E3A"/>
    <w:rsid w:val="00F047E2"/>
    <w:rsid w:val="00F078DC"/>
    <w:rsid w:val="00F13E86"/>
    <w:rsid w:val="00F22644"/>
    <w:rsid w:val="00F379AC"/>
    <w:rsid w:val="00F43521"/>
    <w:rsid w:val="00F677A9"/>
    <w:rsid w:val="00F84CF5"/>
    <w:rsid w:val="00F9513C"/>
    <w:rsid w:val="00FA420B"/>
    <w:rsid w:val="00FB74A9"/>
    <w:rsid w:val="00FD1E13"/>
    <w:rsid w:val="00FD41AB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32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A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A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A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A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324E"/>
  </w:style>
  <w:style w:type="paragraph" w:customStyle="1" w:styleId="OPCParaBase">
    <w:name w:val="OPCParaBase"/>
    <w:link w:val="OPCParaBaseChar"/>
    <w:qFormat/>
    <w:rsid w:val="004F32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F32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32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32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32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32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32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32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32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32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32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F324E"/>
  </w:style>
  <w:style w:type="paragraph" w:customStyle="1" w:styleId="Blocks">
    <w:name w:val="Blocks"/>
    <w:aliases w:val="bb"/>
    <w:basedOn w:val="OPCParaBase"/>
    <w:qFormat/>
    <w:rsid w:val="004F32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3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32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324E"/>
    <w:rPr>
      <w:i/>
    </w:rPr>
  </w:style>
  <w:style w:type="paragraph" w:customStyle="1" w:styleId="BoxList">
    <w:name w:val="BoxList"/>
    <w:aliases w:val="bl"/>
    <w:basedOn w:val="BoxText"/>
    <w:qFormat/>
    <w:rsid w:val="004F32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32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32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324E"/>
    <w:pPr>
      <w:ind w:left="1985" w:hanging="851"/>
    </w:pPr>
  </w:style>
  <w:style w:type="character" w:customStyle="1" w:styleId="CharAmPartNo">
    <w:name w:val="CharAmPartNo"/>
    <w:basedOn w:val="OPCCharBase"/>
    <w:qFormat/>
    <w:rsid w:val="004F324E"/>
  </w:style>
  <w:style w:type="character" w:customStyle="1" w:styleId="CharAmPartText">
    <w:name w:val="CharAmPartText"/>
    <w:basedOn w:val="OPCCharBase"/>
    <w:qFormat/>
    <w:rsid w:val="004F324E"/>
  </w:style>
  <w:style w:type="character" w:customStyle="1" w:styleId="CharAmSchNo">
    <w:name w:val="CharAmSchNo"/>
    <w:basedOn w:val="OPCCharBase"/>
    <w:qFormat/>
    <w:rsid w:val="004F324E"/>
  </w:style>
  <w:style w:type="character" w:customStyle="1" w:styleId="CharAmSchText">
    <w:name w:val="CharAmSchText"/>
    <w:basedOn w:val="OPCCharBase"/>
    <w:qFormat/>
    <w:rsid w:val="004F324E"/>
  </w:style>
  <w:style w:type="character" w:customStyle="1" w:styleId="CharBoldItalic">
    <w:name w:val="CharBoldItalic"/>
    <w:basedOn w:val="OPCCharBase"/>
    <w:uiPriority w:val="1"/>
    <w:qFormat/>
    <w:rsid w:val="004F32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324E"/>
  </w:style>
  <w:style w:type="character" w:customStyle="1" w:styleId="CharChapText">
    <w:name w:val="CharChapText"/>
    <w:basedOn w:val="OPCCharBase"/>
    <w:uiPriority w:val="1"/>
    <w:qFormat/>
    <w:rsid w:val="004F324E"/>
  </w:style>
  <w:style w:type="character" w:customStyle="1" w:styleId="CharDivNo">
    <w:name w:val="CharDivNo"/>
    <w:basedOn w:val="OPCCharBase"/>
    <w:uiPriority w:val="1"/>
    <w:qFormat/>
    <w:rsid w:val="004F324E"/>
  </w:style>
  <w:style w:type="character" w:customStyle="1" w:styleId="CharDivText">
    <w:name w:val="CharDivText"/>
    <w:basedOn w:val="OPCCharBase"/>
    <w:uiPriority w:val="1"/>
    <w:qFormat/>
    <w:rsid w:val="004F324E"/>
  </w:style>
  <w:style w:type="character" w:customStyle="1" w:styleId="CharItalic">
    <w:name w:val="CharItalic"/>
    <w:basedOn w:val="OPCCharBase"/>
    <w:uiPriority w:val="1"/>
    <w:qFormat/>
    <w:rsid w:val="004F324E"/>
    <w:rPr>
      <w:i/>
    </w:rPr>
  </w:style>
  <w:style w:type="character" w:customStyle="1" w:styleId="CharPartNo">
    <w:name w:val="CharPartNo"/>
    <w:basedOn w:val="OPCCharBase"/>
    <w:uiPriority w:val="1"/>
    <w:qFormat/>
    <w:rsid w:val="004F324E"/>
  </w:style>
  <w:style w:type="character" w:customStyle="1" w:styleId="CharPartText">
    <w:name w:val="CharPartText"/>
    <w:basedOn w:val="OPCCharBase"/>
    <w:uiPriority w:val="1"/>
    <w:qFormat/>
    <w:rsid w:val="004F324E"/>
  </w:style>
  <w:style w:type="character" w:customStyle="1" w:styleId="CharSectno">
    <w:name w:val="CharSectno"/>
    <w:basedOn w:val="OPCCharBase"/>
    <w:qFormat/>
    <w:rsid w:val="004F324E"/>
  </w:style>
  <w:style w:type="character" w:customStyle="1" w:styleId="CharSubdNo">
    <w:name w:val="CharSubdNo"/>
    <w:basedOn w:val="OPCCharBase"/>
    <w:uiPriority w:val="1"/>
    <w:qFormat/>
    <w:rsid w:val="004F324E"/>
  </w:style>
  <w:style w:type="character" w:customStyle="1" w:styleId="CharSubdText">
    <w:name w:val="CharSubdText"/>
    <w:basedOn w:val="OPCCharBase"/>
    <w:uiPriority w:val="1"/>
    <w:qFormat/>
    <w:rsid w:val="004F324E"/>
  </w:style>
  <w:style w:type="paragraph" w:customStyle="1" w:styleId="CTA--">
    <w:name w:val="CTA --"/>
    <w:basedOn w:val="OPCParaBase"/>
    <w:next w:val="Normal"/>
    <w:rsid w:val="004F32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32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32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32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32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32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32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32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32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32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32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32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32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32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32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4F32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3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32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3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3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32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32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32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32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32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32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32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32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32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32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32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324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32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32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32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F32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32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32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32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32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32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32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32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32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32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32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32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32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32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32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32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3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32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32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32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32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32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32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32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32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32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F32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32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32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32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32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32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32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32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32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32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32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324E"/>
    <w:rPr>
      <w:sz w:val="16"/>
    </w:rPr>
  </w:style>
  <w:style w:type="table" w:customStyle="1" w:styleId="CFlag">
    <w:name w:val="CFlag"/>
    <w:basedOn w:val="TableNormal"/>
    <w:uiPriority w:val="99"/>
    <w:rsid w:val="004F324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4F32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324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F32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32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F32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32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3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3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3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F324E"/>
    <w:pPr>
      <w:spacing w:before="120"/>
    </w:pPr>
  </w:style>
  <w:style w:type="paragraph" w:customStyle="1" w:styleId="TableTextEndNotes">
    <w:name w:val="TableTextEndNotes"/>
    <w:aliases w:val="Tten"/>
    <w:basedOn w:val="Normal"/>
    <w:rsid w:val="004F324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F324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F32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32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32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32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32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32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32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32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32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F32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F324E"/>
  </w:style>
  <w:style w:type="character" w:customStyle="1" w:styleId="CharSubPartNoCASA">
    <w:name w:val="CharSubPartNo(CASA)"/>
    <w:basedOn w:val="OPCCharBase"/>
    <w:uiPriority w:val="1"/>
    <w:rsid w:val="004F324E"/>
  </w:style>
  <w:style w:type="paragraph" w:customStyle="1" w:styleId="ENoteTTIndentHeadingSub">
    <w:name w:val="ENoteTTIndentHeadingSub"/>
    <w:aliases w:val="enTTHis"/>
    <w:basedOn w:val="OPCParaBase"/>
    <w:rsid w:val="004F32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32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32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32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F32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229B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18043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180432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18043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1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A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A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A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A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A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A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4F3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">
    <w:name w:val="SO Text"/>
    <w:aliases w:val="sot"/>
    <w:link w:val="SOTextChar"/>
    <w:rsid w:val="004F3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324E"/>
    <w:rPr>
      <w:sz w:val="22"/>
    </w:rPr>
  </w:style>
  <w:style w:type="paragraph" w:customStyle="1" w:styleId="SOTextNote">
    <w:name w:val="SO TextNote"/>
    <w:aliases w:val="sont"/>
    <w:basedOn w:val="SOText"/>
    <w:qFormat/>
    <w:rsid w:val="004F32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32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324E"/>
    <w:rPr>
      <w:sz w:val="22"/>
    </w:rPr>
  </w:style>
  <w:style w:type="paragraph" w:customStyle="1" w:styleId="FileName">
    <w:name w:val="FileName"/>
    <w:basedOn w:val="Normal"/>
    <w:rsid w:val="004F32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32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32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32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32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32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32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32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32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3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324E"/>
    <w:rPr>
      <w:sz w:val="22"/>
    </w:rPr>
  </w:style>
  <w:style w:type="paragraph" w:customStyle="1" w:styleId="ShortTP1">
    <w:name w:val="ShortTP1"/>
    <w:basedOn w:val="ShortT"/>
    <w:link w:val="ShortTP1Char"/>
    <w:rsid w:val="007F399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F399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F399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F399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F399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F399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F399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F3992"/>
  </w:style>
  <w:style w:type="character" w:customStyle="1" w:styleId="ShortTCPChar">
    <w:name w:val="ShortTCP Char"/>
    <w:basedOn w:val="ShortTChar"/>
    <w:link w:val="ShortTCP"/>
    <w:rsid w:val="007F399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F3992"/>
    <w:pPr>
      <w:spacing w:before="400"/>
    </w:pPr>
  </w:style>
  <w:style w:type="character" w:customStyle="1" w:styleId="ActNoCPChar">
    <w:name w:val="ActNoCP Char"/>
    <w:basedOn w:val="ActnoChar"/>
    <w:link w:val="ActNoCP"/>
    <w:rsid w:val="007F399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F39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24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24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245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32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A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A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A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A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324E"/>
  </w:style>
  <w:style w:type="paragraph" w:customStyle="1" w:styleId="OPCParaBase">
    <w:name w:val="OPCParaBase"/>
    <w:link w:val="OPCParaBaseChar"/>
    <w:qFormat/>
    <w:rsid w:val="004F32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F32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32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32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32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32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32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32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32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32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32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F324E"/>
  </w:style>
  <w:style w:type="paragraph" w:customStyle="1" w:styleId="Blocks">
    <w:name w:val="Blocks"/>
    <w:aliases w:val="bb"/>
    <w:basedOn w:val="OPCParaBase"/>
    <w:qFormat/>
    <w:rsid w:val="004F32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3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32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324E"/>
    <w:rPr>
      <w:i/>
    </w:rPr>
  </w:style>
  <w:style w:type="paragraph" w:customStyle="1" w:styleId="BoxList">
    <w:name w:val="BoxList"/>
    <w:aliases w:val="bl"/>
    <w:basedOn w:val="BoxText"/>
    <w:qFormat/>
    <w:rsid w:val="004F32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32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32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324E"/>
    <w:pPr>
      <w:ind w:left="1985" w:hanging="851"/>
    </w:pPr>
  </w:style>
  <w:style w:type="character" w:customStyle="1" w:styleId="CharAmPartNo">
    <w:name w:val="CharAmPartNo"/>
    <w:basedOn w:val="OPCCharBase"/>
    <w:qFormat/>
    <w:rsid w:val="004F324E"/>
  </w:style>
  <w:style w:type="character" w:customStyle="1" w:styleId="CharAmPartText">
    <w:name w:val="CharAmPartText"/>
    <w:basedOn w:val="OPCCharBase"/>
    <w:qFormat/>
    <w:rsid w:val="004F324E"/>
  </w:style>
  <w:style w:type="character" w:customStyle="1" w:styleId="CharAmSchNo">
    <w:name w:val="CharAmSchNo"/>
    <w:basedOn w:val="OPCCharBase"/>
    <w:qFormat/>
    <w:rsid w:val="004F324E"/>
  </w:style>
  <w:style w:type="character" w:customStyle="1" w:styleId="CharAmSchText">
    <w:name w:val="CharAmSchText"/>
    <w:basedOn w:val="OPCCharBase"/>
    <w:qFormat/>
    <w:rsid w:val="004F324E"/>
  </w:style>
  <w:style w:type="character" w:customStyle="1" w:styleId="CharBoldItalic">
    <w:name w:val="CharBoldItalic"/>
    <w:basedOn w:val="OPCCharBase"/>
    <w:uiPriority w:val="1"/>
    <w:qFormat/>
    <w:rsid w:val="004F32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324E"/>
  </w:style>
  <w:style w:type="character" w:customStyle="1" w:styleId="CharChapText">
    <w:name w:val="CharChapText"/>
    <w:basedOn w:val="OPCCharBase"/>
    <w:uiPriority w:val="1"/>
    <w:qFormat/>
    <w:rsid w:val="004F324E"/>
  </w:style>
  <w:style w:type="character" w:customStyle="1" w:styleId="CharDivNo">
    <w:name w:val="CharDivNo"/>
    <w:basedOn w:val="OPCCharBase"/>
    <w:uiPriority w:val="1"/>
    <w:qFormat/>
    <w:rsid w:val="004F324E"/>
  </w:style>
  <w:style w:type="character" w:customStyle="1" w:styleId="CharDivText">
    <w:name w:val="CharDivText"/>
    <w:basedOn w:val="OPCCharBase"/>
    <w:uiPriority w:val="1"/>
    <w:qFormat/>
    <w:rsid w:val="004F324E"/>
  </w:style>
  <w:style w:type="character" w:customStyle="1" w:styleId="CharItalic">
    <w:name w:val="CharItalic"/>
    <w:basedOn w:val="OPCCharBase"/>
    <w:uiPriority w:val="1"/>
    <w:qFormat/>
    <w:rsid w:val="004F324E"/>
    <w:rPr>
      <w:i/>
    </w:rPr>
  </w:style>
  <w:style w:type="character" w:customStyle="1" w:styleId="CharPartNo">
    <w:name w:val="CharPartNo"/>
    <w:basedOn w:val="OPCCharBase"/>
    <w:uiPriority w:val="1"/>
    <w:qFormat/>
    <w:rsid w:val="004F324E"/>
  </w:style>
  <w:style w:type="character" w:customStyle="1" w:styleId="CharPartText">
    <w:name w:val="CharPartText"/>
    <w:basedOn w:val="OPCCharBase"/>
    <w:uiPriority w:val="1"/>
    <w:qFormat/>
    <w:rsid w:val="004F324E"/>
  </w:style>
  <w:style w:type="character" w:customStyle="1" w:styleId="CharSectno">
    <w:name w:val="CharSectno"/>
    <w:basedOn w:val="OPCCharBase"/>
    <w:qFormat/>
    <w:rsid w:val="004F324E"/>
  </w:style>
  <w:style w:type="character" w:customStyle="1" w:styleId="CharSubdNo">
    <w:name w:val="CharSubdNo"/>
    <w:basedOn w:val="OPCCharBase"/>
    <w:uiPriority w:val="1"/>
    <w:qFormat/>
    <w:rsid w:val="004F324E"/>
  </w:style>
  <w:style w:type="character" w:customStyle="1" w:styleId="CharSubdText">
    <w:name w:val="CharSubdText"/>
    <w:basedOn w:val="OPCCharBase"/>
    <w:uiPriority w:val="1"/>
    <w:qFormat/>
    <w:rsid w:val="004F324E"/>
  </w:style>
  <w:style w:type="paragraph" w:customStyle="1" w:styleId="CTA--">
    <w:name w:val="CTA --"/>
    <w:basedOn w:val="OPCParaBase"/>
    <w:next w:val="Normal"/>
    <w:rsid w:val="004F32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32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32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32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32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32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32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32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32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32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32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32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32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32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32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4F32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3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32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3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3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32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32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32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32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32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32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32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32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32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32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32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324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32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32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32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F32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32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32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32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32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32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32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32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32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32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32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32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32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32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32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32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3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32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32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32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324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324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324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324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32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32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F32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32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32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32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32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32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32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32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32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32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32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324E"/>
    <w:rPr>
      <w:sz w:val="16"/>
    </w:rPr>
  </w:style>
  <w:style w:type="table" w:customStyle="1" w:styleId="CFlag">
    <w:name w:val="CFlag"/>
    <w:basedOn w:val="TableNormal"/>
    <w:uiPriority w:val="99"/>
    <w:rsid w:val="004F324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4F32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324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F32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32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F32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32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32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32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32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F324E"/>
    <w:pPr>
      <w:spacing w:before="120"/>
    </w:pPr>
  </w:style>
  <w:style w:type="paragraph" w:customStyle="1" w:styleId="TableTextEndNotes">
    <w:name w:val="TableTextEndNotes"/>
    <w:aliases w:val="Tten"/>
    <w:basedOn w:val="Normal"/>
    <w:rsid w:val="004F324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F324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F32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32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32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32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32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32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32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32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32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F32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F324E"/>
  </w:style>
  <w:style w:type="character" w:customStyle="1" w:styleId="CharSubPartNoCASA">
    <w:name w:val="CharSubPartNo(CASA)"/>
    <w:basedOn w:val="OPCCharBase"/>
    <w:uiPriority w:val="1"/>
    <w:rsid w:val="004F324E"/>
  </w:style>
  <w:style w:type="paragraph" w:customStyle="1" w:styleId="ENoteTTIndentHeadingSub">
    <w:name w:val="ENoteTTIndentHeadingSub"/>
    <w:aliases w:val="enTTHis"/>
    <w:basedOn w:val="OPCParaBase"/>
    <w:rsid w:val="004F32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32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32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32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F32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229B"/>
    <w:rPr>
      <w:rFonts w:ascii="Arial" w:hAnsi="Arial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18043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180432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180432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1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A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A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A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A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A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A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4F3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">
    <w:name w:val="SO Text"/>
    <w:aliases w:val="sot"/>
    <w:link w:val="SOTextChar"/>
    <w:rsid w:val="004F3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324E"/>
    <w:rPr>
      <w:sz w:val="22"/>
    </w:rPr>
  </w:style>
  <w:style w:type="paragraph" w:customStyle="1" w:styleId="SOTextNote">
    <w:name w:val="SO TextNote"/>
    <w:aliases w:val="sont"/>
    <w:basedOn w:val="SOText"/>
    <w:qFormat/>
    <w:rsid w:val="004F32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32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324E"/>
    <w:rPr>
      <w:sz w:val="22"/>
    </w:rPr>
  </w:style>
  <w:style w:type="paragraph" w:customStyle="1" w:styleId="FileName">
    <w:name w:val="FileName"/>
    <w:basedOn w:val="Normal"/>
    <w:rsid w:val="004F32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32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32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32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32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32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32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32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32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32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324E"/>
    <w:rPr>
      <w:sz w:val="22"/>
    </w:rPr>
  </w:style>
  <w:style w:type="paragraph" w:customStyle="1" w:styleId="ShortTP1">
    <w:name w:val="ShortTP1"/>
    <w:basedOn w:val="ShortT"/>
    <w:link w:val="ShortTP1Char"/>
    <w:rsid w:val="007F399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F399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F399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F399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F399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F399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F399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F3992"/>
  </w:style>
  <w:style w:type="character" w:customStyle="1" w:styleId="ShortTCPChar">
    <w:name w:val="ShortTCP Char"/>
    <w:basedOn w:val="ShortTChar"/>
    <w:link w:val="ShortTCP"/>
    <w:rsid w:val="007F399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F3992"/>
    <w:pPr>
      <w:spacing w:before="400"/>
    </w:pPr>
  </w:style>
  <w:style w:type="character" w:customStyle="1" w:styleId="ActNoCPChar">
    <w:name w:val="ActNoCP Char"/>
    <w:basedOn w:val="ActnoChar"/>
    <w:link w:val="ActNoCP"/>
    <w:rsid w:val="007F399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F39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824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824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8245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wmf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wmf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oter" Target="footer1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3496</Words>
  <Characters>16084</Characters>
  <Application>Microsoft Office Word</Application>
  <DocSecurity>0</DocSecurity>
  <PresentationFormat/>
  <Lines>699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2014-03-19T22:19:00Z</dcterms:created>
  <dcterms:modified xsi:type="dcterms:W3CDTF">2014-03-19T22:45:00Z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Tariff Amendment (Tobacco) Act 2014</vt:lpwstr>
  </property>
  <property fmtid="{D5CDD505-2E9C-101B-9397-08002B2CF9AE}" pid="3" name="Actno">
    <vt:lpwstr>No. 8, 2014</vt:lpwstr>
  </property>
</Properties>
</file>