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BD" w:rsidRDefault="00B83BBD" w:rsidP="00B83BBD">
      <w:pPr>
        <w:pStyle w:val="NormalWeb"/>
        <w:spacing w:before="0" w:beforeAutospacing="0" w:after="0" w:afterAutospacing="0"/>
        <w:jc w:val="center"/>
        <w:rPr>
          <w:rFonts w:asciiTheme="minorHAnsi" w:hAnsiTheme="minorHAnsi"/>
        </w:rPr>
      </w:pPr>
      <w:bookmarkStart w:id="0" w:name="_GoBack"/>
      <w:bookmarkStart w:id="1" w:name="top"/>
      <w:bookmarkEnd w:id="0"/>
    </w:p>
    <w:p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1"/>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p>
    <w:p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8" w:history="1">
        <w:r w:rsidRPr="0059089C">
          <w:rPr>
            <w:rStyle w:val="Hyperlink"/>
            <w:rFonts w:asciiTheme="minorHAnsi" w:hAnsiTheme="minorHAnsi"/>
            <w:i/>
            <w:iCs/>
          </w:rPr>
          <w:t>http://www.environment.gov.au/epbc/notices</w:t>
        </w:r>
      </w:hyperlink>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2C4F3F" w:rsidRPr="0059089C" w:rsidTr="000D272E">
        <w:tc>
          <w:tcPr>
            <w:tcW w:w="1134" w:type="dxa"/>
          </w:tcPr>
          <w:p w:rsidR="002C4F3F" w:rsidRPr="0059089C" w:rsidRDefault="002C4F3F" w:rsidP="000D272E">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2C4F3F" w:rsidRPr="0059089C" w:rsidRDefault="002C4F3F" w:rsidP="000D272E">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2C4F3F" w:rsidRPr="0059089C" w:rsidRDefault="002C4F3F" w:rsidP="000D272E">
            <w:pPr>
              <w:spacing w:line="276" w:lineRule="auto"/>
              <w:rPr>
                <w:rFonts w:asciiTheme="minorHAnsi" w:hAnsiTheme="minorHAnsi"/>
                <w:b/>
                <w:sz w:val="16"/>
                <w:szCs w:val="16"/>
              </w:rPr>
            </w:pPr>
            <w:r w:rsidRPr="0059089C">
              <w:rPr>
                <w:rFonts w:asciiTheme="minorHAnsi" w:hAnsiTheme="minorHAnsi"/>
                <w:b/>
                <w:sz w:val="16"/>
                <w:szCs w:val="16"/>
              </w:rPr>
              <w:t>Date</w:t>
            </w:r>
          </w:p>
        </w:tc>
      </w:tr>
      <w:tr w:rsidR="000D272E" w:rsidRPr="0059089C" w:rsidTr="000D272E">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2013/7039</w:t>
            </w:r>
          </w:p>
        </w:tc>
        <w:tc>
          <w:tcPr>
            <w:tcW w:w="7513"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DBP Development Group Nominees Pty Ltd/Commercial development/Onslow/WA/Construct 110km buried natural gas pipeline from Onslow, connecting to Dampier/Bunbury natural gas pipeline</w:t>
            </w:r>
          </w:p>
        </w:tc>
        <w:tc>
          <w:tcPr>
            <w:tcW w:w="992"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06/12/2013</w:t>
            </w:r>
          </w:p>
        </w:tc>
      </w:tr>
      <w:tr w:rsidR="000D272E" w:rsidRPr="0059089C" w:rsidTr="000D272E">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2013/6856</w:t>
            </w:r>
          </w:p>
        </w:tc>
        <w:tc>
          <w:tcPr>
            <w:tcW w:w="7513"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Crocodile Gold Corp./Mining/adjacent to Stawell NE of the township in western Victoria/VIC/The Big Hill enhanced open cut mining development, adjacent Stawell,</w:t>
            </w:r>
            <w:r w:rsidR="00521496">
              <w:rPr>
                <w:rFonts w:ascii="Calibri" w:hAnsi="Calibri" w:cs="Arial"/>
                <w:color w:val="000000"/>
                <w:sz w:val="16"/>
                <w:szCs w:val="16"/>
              </w:rPr>
              <w:t xml:space="preserve"> </w:t>
            </w:r>
            <w:r>
              <w:rPr>
                <w:rFonts w:ascii="Calibri" w:hAnsi="Calibri" w:cs="Arial"/>
                <w:color w:val="000000"/>
                <w:sz w:val="16"/>
                <w:szCs w:val="16"/>
              </w:rPr>
              <w:t>Victoria</w:t>
            </w:r>
          </w:p>
        </w:tc>
        <w:tc>
          <w:tcPr>
            <w:tcW w:w="992"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09/12/2013</w:t>
            </w:r>
          </w:p>
        </w:tc>
      </w:tr>
    </w:tbl>
    <w:p w:rsidR="00521496" w:rsidRDefault="00521496" w:rsidP="003B66E6">
      <w:pPr>
        <w:spacing w:after="0"/>
        <w:rPr>
          <w:caps/>
        </w:rPr>
      </w:pPr>
    </w:p>
    <w:p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tblPr>
      <w:tblGrid>
        <w:gridCol w:w="1134"/>
        <w:gridCol w:w="5529"/>
        <w:gridCol w:w="1984"/>
        <w:gridCol w:w="992"/>
      </w:tblGrid>
      <w:tr w:rsidR="008B3EB7" w:rsidRPr="0059089C" w:rsidTr="00521496">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529"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198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D272E" w:rsidRPr="0059089C" w:rsidTr="00521496">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2009/5007</w:t>
            </w:r>
          </w:p>
        </w:tc>
        <w:tc>
          <w:tcPr>
            <w:tcW w:w="5529"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Arrow CSG (Australia) Pty Ltd/Energy generation and supply (non-renewable)/Curtis Island, Approx. 6km N of Gladstone, QLD/QLD/The Arrow LNG Facility, Curtis Island, Gladstone</w:t>
            </w:r>
          </w:p>
        </w:tc>
        <w:tc>
          <w:tcPr>
            <w:tcW w:w="1984" w:type="dxa"/>
          </w:tcPr>
          <w:p w:rsidR="000D272E" w:rsidRDefault="00521496" w:rsidP="00521496">
            <w:pPr>
              <w:rPr>
                <w:rFonts w:ascii="Calibri" w:hAnsi="Calibri" w:cs="Arial"/>
                <w:color w:val="000000"/>
                <w:sz w:val="16"/>
                <w:szCs w:val="16"/>
              </w:rPr>
            </w:pPr>
            <w:r>
              <w:rPr>
                <w:rFonts w:ascii="Calibri" w:hAnsi="Calibri" w:cs="Arial"/>
                <w:color w:val="000000"/>
                <w:sz w:val="16"/>
                <w:szCs w:val="16"/>
              </w:rPr>
              <w:t xml:space="preserve">Approved with conditions </w:t>
            </w:r>
          </w:p>
        </w:tc>
        <w:tc>
          <w:tcPr>
            <w:tcW w:w="992" w:type="dxa"/>
          </w:tcPr>
          <w:p w:rsidR="000D272E" w:rsidRDefault="00521496" w:rsidP="000D272E">
            <w:pPr>
              <w:rPr>
                <w:rFonts w:ascii="Calibri" w:hAnsi="Calibri" w:cs="Arial"/>
                <w:color w:val="000000"/>
                <w:sz w:val="16"/>
                <w:szCs w:val="16"/>
              </w:rPr>
            </w:pPr>
            <w:r>
              <w:rPr>
                <w:rFonts w:ascii="Calibri" w:hAnsi="Calibri" w:cs="Arial"/>
                <w:color w:val="000000"/>
                <w:sz w:val="16"/>
                <w:szCs w:val="16"/>
              </w:rPr>
              <w:t>10/12/2013</w:t>
            </w:r>
          </w:p>
        </w:tc>
      </w:tr>
      <w:tr w:rsidR="000D272E" w:rsidRPr="0059089C" w:rsidTr="00521496">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2009/5008</w:t>
            </w:r>
          </w:p>
        </w:tc>
        <w:tc>
          <w:tcPr>
            <w:tcW w:w="5529"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Arrow CSG (Australia) Pty Ltd/Mining/Gladstone City Gate to Curtis Island/QLD/The Arrow Gas Transmission Pipeline, Gladstone to Curtis Island</w:t>
            </w:r>
          </w:p>
        </w:tc>
        <w:tc>
          <w:tcPr>
            <w:tcW w:w="1984" w:type="dxa"/>
          </w:tcPr>
          <w:p w:rsidR="000D272E" w:rsidRDefault="00521496" w:rsidP="00521496">
            <w:pPr>
              <w:rPr>
                <w:rFonts w:ascii="Calibri" w:hAnsi="Calibri" w:cs="Arial"/>
                <w:color w:val="000000"/>
                <w:sz w:val="16"/>
                <w:szCs w:val="16"/>
              </w:rPr>
            </w:pPr>
            <w:r>
              <w:rPr>
                <w:rFonts w:ascii="Calibri" w:hAnsi="Calibri" w:cs="Arial"/>
                <w:color w:val="000000"/>
                <w:sz w:val="16"/>
                <w:szCs w:val="16"/>
              </w:rPr>
              <w:t xml:space="preserve">Approved with conditions </w:t>
            </w:r>
          </w:p>
        </w:tc>
        <w:tc>
          <w:tcPr>
            <w:tcW w:w="992" w:type="dxa"/>
          </w:tcPr>
          <w:p w:rsidR="000D272E" w:rsidRDefault="00521496" w:rsidP="000D272E">
            <w:pPr>
              <w:rPr>
                <w:rFonts w:ascii="Calibri" w:hAnsi="Calibri" w:cs="Arial"/>
                <w:color w:val="000000"/>
                <w:sz w:val="16"/>
                <w:szCs w:val="16"/>
              </w:rPr>
            </w:pPr>
            <w:r>
              <w:rPr>
                <w:rFonts w:ascii="Calibri" w:hAnsi="Calibri" w:cs="Arial"/>
                <w:color w:val="000000"/>
                <w:sz w:val="16"/>
                <w:szCs w:val="16"/>
              </w:rPr>
              <w:t>10/12/2013</w:t>
            </w:r>
          </w:p>
        </w:tc>
      </w:tr>
      <w:tr w:rsidR="000D272E" w:rsidRPr="0059089C" w:rsidTr="00521496">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2011/6194</w:t>
            </w:r>
          </w:p>
        </w:tc>
        <w:tc>
          <w:tcPr>
            <w:tcW w:w="5529" w:type="dxa"/>
          </w:tcPr>
          <w:p w:rsidR="000D272E" w:rsidRDefault="000D272E" w:rsidP="000D272E">
            <w:pPr>
              <w:rPr>
                <w:rFonts w:ascii="Calibri" w:hAnsi="Calibri" w:cs="Arial"/>
                <w:color w:val="000000"/>
                <w:sz w:val="16"/>
                <w:szCs w:val="16"/>
              </w:rPr>
            </w:pPr>
            <w:proofErr w:type="spellStart"/>
            <w:r>
              <w:rPr>
                <w:rFonts w:ascii="Calibri" w:hAnsi="Calibri" w:cs="Arial"/>
                <w:color w:val="000000"/>
                <w:sz w:val="16"/>
                <w:szCs w:val="16"/>
              </w:rPr>
              <w:t>Adani</w:t>
            </w:r>
            <w:proofErr w:type="spellEnd"/>
            <w:r>
              <w:rPr>
                <w:rFonts w:ascii="Calibri" w:hAnsi="Calibri" w:cs="Arial"/>
                <w:color w:val="000000"/>
                <w:sz w:val="16"/>
                <w:szCs w:val="16"/>
              </w:rPr>
              <w:t xml:space="preserve"> Abbot Point Terminal Pty Ltd /Mining/Port of Abbot Point/QLD/Abbot Point Coal Terminal 0</w:t>
            </w:r>
          </w:p>
        </w:tc>
        <w:tc>
          <w:tcPr>
            <w:tcW w:w="1984" w:type="dxa"/>
          </w:tcPr>
          <w:p w:rsidR="000D272E" w:rsidRDefault="00521496" w:rsidP="00521496">
            <w:pPr>
              <w:rPr>
                <w:rFonts w:ascii="Calibri" w:hAnsi="Calibri" w:cs="Arial"/>
                <w:color w:val="000000"/>
                <w:sz w:val="16"/>
                <w:szCs w:val="16"/>
              </w:rPr>
            </w:pPr>
            <w:r>
              <w:rPr>
                <w:rFonts w:ascii="Calibri" w:hAnsi="Calibri" w:cs="Arial"/>
                <w:color w:val="000000"/>
                <w:sz w:val="16"/>
                <w:szCs w:val="16"/>
              </w:rPr>
              <w:t xml:space="preserve">Approved with conditions </w:t>
            </w:r>
          </w:p>
        </w:tc>
        <w:tc>
          <w:tcPr>
            <w:tcW w:w="992" w:type="dxa"/>
          </w:tcPr>
          <w:p w:rsidR="000D272E" w:rsidRDefault="00521496" w:rsidP="000D272E">
            <w:pPr>
              <w:rPr>
                <w:rFonts w:ascii="Calibri" w:hAnsi="Calibri" w:cs="Arial"/>
                <w:color w:val="000000"/>
                <w:sz w:val="16"/>
                <w:szCs w:val="16"/>
              </w:rPr>
            </w:pPr>
            <w:r>
              <w:rPr>
                <w:rFonts w:ascii="Calibri" w:hAnsi="Calibri" w:cs="Arial"/>
                <w:color w:val="000000"/>
                <w:sz w:val="16"/>
                <w:szCs w:val="16"/>
              </w:rPr>
              <w:t>10/12/2013</w:t>
            </w:r>
          </w:p>
        </w:tc>
      </w:tr>
      <w:tr w:rsidR="000D272E" w:rsidRPr="0059089C" w:rsidTr="00521496">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2011/6213</w:t>
            </w:r>
          </w:p>
        </w:tc>
        <w:tc>
          <w:tcPr>
            <w:tcW w:w="5529"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North Queensland Bulk Ports Corporation Limited/Exploration (mineral, oil and gas - marine)/Approx 3km offshore Abbot Point/QLD/Abbot Point Terminal 0, 2 &amp; 3 Capital Dredging</w:t>
            </w:r>
          </w:p>
        </w:tc>
        <w:tc>
          <w:tcPr>
            <w:tcW w:w="1984" w:type="dxa"/>
          </w:tcPr>
          <w:p w:rsidR="000D272E" w:rsidRDefault="00521496" w:rsidP="00521496">
            <w:pPr>
              <w:rPr>
                <w:rFonts w:ascii="Calibri" w:hAnsi="Calibri" w:cs="Arial"/>
                <w:color w:val="000000"/>
                <w:sz w:val="16"/>
                <w:szCs w:val="16"/>
              </w:rPr>
            </w:pPr>
            <w:r>
              <w:rPr>
                <w:rFonts w:ascii="Calibri" w:hAnsi="Calibri" w:cs="Arial"/>
                <w:color w:val="000000"/>
                <w:sz w:val="16"/>
                <w:szCs w:val="16"/>
              </w:rPr>
              <w:t xml:space="preserve">Approved with conditions </w:t>
            </w:r>
          </w:p>
        </w:tc>
        <w:tc>
          <w:tcPr>
            <w:tcW w:w="992" w:type="dxa"/>
          </w:tcPr>
          <w:p w:rsidR="000D272E" w:rsidRDefault="00521496" w:rsidP="000D272E">
            <w:pPr>
              <w:rPr>
                <w:rFonts w:ascii="Calibri" w:hAnsi="Calibri" w:cs="Arial"/>
                <w:color w:val="000000"/>
                <w:sz w:val="16"/>
                <w:szCs w:val="16"/>
              </w:rPr>
            </w:pPr>
            <w:r>
              <w:rPr>
                <w:rFonts w:ascii="Calibri" w:hAnsi="Calibri" w:cs="Arial"/>
                <w:color w:val="000000"/>
                <w:sz w:val="16"/>
                <w:szCs w:val="16"/>
              </w:rPr>
              <w:t>10/12/2013</w:t>
            </w:r>
          </w:p>
        </w:tc>
      </w:tr>
    </w:tbl>
    <w:p w:rsidR="00521496" w:rsidRDefault="00521496" w:rsidP="003B66E6">
      <w:pPr>
        <w:spacing w:after="0"/>
        <w:rPr>
          <w:caps/>
        </w:rPr>
      </w:pPr>
    </w:p>
    <w:p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tblPr>
      <w:tblGrid>
        <w:gridCol w:w="1134"/>
        <w:gridCol w:w="7513"/>
        <w:gridCol w:w="992"/>
      </w:tblGrid>
      <w:tr w:rsidR="008B3EB7" w:rsidRPr="0059089C" w:rsidTr="00963825">
        <w:tc>
          <w:tcPr>
            <w:tcW w:w="1134" w:type="dxa"/>
          </w:tcPr>
          <w:p w:rsidR="008B3EB7" w:rsidRPr="0059089C" w:rsidRDefault="008B3EB7" w:rsidP="003B66E6">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D272E" w:rsidRPr="0059089C" w:rsidTr="000D272E">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2009/4974</w:t>
            </w:r>
          </w:p>
        </w:tc>
        <w:tc>
          <w:tcPr>
            <w:tcW w:w="7513"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Australia Pacific LNG Pty Limited/Energy generation and supply (non-renewable)/Walloon Gas Fields, Surat Basin, Darling Downs/QLD/Expansion of Coal Seam Gas Fields</w:t>
            </w:r>
          </w:p>
        </w:tc>
        <w:tc>
          <w:tcPr>
            <w:tcW w:w="992"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05/12/2013</w:t>
            </w:r>
          </w:p>
        </w:tc>
      </w:tr>
      <w:tr w:rsidR="000D272E" w:rsidRPr="0059089C" w:rsidTr="000D272E">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2010/5549</w:t>
            </w:r>
          </w:p>
        </w:tc>
        <w:tc>
          <w:tcPr>
            <w:tcW w:w="7513"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Land Development Agency/Residential development/Lawson South north-east of Belconnen town centre/ACT/ Lawson South residential development</w:t>
            </w:r>
          </w:p>
        </w:tc>
        <w:tc>
          <w:tcPr>
            <w:tcW w:w="992"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11/12/2013</w:t>
            </w:r>
          </w:p>
        </w:tc>
      </w:tr>
      <w:bookmarkEnd w:id="2"/>
    </w:tbl>
    <w:p w:rsidR="008B3EB7" w:rsidRPr="004021AD" w:rsidRDefault="008B3EB7" w:rsidP="003B66E6">
      <w:pPr>
        <w:spacing w:after="0"/>
        <w:rPr>
          <w:szCs w:val="16"/>
        </w:rPr>
      </w:pPr>
    </w:p>
    <w:p w:rsidR="008B3EB7" w:rsidRPr="0059089C" w:rsidRDefault="008B3EB7" w:rsidP="003B66E6">
      <w:pPr>
        <w:spacing w:after="0"/>
        <w:rPr>
          <w:caps/>
        </w:rPr>
      </w:pPr>
      <w:r w:rsidRPr="0059089C">
        <w:rPr>
          <w:caps/>
        </w:rPr>
        <w:t>NOTICE OF EXTENSION OF TIME (</w:t>
      </w:r>
      <w:r w:rsidRPr="0059089C">
        <w:rPr>
          <w:i/>
          <w:caps/>
        </w:rPr>
        <w:t>EPBC A</w:t>
      </w:r>
      <w:r w:rsidRPr="0059089C">
        <w:rPr>
          <w:i/>
        </w:rPr>
        <w:t>ct</w:t>
      </w:r>
      <w:r w:rsidRPr="0059089C">
        <w:rPr>
          <w:caps/>
        </w:rPr>
        <w:t xml:space="preserve"> </w:t>
      </w:r>
      <w:proofErr w:type="gramStart"/>
      <w:r w:rsidRPr="0059089C">
        <w:t>s</w:t>
      </w:r>
      <w:r w:rsidRPr="0059089C">
        <w:rPr>
          <w:caps/>
        </w:rPr>
        <w:t>.130(</w:t>
      </w:r>
      <w:proofErr w:type="gramEnd"/>
      <w:r w:rsidRPr="0059089C">
        <w:rPr>
          <w:caps/>
        </w:rPr>
        <w:t>4))</w:t>
      </w:r>
    </w:p>
    <w:tbl>
      <w:tblPr>
        <w:tblStyle w:val="TableGrid"/>
        <w:tblW w:w="9639" w:type="dxa"/>
        <w:tblInd w:w="108" w:type="dxa"/>
        <w:tblLayout w:type="fixed"/>
        <w:tblLook w:val="01E0"/>
      </w:tblPr>
      <w:tblGrid>
        <w:gridCol w:w="1134"/>
        <w:gridCol w:w="6096"/>
        <w:gridCol w:w="1417"/>
        <w:gridCol w:w="992"/>
      </w:tblGrid>
      <w:tr w:rsidR="008B3EB7" w:rsidRPr="0059089C" w:rsidTr="00521496">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6096"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1417" w:type="dxa"/>
          </w:tcPr>
          <w:p w:rsidR="008B3EB7" w:rsidRPr="0059089C" w:rsidRDefault="008B3EB7" w:rsidP="00521496">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521496">
              <w:rPr>
                <w:rFonts w:asciiTheme="minorHAnsi" w:hAnsiTheme="minorHAnsi"/>
                <w:b/>
                <w:sz w:val="16"/>
                <w:szCs w:val="16"/>
              </w:rPr>
              <w:t>to</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D272E" w:rsidRPr="0059089C" w:rsidTr="00521496">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2010/5344</w:t>
            </w:r>
          </w:p>
        </w:tc>
        <w:tc>
          <w:tcPr>
            <w:tcW w:w="6096"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 xml:space="preserve">Arrow Energy/Energy generation and supply (non-renewable)/200km West of Brisbane /QLD/Expansion Of Coal Seam Gas Operations </w:t>
            </w:r>
          </w:p>
        </w:tc>
        <w:tc>
          <w:tcPr>
            <w:tcW w:w="1417" w:type="dxa"/>
          </w:tcPr>
          <w:p w:rsidR="000D272E" w:rsidRDefault="00521496" w:rsidP="000D272E">
            <w:pPr>
              <w:rPr>
                <w:rFonts w:ascii="Calibri" w:hAnsi="Calibri" w:cs="Arial"/>
                <w:color w:val="000000"/>
                <w:sz w:val="16"/>
                <w:szCs w:val="16"/>
              </w:rPr>
            </w:pPr>
            <w:r>
              <w:rPr>
                <w:rFonts w:ascii="Calibri" w:hAnsi="Calibri" w:cs="Arial"/>
                <w:color w:val="000000"/>
                <w:sz w:val="16"/>
                <w:szCs w:val="16"/>
              </w:rPr>
              <w:t>12/01/2014</w:t>
            </w:r>
          </w:p>
        </w:tc>
        <w:tc>
          <w:tcPr>
            <w:tcW w:w="992" w:type="dxa"/>
          </w:tcPr>
          <w:p w:rsidR="000D272E" w:rsidRDefault="00521496" w:rsidP="000D272E">
            <w:pPr>
              <w:rPr>
                <w:rFonts w:ascii="Calibri" w:hAnsi="Calibri" w:cs="Arial"/>
                <w:color w:val="000000"/>
                <w:sz w:val="16"/>
                <w:szCs w:val="16"/>
              </w:rPr>
            </w:pPr>
            <w:r>
              <w:rPr>
                <w:rFonts w:ascii="Calibri" w:hAnsi="Calibri" w:cs="Arial"/>
                <w:color w:val="000000"/>
                <w:sz w:val="16"/>
                <w:szCs w:val="16"/>
              </w:rPr>
              <w:t>12/12/2013</w:t>
            </w:r>
          </w:p>
        </w:tc>
      </w:tr>
    </w:tbl>
    <w:p w:rsidR="004021AD" w:rsidRDefault="004021AD" w:rsidP="003B66E6">
      <w:pPr>
        <w:spacing w:after="0"/>
        <w:rPr>
          <w:caps/>
        </w:rPr>
      </w:pPr>
    </w:p>
    <w:p w:rsidR="000A2BDB" w:rsidRPr="0059089C" w:rsidRDefault="00841C3C" w:rsidP="003B66E6">
      <w:pPr>
        <w:spacing w:after="0"/>
        <w:rPr>
          <w:caps/>
        </w:rPr>
      </w:pPr>
      <w:r>
        <w:rPr>
          <w:caps/>
        </w:rPr>
        <w:t>lapsed proposals</w:t>
      </w:r>
      <w:r w:rsidR="000A2BDB" w:rsidRPr="0059089C">
        <w:rPr>
          <w:caps/>
        </w:rPr>
        <w:t xml:space="preserve"> (</w:t>
      </w:r>
      <w:r w:rsidR="000A2BDB" w:rsidRPr="0059089C">
        <w:rPr>
          <w:i/>
          <w:caps/>
        </w:rPr>
        <w:t>EPBC A</w:t>
      </w:r>
      <w:r w:rsidR="000A2BDB" w:rsidRPr="0059089C">
        <w:rPr>
          <w:i/>
        </w:rPr>
        <w:t xml:space="preserve">ct </w:t>
      </w:r>
      <w:r w:rsidR="000A2BDB" w:rsidRPr="0059089C">
        <w:t>s.</w:t>
      </w:r>
      <w:r>
        <w:t>155</w:t>
      </w:r>
      <w:r w:rsidR="000A2BDB" w:rsidRPr="0059089C">
        <w:t>)</w:t>
      </w:r>
    </w:p>
    <w:tbl>
      <w:tblPr>
        <w:tblStyle w:val="TableGrid"/>
        <w:tblW w:w="9639" w:type="dxa"/>
        <w:tblInd w:w="108" w:type="dxa"/>
        <w:tblLayout w:type="fixed"/>
        <w:tblLook w:val="01E0"/>
      </w:tblPr>
      <w:tblGrid>
        <w:gridCol w:w="1134"/>
        <w:gridCol w:w="7513"/>
        <w:gridCol w:w="992"/>
      </w:tblGrid>
      <w:tr w:rsidR="00841C3C" w:rsidRPr="0059089C" w:rsidTr="00841C3C">
        <w:tc>
          <w:tcPr>
            <w:tcW w:w="1134" w:type="dxa"/>
          </w:tcPr>
          <w:p w:rsidR="00841C3C" w:rsidRPr="0059089C" w:rsidRDefault="00841C3C"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841C3C" w:rsidRPr="0059089C" w:rsidRDefault="00841C3C"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841C3C" w:rsidRPr="0059089C" w:rsidRDefault="00841C3C"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D272E" w:rsidRPr="0059089C" w:rsidTr="000D272E">
        <w:tc>
          <w:tcPr>
            <w:tcW w:w="1134"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2005/2156</w:t>
            </w:r>
          </w:p>
        </w:tc>
        <w:tc>
          <w:tcPr>
            <w:tcW w:w="7513"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Caversham Property Developments Pty Ltd/Urban and commercial redevelopment/Adelaide/SA/Redevelopment of Adelaide GPO</w:t>
            </w:r>
          </w:p>
        </w:tc>
        <w:tc>
          <w:tcPr>
            <w:tcW w:w="992" w:type="dxa"/>
          </w:tcPr>
          <w:p w:rsidR="000D272E" w:rsidRDefault="000D272E" w:rsidP="000D272E">
            <w:pPr>
              <w:rPr>
                <w:rFonts w:ascii="Calibri" w:hAnsi="Calibri" w:cs="Arial"/>
                <w:color w:val="000000"/>
                <w:sz w:val="16"/>
                <w:szCs w:val="16"/>
              </w:rPr>
            </w:pPr>
            <w:r>
              <w:rPr>
                <w:rFonts w:ascii="Calibri" w:hAnsi="Calibri" w:cs="Arial"/>
                <w:color w:val="000000"/>
                <w:sz w:val="16"/>
                <w:szCs w:val="16"/>
              </w:rPr>
              <w:t>05/12/2013</w:t>
            </w:r>
          </w:p>
        </w:tc>
      </w:tr>
    </w:tbl>
    <w:p w:rsidR="004021AD" w:rsidRDefault="004021AD" w:rsidP="003B66E6">
      <w:pPr>
        <w:spacing w:after="0"/>
        <w:rPr>
          <w:b/>
          <w:szCs w:val="16"/>
        </w:rPr>
      </w:pPr>
    </w:p>
    <w:p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or may not meet timeframes for notification.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2E" w:rsidRDefault="000D272E" w:rsidP="003A707F">
      <w:pPr>
        <w:spacing w:after="0" w:line="240" w:lineRule="auto"/>
      </w:pPr>
      <w:r>
        <w:separator/>
      </w:r>
    </w:p>
  </w:endnote>
  <w:endnote w:type="continuationSeparator" w:id="0">
    <w:p w:rsidR="000D272E" w:rsidRDefault="000D272E"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2E" w:rsidRDefault="000D272E" w:rsidP="003A707F">
      <w:pPr>
        <w:spacing w:after="0" w:line="240" w:lineRule="auto"/>
      </w:pPr>
      <w:r>
        <w:separator/>
      </w:r>
    </w:p>
  </w:footnote>
  <w:footnote w:type="continuationSeparator" w:id="0">
    <w:p w:rsidR="000D272E" w:rsidRDefault="000D272E"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0D272E" w:rsidRPr="00CE796A"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rsidR="000D272E" w:rsidRPr="00CE796A" w:rsidRDefault="000D272E"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0D272E" w:rsidRPr="00CE796A" w:rsidRDefault="000D272E"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0D272E" w:rsidRPr="00CE796A" w:rsidRDefault="000D272E"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0D272E"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0D272E" w:rsidRPr="00CE796A" w:rsidRDefault="000D272E"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0D272E" w:rsidRPr="00840A06" w:rsidRDefault="000D272E"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0D272E" w:rsidRPr="003A707F" w:rsidRDefault="000D272E" w:rsidP="00F40885">
    <w:pPr>
      <w:pStyle w:val="Header"/>
      <w:rPr>
        <w:sz w:val="2"/>
        <w:szCs w:val="2"/>
      </w:rPr>
    </w:pPr>
  </w:p>
  <w:p w:rsidR="000D272E" w:rsidRPr="00F40885" w:rsidRDefault="000D272E">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0D333A"/>
    <w:multiLevelType w:val="hybridMultilevel"/>
    <w:tmpl w:val="B658F3B8"/>
    <w:lvl w:ilvl="0" w:tplc="7436B764">
      <w:numFmt w:val="bullet"/>
      <w:lvlText w:val=""/>
      <w:lvlJc w:val="left"/>
      <w:pPr>
        <w:ind w:left="720" w:hanging="360"/>
      </w:pPr>
      <w:rPr>
        <w:rFonts w:ascii="Symbol" w:eastAsia="Times New Roman" w:hAnsi="Symbo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rsids>
    <w:rsidRoot w:val="008E4F6C"/>
    <w:rsid w:val="00034184"/>
    <w:rsid w:val="000A2BDB"/>
    <w:rsid w:val="000D272E"/>
    <w:rsid w:val="000E1F2B"/>
    <w:rsid w:val="001C2AAD"/>
    <w:rsid w:val="001E3481"/>
    <w:rsid w:val="001F526E"/>
    <w:rsid w:val="001F6E54"/>
    <w:rsid w:val="00280BCD"/>
    <w:rsid w:val="002C4F3F"/>
    <w:rsid w:val="002E5F1D"/>
    <w:rsid w:val="003117F9"/>
    <w:rsid w:val="00365117"/>
    <w:rsid w:val="003A707F"/>
    <w:rsid w:val="003B0EC1"/>
    <w:rsid w:val="003B573B"/>
    <w:rsid w:val="003B66E6"/>
    <w:rsid w:val="003F2CBD"/>
    <w:rsid w:val="004021AD"/>
    <w:rsid w:val="00424B97"/>
    <w:rsid w:val="00445473"/>
    <w:rsid w:val="004B2753"/>
    <w:rsid w:val="00520873"/>
    <w:rsid w:val="00521496"/>
    <w:rsid w:val="00566CA3"/>
    <w:rsid w:val="00573D44"/>
    <w:rsid w:val="00656A10"/>
    <w:rsid w:val="0067768F"/>
    <w:rsid w:val="007A63E4"/>
    <w:rsid w:val="00840A06"/>
    <w:rsid w:val="00841C3C"/>
    <w:rsid w:val="008439B7"/>
    <w:rsid w:val="0087253F"/>
    <w:rsid w:val="008B3EB7"/>
    <w:rsid w:val="008D596A"/>
    <w:rsid w:val="008E4F6C"/>
    <w:rsid w:val="00925A2C"/>
    <w:rsid w:val="009539C7"/>
    <w:rsid w:val="00963825"/>
    <w:rsid w:val="009C4E63"/>
    <w:rsid w:val="00A00F21"/>
    <w:rsid w:val="00A162B8"/>
    <w:rsid w:val="00A17F8A"/>
    <w:rsid w:val="00A53659"/>
    <w:rsid w:val="00AA5128"/>
    <w:rsid w:val="00AA5F14"/>
    <w:rsid w:val="00B01C0C"/>
    <w:rsid w:val="00B466DD"/>
    <w:rsid w:val="00B610AC"/>
    <w:rsid w:val="00B83BBD"/>
    <w:rsid w:val="00B84226"/>
    <w:rsid w:val="00B97629"/>
    <w:rsid w:val="00BF4ECD"/>
    <w:rsid w:val="00BF4F72"/>
    <w:rsid w:val="00C23A3D"/>
    <w:rsid w:val="00C272B1"/>
    <w:rsid w:val="00C63C4E"/>
    <w:rsid w:val="00CC240A"/>
    <w:rsid w:val="00D04B83"/>
    <w:rsid w:val="00D77A88"/>
    <w:rsid w:val="00F11B12"/>
    <w:rsid w:val="00F40885"/>
    <w:rsid w:val="00F5559F"/>
    <w:rsid w:val="00F73882"/>
    <w:rsid w:val="00FD0F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gov.au/epbc/notice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01735-001F-460C-976C-272A848C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a16417</cp:lastModifiedBy>
  <cp:revision>2</cp:revision>
  <cp:lastPrinted>2013-06-24T01:35:00Z</cp:lastPrinted>
  <dcterms:created xsi:type="dcterms:W3CDTF">2013-12-13T05:28:00Z</dcterms:created>
  <dcterms:modified xsi:type="dcterms:W3CDTF">2013-12-13T05:28:00Z</dcterms:modified>
</cp:coreProperties>
</file>