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FB" w:rsidRDefault="00E040FB" w:rsidP="00E040FB">
      <w:pPr>
        <w:pStyle w:val="NormalWeb"/>
        <w:spacing w:before="0" w:beforeAutospacing="0" w:after="0" w:afterAutospacing="0"/>
        <w:jc w:val="center"/>
        <w:rPr>
          <w:rFonts w:asciiTheme="minorHAnsi" w:hAnsiTheme="minorHAnsi"/>
        </w:rPr>
      </w:pPr>
      <w:bookmarkStart w:id="0" w:name="top"/>
    </w:p>
    <w:p w:rsidR="008D6046" w:rsidRDefault="008D6046" w:rsidP="00E040FB">
      <w:pPr>
        <w:pStyle w:val="NormalWeb"/>
        <w:spacing w:before="0" w:beforeAutospacing="0" w:after="0" w:afterAutospacing="0"/>
        <w:jc w:val="center"/>
        <w:rPr>
          <w:rFonts w:asciiTheme="minorHAnsi" w:hAnsiTheme="minorHAnsi"/>
        </w:rPr>
      </w:pPr>
    </w:p>
    <w:p w:rsidR="00E040FB" w:rsidRPr="0059089C" w:rsidRDefault="00E040FB" w:rsidP="00E040FB">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SUSTAINABILITY, ENVIRONMENT, WATER, POPULATION</w:t>
      </w:r>
    </w:p>
    <w:p w:rsidR="00E040FB" w:rsidRPr="0059089C" w:rsidRDefault="00E040FB" w:rsidP="00E040FB">
      <w:pPr>
        <w:pStyle w:val="NormalWeb"/>
        <w:spacing w:before="0" w:beforeAutospacing="0" w:after="0" w:afterAutospacing="0"/>
        <w:jc w:val="center"/>
        <w:rPr>
          <w:rFonts w:asciiTheme="minorHAnsi" w:hAnsiTheme="minorHAnsi"/>
          <w:i/>
          <w:iCs/>
        </w:rPr>
      </w:pPr>
      <w:proofErr w:type="gramStart"/>
      <w:r w:rsidRPr="0059089C">
        <w:rPr>
          <w:rFonts w:asciiTheme="minorHAnsi" w:hAnsiTheme="minorHAnsi"/>
        </w:rPr>
        <w:t>and</w:t>
      </w:r>
      <w:proofErr w:type="gramEnd"/>
      <w:r w:rsidRPr="0059089C">
        <w:rPr>
          <w:rFonts w:asciiTheme="minorHAnsi" w:hAnsiTheme="minorHAnsi"/>
        </w:rPr>
        <w:t xml:space="preserve"> COMMUNITIES</w:t>
      </w:r>
    </w:p>
    <w:p w:rsidR="00E040FB" w:rsidRPr="0059089C" w:rsidRDefault="00E040FB" w:rsidP="00E040FB">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E040FB" w:rsidRPr="001F18A6" w:rsidRDefault="00E040FB" w:rsidP="00E040FB">
      <w:pPr>
        <w:pStyle w:val="NormalWeb"/>
        <w:spacing w:before="0" w:beforeAutospacing="0" w:after="0" w:afterAutospacing="0"/>
        <w:jc w:val="center"/>
        <w:rPr>
          <w:rFonts w:asciiTheme="minorHAnsi" w:hAnsiTheme="minorHAnsi"/>
          <w:i/>
          <w:iCs/>
          <w:sz w:val="22"/>
          <w:szCs w:val="22"/>
        </w:rPr>
      </w:pPr>
    </w:p>
    <w:p w:rsidR="00E040FB" w:rsidRPr="0059089C" w:rsidRDefault="00E040FB" w:rsidP="00E040FB">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8" w:history="1">
        <w:r w:rsidRPr="0059089C">
          <w:rPr>
            <w:rStyle w:val="Hyperlink"/>
            <w:rFonts w:asciiTheme="minorHAnsi" w:hAnsiTheme="minorHAnsi"/>
            <w:i/>
            <w:iCs/>
          </w:rPr>
          <w:t>http://www.environment.gov.au/epbc/notices</w:t>
        </w:r>
      </w:hyperlink>
    </w:p>
    <w:p w:rsidR="00E040FB" w:rsidRPr="0059089C" w:rsidRDefault="00E040FB" w:rsidP="00E040FB">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E040FB" w:rsidRDefault="00E040FB" w:rsidP="004F4B75">
      <w:pPr>
        <w:pStyle w:val="NormalWeb"/>
        <w:tabs>
          <w:tab w:val="center" w:pos="4153"/>
          <w:tab w:val="right" w:pos="8306"/>
        </w:tabs>
        <w:spacing w:before="0" w:beforeAutospacing="0" w:after="0" w:afterAutospacing="0"/>
        <w:rPr>
          <w:rFonts w:asciiTheme="minorHAnsi" w:hAnsiTheme="minorHAnsi"/>
          <w:caps/>
        </w:rPr>
      </w:pPr>
      <w:r w:rsidRPr="0059089C">
        <w:rPr>
          <w:rFonts w:asciiTheme="minorHAnsi" w:hAnsiTheme="minorHAnsi"/>
          <w:caps/>
        </w:rPr>
        <w:tab/>
      </w:r>
    </w:p>
    <w:p w:rsidR="008D6046" w:rsidRPr="004F4B75" w:rsidRDefault="008D6046" w:rsidP="004F4B75">
      <w:pPr>
        <w:pStyle w:val="NormalWeb"/>
        <w:tabs>
          <w:tab w:val="center" w:pos="4153"/>
          <w:tab w:val="right" w:pos="8306"/>
        </w:tabs>
        <w:spacing w:before="0" w:beforeAutospacing="0" w:after="0" w:afterAutospacing="0"/>
        <w:rPr>
          <w:rFonts w:asciiTheme="minorHAnsi" w:hAnsiTheme="minorHAnsi"/>
          <w:caps/>
          <w:sz w:val="22"/>
          <w:szCs w:val="22"/>
        </w:rPr>
      </w:pPr>
    </w:p>
    <w:p w:rsidR="00E040FB" w:rsidRPr="0059089C" w:rsidRDefault="00E040FB" w:rsidP="00E040FB">
      <w:pPr>
        <w:spacing w:after="0"/>
        <w:rPr>
          <w:caps/>
        </w:rPr>
      </w:pPr>
      <w:r w:rsidRPr="0059089C">
        <w:rPr>
          <w:caps/>
        </w:rPr>
        <w:t>actions determined as NOT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E040FB" w:rsidRPr="0059089C" w:rsidTr="004F4B75">
        <w:tc>
          <w:tcPr>
            <w:tcW w:w="1134"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Reference</w:t>
            </w:r>
          </w:p>
        </w:tc>
        <w:tc>
          <w:tcPr>
            <w:tcW w:w="7513"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Title</w:t>
            </w:r>
          </w:p>
        </w:tc>
        <w:tc>
          <w:tcPr>
            <w:tcW w:w="992"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Date</w:t>
            </w:r>
          </w:p>
        </w:tc>
      </w:tr>
      <w:tr w:rsidR="004F4B75" w:rsidRPr="0059089C" w:rsidTr="004F4B75">
        <w:tc>
          <w:tcPr>
            <w:tcW w:w="1134"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2012/6522*</w:t>
            </w:r>
          </w:p>
        </w:tc>
        <w:tc>
          <w:tcPr>
            <w:tcW w:w="7513"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BHP Billiton Petroleum Pty Ltd/Exploration (mineral, oil and gas - marine)/Approximately 40km off the Southern Exmouth Basin/Commonwealth Marine/Rydal-1 Petroleum Exploration Well, WA</w:t>
            </w:r>
          </w:p>
        </w:tc>
        <w:tc>
          <w:tcPr>
            <w:tcW w:w="992"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09/08/2013</w:t>
            </w:r>
          </w:p>
        </w:tc>
      </w:tr>
    </w:tbl>
    <w:p w:rsidR="00E040FB" w:rsidRPr="0059089C" w:rsidRDefault="00E040FB" w:rsidP="00E040FB">
      <w:pPr>
        <w:spacing w:after="0"/>
        <w:rPr>
          <w:sz w:val="16"/>
          <w:szCs w:val="16"/>
        </w:rPr>
      </w:pPr>
      <w:r w:rsidRPr="0059089C">
        <w:rPr>
          <w:sz w:val="16"/>
          <w:szCs w:val="16"/>
        </w:rPr>
        <w:t>* Actions which are not controlled actions provided they are undertaken in a particular manner. Further information on provision and manner specified is available from www.environment.gov.au/epbc/notices</w:t>
      </w:r>
    </w:p>
    <w:p w:rsidR="00E040FB" w:rsidRDefault="00E040FB" w:rsidP="00E040FB">
      <w:pPr>
        <w:spacing w:after="0"/>
      </w:pPr>
    </w:p>
    <w:p w:rsidR="008D6046" w:rsidRPr="0059089C" w:rsidRDefault="008D6046" w:rsidP="00E040FB">
      <w:pPr>
        <w:spacing w:after="0"/>
      </w:pPr>
    </w:p>
    <w:p w:rsidR="00E040FB" w:rsidRPr="0059089C" w:rsidRDefault="00E040FB" w:rsidP="00E040FB">
      <w:pPr>
        <w:spacing w:after="0"/>
        <w:rPr>
          <w:caps/>
        </w:rPr>
      </w:pPr>
      <w:r w:rsidRPr="0059089C">
        <w:rPr>
          <w:caps/>
        </w:rPr>
        <w:lastRenderedPageBreak/>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tblPr>
      <w:tblGrid>
        <w:gridCol w:w="1134"/>
        <w:gridCol w:w="7513"/>
        <w:gridCol w:w="992"/>
      </w:tblGrid>
      <w:tr w:rsidR="00E040FB" w:rsidRPr="0059089C" w:rsidTr="004F4B75">
        <w:tc>
          <w:tcPr>
            <w:tcW w:w="1134" w:type="dxa"/>
          </w:tcPr>
          <w:p w:rsidR="00E040FB" w:rsidRPr="0059089C" w:rsidRDefault="00E040FB" w:rsidP="004F4B75">
            <w:pPr>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Title</w:t>
            </w:r>
          </w:p>
        </w:tc>
        <w:tc>
          <w:tcPr>
            <w:tcW w:w="992"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Date</w:t>
            </w:r>
          </w:p>
        </w:tc>
      </w:tr>
      <w:tr w:rsidR="004F4B75" w:rsidRPr="0059089C" w:rsidTr="004F4B75">
        <w:tc>
          <w:tcPr>
            <w:tcW w:w="1134"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2008/4059</w:t>
            </w:r>
          </w:p>
        </w:tc>
        <w:tc>
          <w:tcPr>
            <w:tcW w:w="7513"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Santos Ltd/Energy generation and supply (non-renewable)/area around Emerald, Injune, Taroom and Roma townships/QLD/Coal Seam Gas Field Development for Natural Gas Liquefaction Park, Curtis Island</w:t>
            </w:r>
          </w:p>
        </w:tc>
        <w:tc>
          <w:tcPr>
            <w:tcW w:w="992"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21/06/2013</w:t>
            </w:r>
          </w:p>
        </w:tc>
      </w:tr>
      <w:tr w:rsidR="004F4B75" w:rsidRPr="0059089C" w:rsidTr="004F4B75">
        <w:tc>
          <w:tcPr>
            <w:tcW w:w="1134"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2008/4096</w:t>
            </w:r>
          </w:p>
        </w:tc>
        <w:tc>
          <w:tcPr>
            <w:tcW w:w="7513"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Santos Ltd/Energy generation and supply (non-renewable)/Commences Roma, QLD finishes Curtis Island, near Gladstone/QLD/Gas Pipeline &amp; Alternative Pipeline to Supply Natural Gas Liquefaction Plant</w:t>
            </w:r>
          </w:p>
        </w:tc>
        <w:tc>
          <w:tcPr>
            <w:tcW w:w="992"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14/08/2013</w:t>
            </w:r>
          </w:p>
        </w:tc>
      </w:tr>
      <w:bookmarkEnd w:id="1"/>
    </w:tbl>
    <w:p w:rsidR="00E040FB" w:rsidRDefault="00E040FB" w:rsidP="00E040FB">
      <w:pPr>
        <w:spacing w:after="0"/>
      </w:pPr>
    </w:p>
    <w:p w:rsidR="008D6046" w:rsidRPr="0059089C" w:rsidRDefault="008D6046" w:rsidP="00E040FB">
      <w:pPr>
        <w:spacing w:after="0"/>
      </w:pPr>
    </w:p>
    <w:p w:rsidR="00E040FB" w:rsidRPr="0059089C" w:rsidRDefault="00E040FB" w:rsidP="00E040FB">
      <w:pPr>
        <w:spacing w:after="0"/>
        <w:rPr>
          <w:caps/>
        </w:rPr>
      </w:pPr>
      <w:r w:rsidRPr="0059089C">
        <w:rPr>
          <w:caps/>
        </w:rPr>
        <w:t>NOTICE OF EXTENSION OF TIME (</w:t>
      </w:r>
      <w:r w:rsidRPr="0059089C">
        <w:rPr>
          <w:i/>
          <w:caps/>
        </w:rPr>
        <w:t>EPBC A</w:t>
      </w:r>
      <w:r w:rsidRPr="0059089C">
        <w:rPr>
          <w:i/>
        </w:rPr>
        <w:t>ct</w:t>
      </w:r>
      <w:r w:rsidRPr="0059089C">
        <w:rPr>
          <w:caps/>
        </w:rPr>
        <w:t xml:space="preserve"> </w:t>
      </w:r>
      <w:proofErr w:type="gramStart"/>
      <w:r w:rsidRPr="0059089C">
        <w:t>s</w:t>
      </w:r>
      <w:r w:rsidRPr="0059089C">
        <w:rPr>
          <w:caps/>
        </w:rPr>
        <w:t>.130(</w:t>
      </w:r>
      <w:proofErr w:type="gramEnd"/>
      <w:r w:rsidRPr="0059089C">
        <w:rPr>
          <w:caps/>
        </w:rPr>
        <w:t>4))</w:t>
      </w:r>
    </w:p>
    <w:tbl>
      <w:tblPr>
        <w:tblStyle w:val="TableGrid"/>
        <w:tblW w:w="9639" w:type="dxa"/>
        <w:tblInd w:w="108" w:type="dxa"/>
        <w:tblLayout w:type="fixed"/>
        <w:tblLook w:val="01E0"/>
      </w:tblPr>
      <w:tblGrid>
        <w:gridCol w:w="1134"/>
        <w:gridCol w:w="6379"/>
        <w:gridCol w:w="1134"/>
        <w:gridCol w:w="992"/>
      </w:tblGrid>
      <w:tr w:rsidR="00E040FB" w:rsidRPr="0059089C" w:rsidTr="008D6046">
        <w:tc>
          <w:tcPr>
            <w:tcW w:w="1134"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Reference</w:t>
            </w:r>
          </w:p>
        </w:tc>
        <w:tc>
          <w:tcPr>
            <w:tcW w:w="6379"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Title</w:t>
            </w:r>
          </w:p>
        </w:tc>
        <w:tc>
          <w:tcPr>
            <w:tcW w:w="1134"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 xml:space="preserve">Extended </w:t>
            </w:r>
            <w:r w:rsidR="008D6046">
              <w:rPr>
                <w:rFonts w:asciiTheme="minorHAnsi" w:hAnsiTheme="minorHAnsi"/>
                <w:b/>
                <w:sz w:val="16"/>
                <w:szCs w:val="16"/>
              </w:rPr>
              <w:t>to</w:t>
            </w:r>
          </w:p>
        </w:tc>
        <w:tc>
          <w:tcPr>
            <w:tcW w:w="992" w:type="dxa"/>
          </w:tcPr>
          <w:p w:rsidR="00E040FB" w:rsidRPr="0059089C" w:rsidRDefault="00E040FB" w:rsidP="004F4B75">
            <w:pPr>
              <w:rPr>
                <w:rFonts w:asciiTheme="minorHAnsi" w:hAnsiTheme="minorHAnsi"/>
                <w:b/>
                <w:sz w:val="16"/>
                <w:szCs w:val="16"/>
              </w:rPr>
            </w:pPr>
            <w:r w:rsidRPr="0059089C">
              <w:rPr>
                <w:rFonts w:asciiTheme="minorHAnsi" w:hAnsiTheme="minorHAnsi"/>
                <w:b/>
                <w:sz w:val="16"/>
                <w:szCs w:val="16"/>
              </w:rPr>
              <w:t>Date</w:t>
            </w:r>
          </w:p>
        </w:tc>
      </w:tr>
      <w:tr w:rsidR="004F4B75" w:rsidRPr="0059089C" w:rsidTr="008D6046">
        <w:tc>
          <w:tcPr>
            <w:tcW w:w="1134"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2011/6194</w:t>
            </w:r>
          </w:p>
        </w:tc>
        <w:tc>
          <w:tcPr>
            <w:tcW w:w="6379" w:type="dxa"/>
          </w:tcPr>
          <w:p w:rsidR="004F4B75" w:rsidRDefault="004F4B75" w:rsidP="004F4B75">
            <w:pPr>
              <w:rPr>
                <w:rFonts w:ascii="Calibri" w:hAnsi="Calibri" w:cs="Arial"/>
                <w:color w:val="000000"/>
                <w:sz w:val="16"/>
                <w:szCs w:val="16"/>
              </w:rPr>
            </w:pPr>
            <w:proofErr w:type="spellStart"/>
            <w:r>
              <w:rPr>
                <w:rFonts w:ascii="Calibri" w:hAnsi="Calibri" w:cs="Arial"/>
                <w:color w:val="000000"/>
                <w:sz w:val="16"/>
                <w:szCs w:val="16"/>
              </w:rPr>
              <w:t>Adani</w:t>
            </w:r>
            <w:proofErr w:type="spellEnd"/>
            <w:r>
              <w:rPr>
                <w:rFonts w:ascii="Calibri" w:hAnsi="Calibri" w:cs="Arial"/>
                <w:color w:val="000000"/>
                <w:sz w:val="16"/>
                <w:szCs w:val="16"/>
              </w:rPr>
              <w:t xml:space="preserve"> Abbot Point Terminal Pty Ltd/Mining/Port of Abbot Point/QLD/Abbot Point Coal Terminal 0</w:t>
            </w:r>
          </w:p>
        </w:tc>
        <w:tc>
          <w:tcPr>
            <w:tcW w:w="1134" w:type="dxa"/>
          </w:tcPr>
          <w:p w:rsidR="004F4B75" w:rsidRDefault="008D6046" w:rsidP="004F4B75">
            <w:pPr>
              <w:rPr>
                <w:rFonts w:ascii="Calibri" w:hAnsi="Calibri" w:cs="Arial"/>
                <w:color w:val="000000"/>
                <w:sz w:val="16"/>
                <w:szCs w:val="16"/>
              </w:rPr>
            </w:pPr>
            <w:r>
              <w:rPr>
                <w:rFonts w:ascii="Calibri" w:hAnsi="Calibri" w:cs="Arial"/>
                <w:color w:val="000000"/>
                <w:sz w:val="16"/>
                <w:szCs w:val="16"/>
              </w:rPr>
              <w:t>08/11/2013</w:t>
            </w:r>
          </w:p>
        </w:tc>
        <w:tc>
          <w:tcPr>
            <w:tcW w:w="992" w:type="dxa"/>
          </w:tcPr>
          <w:p w:rsidR="004F4B75" w:rsidRDefault="004F4B75" w:rsidP="004F4B75">
            <w:pPr>
              <w:rPr>
                <w:rFonts w:ascii="Calibri" w:hAnsi="Calibri" w:cs="Arial"/>
                <w:color w:val="000000"/>
                <w:sz w:val="16"/>
                <w:szCs w:val="16"/>
              </w:rPr>
            </w:pPr>
            <w:r>
              <w:rPr>
                <w:rFonts w:ascii="Calibri" w:hAnsi="Calibri" w:cs="Arial"/>
                <w:color w:val="000000"/>
                <w:sz w:val="16"/>
                <w:szCs w:val="16"/>
              </w:rPr>
              <w:t>15/08/2013</w:t>
            </w:r>
          </w:p>
        </w:tc>
      </w:tr>
    </w:tbl>
    <w:p w:rsidR="00E040FB" w:rsidRDefault="00E040FB" w:rsidP="004F4B75">
      <w:pPr>
        <w:spacing w:after="0"/>
        <w:rPr>
          <w:b/>
        </w:rPr>
      </w:pPr>
    </w:p>
    <w:p w:rsidR="008D6046" w:rsidRPr="0059089C" w:rsidRDefault="008D6046" w:rsidP="004F4B75">
      <w:pPr>
        <w:spacing w:after="0"/>
        <w:rPr>
          <w:b/>
        </w:rPr>
      </w:pPr>
    </w:p>
    <w:p w:rsidR="004B2753" w:rsidRPr="004F4B75" w:rsidRDefault="00E040FB" w:rsidP="004F4B75">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of Sustainability, Environment, Water, Population and Communities or may not meet timeframes for notification. The Department of Sustainability, Environment, Water, Population and Communities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of Sustainability, Environment, Water, Population and Communities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bookmarkStart w:id="2" w:name="_GoBack"/>
      <w:bookmarkEnd w:id="2"/>
    </w:p>
    <w:sectPr w:rsidR="004B2753" w:rsidRPr="004F4B75"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046" w:rsidRDefault="008D6046" w:rsidP="003A707F">
      <w:pPr>
        <w:spacing w:after="0" w:line="240" w:lineRule="auto"/>
      </w:pPr>
      <w:r>
        <w:separator/>
      </w:r>
    </w:p>
  </w:endnote>
  <w:endnote w:type="continuationSeparator" w:id="0">
    <w:p w:rsidR="008D6046" w:rsidRDefault="008D6046"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046" w:rsidRDefault="008D6046" w:rsidP="003A707F">
      <w:pPr>
        <w:spacing w:after="0" w:line="240" w:lineRule="auto"/>
      </w:pPr>
      <w:r>
        <w:separator/>
      </w:r>
    </w:p>
  </w:footnote>
  <w:footnote w:type="continuationSeparator" w:id="0">
    <w:p w:rsidR="008D6046" w:rsidRDefault="008D6046"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8D6046" w:rsidRPr="00CE796A" w:rsidTr="004F4B75">
      <w:trPr>
        <w:trHeight w:val="984"/>
      </w:trPr>
      <w:tc>
        <w:tcPr>
          <w:tcW w:w="1263" w:type="dxa"/>
          <w:tcBorders>
            <w:top w:val="single" w:sz="4" w:space="0" w:color="auto"/>
            <w:left w:val="nil"/>
            <w:bottom w:val="single" w:sz="4" w:space="0" w:color="auto"/>
            <w:right w:val="nil"/>
            <w:tl2br w:val="nil"/>
            <w:tr2bl w:val="nil"/>
          </w:tcBorders>
          <w:shd w:val="clear" w:color="auto" w:fill="auto"/>
        </w:tcPr>
        <w:p w:rsidR="008D6046" w:rsidRPr="00CE796A" w:rsidRDefault="008D6046" w:rsidP="00840A06">
          <w:pPr>
            <w:spacing w:before="60" w:after="0"/>
            <w:ind w:left="-51"/>
            <w:rPr>
              <w:rFonts w:ascii="Arial" w:hAnsi="Arial"/>
              <w:sz w:val="12"/>
            </w:rPr>
          </w:pPr>
          <w:bookmarkStart w:id="3" w:name="OLE_LINK2"/>
          <w:r>
            <w:rPr>
              <w:rFonts w:ascii="Arial" w:hAnsi="Arial"/>
              <w:noProof/>
              <w:sz w:val="12"/>
              <w:lang w:eastAsia="en-AU"/>
            </w:rPr>
            <w:drawing>
              <wp:anchor distT="0" distB="0" distL="114300" distR="114300" simplePos="0" relativeHeight="251658240" behindDoc="0" locked="0" layoutInCell="1" allowOverlap="1">
                <wp:simplePos x="0" y="0"/>
                <wp:positionH relativeFrom="page">
                  <wp:posOffset>-3810</wp:posOffset>
                </wp:positionH>
                <wp:positionV relativeFrom="paragraph">
                  <wp:posOffset>8255</wp:posOffset>
                </wp:positionV>
                <wp:extent cx="785678" cy="577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ntional3Asolid.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000"/>
                        <a:stretch/>
                      </pic:blipFill>
                      <pic:spPr bwMode="auto">
                        <a:xfrm>
                          <a:off x="0" y="0"/>
                          <a:ext cx="788400" cy="57985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c>
        <w:tcPr>
          <w:tcW w:w="4435" w:type="dxa"/>
          <w:tcBorders>
            <w:top w:val="single" w:sz="4" w:space="0" w:color="auto"/>
            <w:left w:val="nil"/>
            <w:bottom w:val="single" w:sz="4" w:space="0" w:color="auto"/>
            <w:right w:val="nil"/>
            <w:tl2br w:val="nil"/>
            <w:tr2bl w:val="nil"/>
          </w:tcBorders>
          <w:shd w:val="clear" w:color="auto" w:fill="auto"/>
        </w:tcPr>
        <w:p w:rsidR="008D6046" w:rsidRPr="00CE796A" w:rsidRDefault="008D6046"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8D6046" w:rsidRPr="00CE796A" w:rsidRDefault="008D6046"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8D6046"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8D6046" w:rsidRPr="00CE796A" w:rsidRDefault="008D6046"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8D6046" w:rsidRPr="00840A06" w:rsidRDefault="008D6046"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8D6046" w:rsidRPr="003A707F" w:rsidRDefault="008D6046" w:rsidP="00F40885">
    <w:pPr>
      <w:pStyle w:val="Header"/>
      <w:rPr>
        <w:sz w:val="2"/>
        <w:szCs w:val="2"/>
      </w:rPr>
    </w:pPr>
  </w:p>
  <w:p w:rsidR="008D6046" w:rsidRPr="00F40885" w:rsidRDefault="008D6046">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rsids>
    <w:rsidRoot w:val="008E4F6C"/>
    <w:rsid w:val="000E1F2B"/>
    <w:rsid w:val="001C2AAD"/>
    <w:rsid w:val="001F6E54"/>
    <w:rsid w:val="00280BCD"/>
    <w:rsid w:val="003A707F"/>
    <w:rsid w:val="003B0EC1"/>
    <w:rsid w:val="003B573B"/>
    <w:rsid w:val="003C247B"/>
    <w:rsid w:val="003F2CBD"/>
    <w:rsid w:val="00424B97"/>
    <w:rsid w:val="00452AD3"/>
    <w:rsid w:val="004B2753"/>
    <w:rsid w:val="004F4B75"/>
    <w:rsid w:val="00520873"/>
    <w:rsid w:val="00573D44"/>
    <w:rsid w:val="005B3F50"/>
    <w:rsid w:val="00634074"/>
    <w:rsid w:val="007B0668"/>
    <w:rsid w:val="00840A06"/>
    <w:rsid w:val="008439B7"/>
    <w:rsid w:val="00856875"/>
    <w:rsid w:val="0087253F"/>
    <w:rsid w:val="008D3C1B"/>
    <w:rsid w:val="008D6046"/>
    <w:rsid w:val="008E4F6C"/>
    <w:rsid w:val="009539C7"/>
    <w:rsid w:val="009F321E"/>
    <w:rsid w:val="00A00F21"/>
    <w:rsid w:val="00A15059"/>
    <w:rsid w:val="00B84226"/>
    <w:rsid w:val="00C63C4E"/>
    <w:rsid w:val="00D229E5"/>
    <w:rsid w:val="00D77A88"/>
    <w:rsid w:val="00E040FB"/>
    <w:rsid w:val="00E46FC6"/>
    <w:rsid w:val="00ED5B0A"/>
    <w:rsid w:val="00F408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E040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E040FB"/>
    <w:rPr>
      <w:color w:val="0000FF"/>
      <w:u w:val="single"/>
    </w:rPr>
  </w:style>
  <w:style w:type="table" w:styleId="TableGrid">
    <w:name w:val="Table Grid"/>
    <w:basedOn w:val="TableNormal"/>
    <w:rsid w:val="00E040F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epbc/notice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BC8B-BB77-49CC-8662-24806FAA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A01113</cp:lastModifiedBy>
  <cp:revision>3</cp:revision>
  <cp:lastPrinted>2013-08-02T06:29:00Z</cp:lastPrinted>
  <dcterms:created xsi:type="dcterms:W3CDTF">2013-08-19T06:03:00Z</dcterms:created>
  <dcterms:modified xsi:type="dcterms:W3CDTF">2013-08-19T06:18:00Z</dcterms:modified>
</cp:coreProperties>
</file>