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86" w:rsidRDefault="006E7B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F15386" w:rsidRDefault="00F15386"/>
    <w:p w:rsidR="00F15386" w:rsidRDefault="00F15386" w:rsidP="00F15386">
      <w:pPr>
        <w:spacing w:line="240" w:lineRule="auto"/>
      </w:pPr>
    </w:p>
    <w:p w:rsidR="00F15386" w:rsidRDefault="00F15386" w:rsidP="00F15386"/>
    <w:p w:rsidR="00F15386" w:rsidRDefault="00F15386" w:rsidP="00F15386"/>
    <w:p w:rsidR="00F15386" w:rsidRDefault="00F15386" w:rsidP="00F15386"/>
    <w:p w:rsidR="00F15386" w:rsidRDefault="00F15386" w:rsidP="00F15386"/>
    <w:p w:rsidR="00604FCE" w:rsidRPr="00B901F7" w:rsidRDefault="00604FCE" w:rsidP="00604FCE">
      <w:pPr>
        <w:pStyle w:val="ShortT"/>
      </w:pPr>
      <w:r w:rsidRPr="00B901F7">
        <w:t xml:space="preserve">Primary Industries (Customs) Charges Amendment </w:t>
      </w:r>
      <w:r w:rsidR="00F15386">
        <w:t>Act</w:t>
      </w:r>
      <w:r w:rsidRPr="00B901F7">
        <w:t xml:space="preserve"> 2013</w:t>
      </w:r>
    </w:p>
    <w:p w:rsidR="00604FCE" w:rsidRPr="00B901F7" w:rsidRDefault="00604FCE" w:rsidP="00604FCE"/>
    <w:p w:rsidR="00604FCE" w:rsidRPr="00B901F7" w:rsidRDefault="00604FCE" w:rsidP="00F15386">
      <w:pPr>
        <w:pStyle w:val="Actno"/>
        <w:spacing w:before="400"/>
      </w:pPr>
      <w:r w:rsidRPr="00B901F7">
        <w:t>No.</w:t>
      </w:r>
      <w:r w:rsidR="007D59F5">
        <w:t xml:space="preserve"> 144</w:t>
      </w:r>
      <w:r w:rsidRPr="00B901F7">
        <w:t>, 2013</w:t>
      </w:r>
    </w:p>
    <w:p w:rsidR="00604FCE" w:rsidRPr="00B901F7" w:rsidRDefault="00604FCE" w:rsidP="00604FCE"/>
    <w:p w:rsidR="00F15386" w:rsidRDefault="00F15386" w:rsidP="00F15386"/>
    <w:p w:rsidR="00F15386" w:rsidRDefault="00F15386" w:rsidP="00F15386"/>
    <w:p w:rsidR="00F15386" w:rsidRDefault="00F15386" w:rsidP="00F15386"/>
    <w:p w:rsidR="00F15386" w:rsidRDefault="00F15386" w:rsidP="00F15386"/>
    <w:p w:rsidR="00604FCE" w:rsidRPr="00B901F7" w:rsidRDefault="00F15386" w:rsidP="00604FCE">
      <w:pPr>
        <w:pStyle w:val="LongT"/>
      </w:pPr>
      <w:r>
        <w:t>An Act</w:t>
      </w:r>
      <w:r w:rsidR="00604FCE" w:rsidRPr="00B901F7">
        <w:t xml:space="preserve"> to amend the law relating to primary industry charges, and for related purposes</w:t>
      </w:r>
    </w:p>
    <w:p w:rsidR="009E34A3" w:rsidRPr="00B901F7" w:rsidRDefault="009E34A3" w:rsidP="009E34A3">
      <w:pPr>
        <w:pStyle w:val="Header"/>
        <w:tabs>
          <w:tab w:val="clear" w:pos="4150"/>
          <w:tab w:val="clear" w:pos="8307"/>
        </w:tabs>
      </w:pPr>
      <w:r w:rsidRPr="00B901F7">
        <w:rPr>
          <w:rStyle w:val="CharAmSchNo"/>
        </w:rPr>
        <w:t xml:space="preserve"> </w:t>
      </w:r>
      <w:r w:rsidRPr="00B901F7">
        <w:rPr>
          <w:rStyle w:val="CharAmSchText"/>
        </w:rPr>
        <w:t xml:space="preserve"> </w:t>
      </w:r>
    </w:p>
    <w:p w:rsidR="009E34A3" w:rsidRPr="00B901F7" w:rsidRDefault="009E34A3" w:rsidP="009E34A3">
      <w:pPr>
        <w:pStyle w:val="Header"/>
        <w:tabs>
          <w:tab w:val="clear" w:pos="4150"/>
          <w:tab w:val="clear" w:pos="8307"/>
        </w:tabs>
      </w:pPr>
      <w:r w:rsidRPr="00B901F7">
        <w:rPr>
          <w:rStyle w:val="CharAmPartNo"/>
        </w:rPr>
        <w:t xml:space="preserve"> </w:t>
      </w:r>
      <w:r w:rsidRPr="00B901F7">
        <w:rPr>
          <w:rStyle w:val="CharAmPartText"/>
        </w:rPr>
        <w:t xml:space="preserve"> </w:t>
      </w:r>
    </w:p>
    <w:p w:rsidR="00604FCE" w:rsidRPr="00B901F7" w:rsidRDefault="00604FCE" w:rsidP="00604FCE">
      <w:pPr>
        <w:sectPr w:rsidR="00604FCE" w:rsidRPr="00B901F7" w:rsidSect="00F153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604FCE" w:rsidRPr="00B901F7" w:rsidRDefault="00604FCE" w:rsidP="00604FCE">
      <w:pPr>
        <w:rPr>
          <w:sz w:val="36"/>
        </w:rPr>
      </w:pPr>
      <w:r w:rsidRPr="00B901F7">
        <w:rPr>
          <w:sz w:val="36"/>
        </w:rPr>
        <w:lastRenderedPageBreak/>
        <w:t>Contents</w:t>
      </w:r>
    </w:p>
    <w:bookmarkStart w:id="0" w:name="BKCheck15B_1"/>
    <w:bookmarkEnd w:id="0"/>
    <w:p w:rsidR="00222EAA" w:rsidRDefault="00222E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22EAA">
        <w:rPr>
          <w:noProof/>
        </w:rPr>
        <w:tab/>
      </w:r>
      <w:r w:rsidRPr="00222EAA">
        <w:rPr>
          <w:noProof/>
        </w:rPr>
        <w:fldChar w:fldCharType="begin"/>
      </w:r>
      <w:r w:rsidRPr="00222EAA">
        <w:rPr>
          <w:noProof/>
        </w:rPr>
        <w:instrText xml:space="preserve"> PAGEREF _Toc375548478 \h </w:instrText>
      </w:r>
      <w:r w:rsidRPr="00222EAA">
        <w:rPr>
          <w:noProof/>
        </w:rPr>
      </w:r>
      <w:r w:rsidRPr="00222EAA">
        <w:rPr>
          <w:noProof/>
        </w:rPr>
        <w:fldChar w:fldCharType="separate"/>
      </w:r>
      <w:r w:rsidR="006E7BB6">
        <w:rPr>
          <w:noProof/>
        </w:rPr>
        <w:t>1</w:t>
      </w:r>
      <w:r w:rsidRPr="00222EAA">
        <w:rPr>
          <w:noProof/>
        </w:rPr>
        <w:fldChar w:fldCharType="end"/>
      </w:r>
    </w:p>
    <w:p w:rsidR="00222EAA" w:rsidRDefault="00222E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2EAA">
        <w:rPr>
          <w:noProof/>
        </w:rPr>
        <w:tab/>
      </w:r>
      <w:r w:rsidRPr="00222EAA">
        <w:rPr>
          <w:noProof/>
        </w:rPr>
        <w:fldChar w:fldCharType="begin"/>
      </w:r>
      <w:r w:rsidRPr="00222EAA">
        <w:rPr>
          <w:noProof/>
        </w:rPr>
        <w:instrText xml:space="preserve"> PAGEREF _Toc375548479 \h </w:instrText>
      </w:r>
      <w:r w:rsidRPr="00222EAA">
        <w:rPr>
          <w:noProof/>
        </w:rPr>
      </w:r>
      <w:r w:rsidRPr="00222EAA">
        <w:rPr>
          <w:noProof/>
        </w:rPr>
        <w:fldChar w:fldCharType="separate"/>
      </w:r>
      <w:r w:rsidR="006E7BB6">
        <w:rPr>
          <w:noProof/>
        </w:rPr>
        <w:t>2</w:t>
      </w:r>
      <w:r w:rsidRPr="00222EAA">
        <w:rPr>
          <w:noProof/>
        </w:rPr>
        <w:fldChar w:fldCharType="end"/>
      </w:r>
    </w:p>
    <w:p w:rsidR="00222EAA" w:rsidRDefault="00222E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222EAA">
        <w:rPr>
          <w:noProof/>
        </w:rPr>
        <w:tab/>
      </w:r>
      <w:r w:rsidRPr="00222EAA">
        <w:rPr>
          <w:noProof/>
        </w:rPr>
        <w:fldChar w:fldCharType="begin"/>
      </w:r>
      <w:r w:rsidRPr="00222EAA">
        <w:rPr>
          <w:noProof/>
        </w:rPr>
        <w:instrText xml:space="preserve"> PAGEREF _Toc375548480 \h </w:instrText>
      </w:r>
      <w:r w:rsidRPr="00222EAA">
        <w:rPr>
          <w:noProof/>
        </w:rPr>
      </w:r>
      <w:r w:rsidRPr="00222EAA">
        <w:rPr>
          <w:noProof/>
        </w:rPr>
        <w:fldChar w:fldCharType="separate"/>
      </w:r>
      <w:r w:rsidR="006E7BB6">
        <w:rPr>
          <w:noProof/>
        </w:rPr>
        <w:t>3</w:t>
      </w:r>
      <w:r w:rsidRPr="00222EAA">
        <w:rPr>
          <w:noProof/>
        </w:rPr>
        <w:fldChar w:fldCharType="end"/>
      </w:r>
    </w:p>
    <w:p w:rsidR="00222EAA" w:rsidRDefault="00222E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2EAA">
        <w:rPr>
          <w:b w:val="0"/>
          <w:noProof/>
          <w:sz w:val="18"/>
        </w:rPr>
        <w:tab/>
      </w:r>
      <w:r w:rsidRPr="00222EAA">
        <w:rPr>
          <w:b w:val="0"/>
          <w:noProof/>
          <w:sz w:val="18"/>
        </w:rPr>
        <w:fldChar w:fldCharType="begin"/>
      </w:r>
      <w:r w:rsidRPr="00222EAA">
        <w:rPr>
          <w:b w:val="0"/>
          <w:noProof/>
          <w:sz w:val="18"/>
        </w:rPr>
        <w:instrText xml:space="preserve"> PAGEREF _Toc375548481 \h </w:instrText>
      </w:r>
      <w:r w:rsidRPr="00222EAA">
        <w:rPr>
          <w:b w:val="0"/>
          <w:noProof/>
          <w:sz w:val="18"/>
        </w:rPr>
      </w:r>
      <w:r w:rsidRPr="00222EAA">
        <w:rPr>
          <w:b w:val="0"/>
          <w:noProof/>
          <w:sz w:val="18"/>
        </w:rPr>
        <w:fldChar w:fldCharType="separate"/>
      </w:r>
      <w:r w:rsidR="006E7BB6">
        <w:rPr>
          <w:b w:val="0"/>
          <w:noProof/>
          <w:sz w:val="18"/>
        </w:rPr>
        <w:t>4</w:t>
      </w:r>
      <w:r w:rsidRPr="00222EAA">
        <w:rPr>
          <w:b w:val="0"/>
          <w:noProof/>
          <w:sz w:val="18"/>
        </w:rPr>
        <w:fldChar w:fldCharType="end"/>
      </w:r>
    </w:p>
    <w:p w:rsidR="00222EAA" w:rsidRDefault="00222E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Act 1999</w:t>
      </w:r>
      <w:r w:rsidRPr="00222EAA">
        <w:rPr>
          <w:i w:val="0"/>
          <w:noProof/>
          <w:sz w:val="18"/>
        </w:rPr>
        <w:tab/>
      </w:r>
      <w:r w:rsidRPr="00222EAA">
        <w:rPr>
          <w:i w:val="0"/>
          <w:noProof/>
          <w:sz w:val="18"/>
        </w:rPr>
        <w:fldChar w:fldCharType="begin"/>
      </w:r>
      <w:r w:rsidRPr="00222EAA">
        <w:rPr>
          <w:i w:val="0"/>
          <w:noProof/>
          <w:sz w:val="18"/>
        </w:rPr>
        <w:instrText xml:space="preserve"> PAGEREF _Toc375548482 \h </w:instrText>
      </w:r>
      <w:r w:rsidRPr="00222EAA">
        <w:rPr>
          <w:i w:val="0"/>
          <w:noProof/>
          <w:sz w:val="18"/>
        </w:rPr>
      </w:r>
      <w:r w:rsidRPr="00222EAA">
        <w:rPr>
          <w:i w:val="0"/>
          <w:noProof/>
          <w:sz w:val="18"/>
        </w:rPr>
        <w:fldChar w:fldCharType="separate"/>
      </w:r>
      <w:r w:rsidR="006E7BB6">
        <w:rPr>
          <w:i w:val="0"/>
          <w:noProof/>
          <w:sz w:val="18"/>
        </w:rPr>
        <w:t>4</w:t>
      </w:r>
      <w:r w:rsidRPr="00222EAA">
        <w:rPr>
          <w:i w:val="0"/>
          <w:noProof/>
          <w:sz w:val="18"/>
        </w:rPr>
        <w:fldChar w:fldCharType="end"/>
      </w:r>
    </w:p>
    <w:p w:rsidR="00222EAA" w:rsidRDefault="00222E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2—Contingent amendments relating to wine production</w:t>
      </w:r>
      <w:r w:rsidRPr="00222EAA">
        <w:rPr>
          <w:b w:val="0"/>
          <w:noProof/>
          <w:sz w:val="18"/>
        </w:rPr>
        <w:tab/>
      </w:r>
      <w:r w:rsidRPr="00222EAA">
        <w:rPr>
          <w:b w:val="0"/>
          <w:noProof/>
          <w:sz w:val="18"/>
        </w:rPr>
        <w:fldChar w:fldCharType="begin"/>
      </w:r>
      <w:r w:rsidRPr="00222EAA">
        <w:rPr>
          <w:b w:val="0"/>
          <w:noProof/>
          <w:sz w:val="18"/>
        </w:rPr>
        <w:instrText xml:space="preserve"> PAGEREF _Toc375548484 \h </w:instrText>
      </w:r>
      <w:r w:rsidRPr="00222EAA">
        <w:rPr>
          <w:b w:val="0"/>
          <w:noProof/>
          <w:sz w:val="18"/>
        </w:rPr>
      </w:r>
      <w:r w:rsidRPr="00222EAA">
        <w:rPr>
          <w:b w:val="0"/>
          <w:noProof/>
          <w:sz w:val="18"/>
        </w:rPr>
        <w:fldChar w:fldCharType="separate"/>
      </w:r>
      <w:r w:rsidR="006E7BB6">
        <w:rPr>
          <w:b w:val="0"/>
          <w:noProof/>
          <w:sz w:val="18"/>
        </w:rPr>
        <w:t>13</w:t>
      </w:r>
      <w:r w:rsidRPr="00222EAA">
        <w:rPr>
          <w:b w:val="0"/>
          <w:noProof/>
          <w:sz w:val="18"/>
        </w:rPr>
        <w:fldChar w:fldCharType="end"/>
      </w:r>
    </w:p>
    <w:p w:rsidR="00222EAA" w:rsidRDefault="00222E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relating to maximum rate of charge</w:t>
      </w:r>
      <w:r w:rsidRPr="00222EAA">
        <w:rPr>
          <w:noProof/>
          <w:sz w:val="18"/>
        </w:rPr>
        <w:tab/>
      </w:r>
      <w:r w:rsidRPr="00222EAA">
        <w:rPr>
          <w:noProof/>
          <w:sz w:val="18"/>
        </w:rPr>
        <w:fldChar w:fldCharType="begin"/>
      </w:r>
      <w:r w:rsidRPr="00222EAA">
        <w:rPr>
          <w:noProof/>
          <w:sz w:val="18"/>
        </w:rPr>
        <w:instrText xml:space="preserve"> PAGEREF _Toc375548485 \h </w:instrText>
      </w:r>
      <w:r w:rsidRPr="00222EAA">
        <w:rPr>
          <w:noProof/>
          <w:sz w:val="18"/>
        </w:rPr>
      </w:r>
      <w:r w:rsidRPr="00222EAA">
        <w:rPr>
          <w:noProof/>
          <w:sz w:val="18"/>
        </w:rPr>
        <w:fldChar w:fldCharType="separate"/>
      </w:r>
      <w:r w:rsidR="006E7BB6">
        <w:rPr>
          <w:noProof/>
          <w:sz w:val="18"/>
        </w:rPr>
        <w:t>13</w:t>
      </w:r>
      <w:r w:rsidRPr="00222EAA">
        <w:rPr>
          <w:noProof/>
          <w:sz w:val="18"/>
        </w:rPr>
        <w:fldChar w:fldCharType="end"/>
      </w:r>
    </w:p>
    <w:p w:rsidR="00222EAA" w:rsidRDefault="00222E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Act 1999</w:t>
      </w:r>
      <w:r w:rsidRPr="00222EAA">
        <w:rPr>
          <w:i w:val="0"/>
          <w:noProof/>
          <w:sz w:val="18"/>
        </w:rPr>
        <w:tab/>
      </w:r>
      <w:r w:rsidRPr="00222EAA">
        <w:rPr>
          <w:i w:val="0"/>
          <w:noProof/>
          <w:sz w:val="18"/>
        </w:rPr>
        <w:fldChar w:fldCharType="begin"/>
      </w:r>
      <w:r w:rsidRPr="00222EAA">
        <w:rPr>
          <w:i w:val="0"/>
          <w:noProof/>
          <w:sz w:val="18"/>
        </w:rPr>
        <w:instrText xml:space="preserve"> PAGEREF _Toc375548486 \h </w:instrText>
      </w:r>
      <w:r w:rsidRPr="00222EAA">
        <w:rPr>
          <w:i w:val="0"/>
          <w:noProof/>
          <w:sz w:val="18"/>
        </w:rPr>
      </w:r>
      <w:r w:rsidRPr="00222EAA">
        <w:rPr>
          <w:i w:val="0"/>
          <w:noProof/>
          <w:sz w:val="18"/>
        </w:rPr>
        <w:fldChar w:fldCharType="separate"/>
      </w:r>
      <w:r w:rsidR="006E7BB6">
        <w:rPr>
          <w:i w:val="0"/>
          <w:noProof/>
          <w:sz w:val="18"/>
        </w:rPr>
        <w:t>13</w:t>
      </w:r>
      <w:r w:rsidRPr="00222EAA">
        <w:rPr>
          <w:i w:val="0"/>
          <w:noProof/>
          <w:sz w:val="18"/>
        </w:rPr>
        <w:fldChar w:fldCharType="end"/>
      </w:r>
    </w:p>
    <w:p w:rsidR="00222EAA" w:rsidRDefault="00222E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222EAA">
        <w:rPr>
          <w:noProof/>
          <w:sz w:val="18"/>
        </w:rPr>
        <w:tab/>
      </w:r>
      <w:r w:rsidRPr="00222EAA">
        <w:rPr>
          <w:noProof/>
          <w:sz w:val="18"/>
        </w:rPr>
        <w:fldChar w:fldCharType="begin"/>
      </w:r>
      <w:r w:rsidRPr="00222EAA">
        <w:rPr>
          <w:noProof/>
          <w:sz w:val="18"/>
        </w:rPr>
        <w:instrText xml:space="preserve"> PAGEREF _Toc375548487 \h </w:instrText>
      </w:r>
      <w:r w:rsidRPr="00222EAA">
        <w:rPr>
          <w:noProof/>
          <w:sz w:val="18"/>
        </w:rPr>
      </w:r>
      <w:r w:rsidRPr="00222EAA">
        <w:rPr>
          <w:noProof/>
          <w:sz w:val="18"/>
        </w:rPr>
        <w:fldChar w:fldCharType="separate"/>
      </w:r>
      <w:r w:rsidR="006E7BB6">
        <w:rPr>
          <w:noProof/>
          <w:sz w:val="18"/>
        </w:rPr>
        <w:t>14</w:t>
      </w:r>
      <w:r w:rsidRPr="00222EAA">
        <w:rPr>
          <w:noProof/>
          <w:sz w:val="18"/>
        </w:rPr>
        <w:fldChar w:fldCharType="end"/>
      </w:r>
    </w:p>
    <w:p w:rsidR="00222EAA" w:rsidRDefault="00222E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Act 1999</w:t>
      </w:r>
      <w:r w:rsidRPr="00222EAA">
        <w:rPr>
          <w:i w:val="0"/>
          <w:noProof/>
          <w:sz w:val="18"/>
        </w:rPr>
        <w:tab/>
      </w:r>
      <w:r w:rsidRPr="00222EAA">
        <w:rPr>
          <w:i w:val="0"/>
          <w:noProof/>
          <w:sz w:val="18"/>
        </w:rPr>
        <w:fldChar w:fldCharType="begin"/>
      </w:r>
      <w:r w:rsidRPr="00222EAA">
        <w:rPr>
          <w:i w:val="0"/>
          <w:noProof/>
          <w:sz w:val="18"/>
        </w:rPr>
        <w:instrText xml:space="preserve"> PAGEREF _Toc375548488 \h </w:instrText>
      </w:r>
      <w:r w:rsidRPr="00222EAA">
        <w:rPr>
          <w:i w:val="0"/>
          <w:noProof/>
          <w:sz w:val="18"/>
        </w:rPr>
      </w:r>
      <w:r w:rsidRPr="00222EAA">
        <w:rPr>
          <w:i w:val="0"/>
          <w:noProof/>
          <w:sz w:val="18"/>
        </w:rPr>
        <w:fldChar w:fldCharType="separate"/>
      </w:r>
      <w:r w:rsidR="006E7BB6">
        <w:rPr>
          <w:i w:val="0"/>
          <w:noProof/>
          <w:sz w:val="18"/>
        </w:rPr>
        <w:t>14</w:t>
      </w:r>
      <w:r w:rsidRPr="00222EAA">
        <w:rPr>
          <w:i w:val="0"/>
          <w:noProof/>
          <w:sz w:val="18"/>
        </w:rPr>
        <w:fldChar w:fldCharType="end"/>
      </w:r>
    </w:p>
    <w:p w:rsidR="00604FCE" w:rsidRPr="00B901F7" w:rsidRDefault="00222EAA" w:rsidP="00604FCE">
      <w:r>
        <w:fldChar w:fldCharType="end"/>
      </w:r>
    </w:p>
    <w:p w:rsidR="00604FCE" w:rsidRPr="00B901F7" w:rsidRDefault="00604FCE" w:rsidP="00604FCE">
      <w:pPr>
        <w:sectPr w:rsidR="00604FCE" w:rsidRPr="00B901F7" w:rsidSect="00F153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15386" w:rsidRDefault="006E7BB6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F15386" w:rsidRDefault="00F15386"/>
    <w:p w:rsidR="00F15386" w:rsidRDefault="00F15386" w:rsidP="00F15386">
      <w:pPr>
        <w:spacing w:line="240" w:lineRule="auto"/>
      </w:pPr>
    </w:p>
    <w:p w:rsidR="00F15386" w:rsidRDefault="001945DE" w:rsidP="00F15386">
      <w:pPr>
        <w:pStyle w:val="ShortTP1"/>
      </w:pPr>
      <w:fldSimple w:instr=" STYLEREF ShortT ">
        <w:r w:rsidR="006E7BB6">
          <w:rPr>
            <w:noProof/>
          </w:rPr>
          <w:t>Primary Industries (Customs) Charges Amendment Act 2013</w:t>
        </w:r>
      </w:fldSimple>
    </w:p>
    <w:p w:rsidR="00F15386" w:rsidRDefault="001945DE" w:rsidP="00F15386">
      <w:pPr>
        <w:pStyle w:val="ActNoP1"/>
      </w:pPr>
      <w:fldSimple w:instr=" STYLEREF Actno ">
        <w:r w:rsidR="006E7BB6">
          <w:rPr>
            <w:noProof/>
          </w:rPr>
          <w:t>No. 144, 2013</w:t>
        </w:r>
      </w:fldSimple>
    </w:p>
    <w:p w:rsidR="00F15386" w:rsidRDefault="00F15386">
      <w:pPr>
        <w:pStyle w:val="p1LinesBef"/>
      </w:pPr>
    </w:p>
    <w:p w:rsidR="00F15386" w:rsidRDefault="00F15386">
      <w:pPr>
        <w:spacing w:line="40" w:lineRule="exact"/>
        <w:rPr>
          <w:b/>
          <w:sz w:val="28"/>
        </w:rPr>
      </w:pPr>
    </w:p>
    <w:p w:rsidR="00F15386" w:rsidRDefault="00F15386">
      <w:pPr>
        <w:pStyle w:val="p1LinesAfter"/>
      </w:pPr>
    </w:p>
    <w:p w:rsidR="00604FCE" w:rsidRPr="00B901F7" w:rsidRDefault="00F15386" w:rsidP="00B901F7">
      <w:pPr>
        <w:pStyle w:val="Page1"/>
      </w:pPr>
      <w:r>
        <w:t>An Act</w:t>
      </w:r>
      <w:r w:rsidR="00B901F7" w:rsidRPr="00B901F7">
        <w:t xml:space="preserve"> to amend the law relating to primary industry charges, and for related purposes</w:t>
      </w:r>
    </w:p>
    <w:p w:rsidR="007D59F5" w:rsidRDefault="007D59F5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2013</w:t>
      </w:r>
      <w:r>
        <w:rPr>
          <w:sz w:val="24"/>
        </w:rPr>
        <w:t>]</w:t>
      </w:r>
    </w:p>
    <w:p w:rsidR="00604FCE" w:rsidRPr="00B901F7" w:rsidRDefault="00604FCE" w:rsidP="00B901F7">
      <w:pPr>
        <w:spacing w:before="240" w:line="240" w:lineRule="auto"/>
        <w:rPr>
          <w:sz w:val="32"/>
        </w:rPr>
      </w:pPr>
      <w:r w:rsidRPr="00B901F7">
        <w:rPr>
          <w:sz w:val="32"/>
        </w:rPr>
        <w:t>The Parliament of Australia enacts:</w:t>
      </w:r>
    </w:p>
    <w:p w:rsidR="00604FCE" w:rsidRPr="00B901F7" w:rsidRDefault="00604FCE" w:rsidP="00B901F7">
      <w:pPr>
        <w:pStyle w:val="ActHead5"/>
      </w:pPr>
      <w:bookmarkStart w:id="1" w:name="_Toc375548478"/>
      <w:r w:rsidRPr="00B901F7">
        <w:rPr>
          <w:rStyle w:val="CharSectno"/>
        </w:rPr>
        <w:t>1</w:t>
      </w:r>
      <w:r w:rsidRPr="00B901F7">
        <w:t xml:space="preserve">  Short title</w:t>
      </w:r>
      <w:bookmarkEnd w:id="1"/>
    </w:p>
    <w:p w:rsidR="00604FCE" w:rsidRPr="00B901F7" w:rsidRDefault="00604FCE" w:rsidP="00B901F7">
      <w:pPr>
        <w:pStyle w:val="subsection"/>
      </w:pPr>
      <w:r w:rsidRPr="00B901F7">
        <w:tab/>
      </w:r>
      <w:r w:rsidRPr="00B901F7">
        <w:tab/>
        <w:t xml:space="preserve">This Act may be cited as the </w:t>
      </w:r>
      <w:r w:rsidRPr="00B901F7">
        <w:rPr>
          <w:i/>
        </w:rPr>
        <w:t>Primary Industries (Customs) Charges Amendment Act 2013.</w:t>
      </w:r>
    </w:p>
    <w:p w:rsidR="009F0AFA" w:rsidRPr="00B901F7" w:rsidRDefault="009F0AFA" w:rsidP="00B901F7">
      <w:pPr>
        <w:pStyle w:val="ActHead5"/>
      </w:pPr>
      <w:bookmarkStart w:id="2" w:name="_Toc375548479"/>
      <w:r w:rsidRPr="00B901F7">
        <w:rPr>
          <w:rStyle w:val="CharSectno"/>
        </w:rPr>
        <w:t>2</w:t>
      </w:r>
      <w:r w:rsidRPr="00B901F7">
        <w:t xml:space="preserve">  Commencement</w:t>
      </w:r>
      <w:bookmarkEnd w:id="2"/>
    </w:p>
    <w:p w:rsidR="009F0AFA" w:rsidRPr="00B901F7" w:rsidRDefault="009F0AFA" w:rsidP="00B901F7">
      <w:pPr>
        <w:pStyle w:val="subsection"/>
      </w:pPr>
      <w:r w:rsidRPr="00B901F7">
        <w:tab/>
        <w:t>(1)</w:t>
      </w:r>
      <w:r w:rsidRPr="00B901F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F0AFA" w:rsidRPr="00B901F7" w:rsidRDefault="009F0AFA" w:rsidP="00B901F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9F0AFA" w:rsidRPr="00B901F7" w:rsidTr="005976E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Commencement information</w:t>
            </w:r>
          </w:p>
        </w:tc>
      </w:tr>
      <w:tr w:rsidR="009F0AFA" w:rsidRPr="00B901F7" w:rsidTr="005976E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Column 3</w:t>
            </w:r>
          </w:p>
        </w:tc>
      </w:tr>
      <w:tr w:rsidR="009F0AFA" w:rsidRPr="00B901F7" w:rsidTr="005976E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Heading"/>
            </w:pPr>
            <w:r w:rsidRPr="00B901F7">
              <w:t>Date/Details</w:t>
            </w:r>
          </w:p>
        </w:tc>
      </w:tr>
      <w:tr w:rsidR="009F0AFA" w:rsidRPr="00B901F7" w:rsidTr="005976E2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text"/>
            </w:pPr>
            <w:r w:rsidRPr="00B901F7">
              <w:t>1.  Sections</w:t>
            </w:r>
            <w:r w:rsidR="00B901F7" w:rsidRPr="00B901F7">
              <w:t> </w:t>
            </w:r>
            <w:r w:rsidRPr="00B901F7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9F0AFA" w:rsidRPr="00B901F7" w:rsidRDefault="009F0AFA" w:rsidP="00B901F7">
            <w:pPr>
              <w:pStyle w:val="Tabletext"/>
            </w:pPr>
            <w:r w:rsidRPr="00B901F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9F0AFA" w:rsidRPr="00B901F7" w:rsidRDefault="00222EAA" w:rsidP="00B901F7">
            <w:pPr>
              <w:pStyle w:val="Tabletext"/>
            </w:pPr>
            <w:r>
              <w:t>13 December 2013</w:t>
            </w:r>
          </w:p>
        </w:tc>
      </w:tr>
      <w:tr w:rsidR="009F0AFA" w:rsidRPr="00B901F7" w:rsidTr="005976E2">
        <w:tc>
          <w:tcPr>
            <w:tcW w:w="1701" w:type="dxa"/>
            <w:shd w:val="clear" w:color="auto" w:fill="auto"/>
          </w:tcPr>
          <w:p w:rsidR="009F0AFA" w:rsidRPr="00B901F7" w:rsidRDefault="009F0AFA" w:rsidP="00B901F7">
            <w:pPr>
              <w:pStyle w:val="Tabletext"/>
            </w:pPr>
            <w:r w:rsidRPr="00B901F7">
              <w:t>2.  Schedule</w:t>
            </w:r>
            <w:r w:rsidR="00B901F7" w:rsidRPr="00B901F7">
              <w:t> </w:t>
            </w:r>
            <w:r w:rsidRPr="00B901F7">
              <w:t xml:space="preserve">1 </w:t>
            </w:r>
          </w:p>
        </w:tc>
        <w:tc>
          <w:tcPr>
            <w:tcW w:w="3828" w:type="dxa"/>
            <w:shd w:val="clear" w:color="auto" w:fill="auto"/>
          </w:tcPr>
          <w:p w:rsidR="009F0AFA" w:rsidRPr="00B901F7" w:rsidRDefault="009F0AFA" w:rsidP="00B901F7">
            <w:pPr>
              <w:pStyle w:val="Tabletext"/>
            </w:pPr>
            <w:r w:rsidRPr="00B901F7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9F0AFA" w:rsidRPr="00B901F7" w:rsidRDefault="00222EAA" w:rsidP="00B901F7">
            <w:pPr>
              <w:pStyle w:val="Tabletext"/>
            </w:pPr>
            <w:r>
              <w:t>13 December 2013</w:t>
            </w:r>
          </w:p>
        </w:tc>
      </w:tr>
      <w:tr w:rsidR="008C34AA" w:rsidRPr="00B901F7" w:rsidTr="005976E2">
        <w:tc>
          <w:tcPr>
            <w:tcW w:w="1701" w:type="dxa"/>
            <w:shd w:val="clear" w:color="auto" w:fill="auto"/>
          </w:tcPr>
          <w:p w:rsidR="008C34AA" w:rsidRPr="00B901F7" w:rsidRDefault="008C34AA" w:rsidP="00B901F7">
            <w:pPr>
              <w:pStyle w:val="Tabletext"/>
            </w:pPr>
            <w:r w:rsidRPr="00B901F7">
              <w:t>3.  Schedule</w:t>
            </w:r>
            <w:r w:rsidR="00B901F7" w:rsidRPr="00B901F7">
              <w:t> </w:t>
            </w:r>
            <w:r w:rsidRPr="00B901F7">
              <w:t>2, Part</w:t>
            </w:r>
            <w:r w:rsidR="00B901F7" w:rsidRPr="00B901F7">
              <w:t> </w:t>
            </w:r>
            <w:r w:rsidRPr="00B901F7">
              <w:t>1</w:t>
            </w:r>
          </w:p>
        </w:tc>
        <w:tc>
          <w:tcPr>
            <w:tcW w:w="3828" w:type="dxa"/>
            <w:shd w:val="clear" w:color="auto" w:fill="auto"/>
          </w:tcPr>
          <w:p w:rsidR="008C34AA" w:rsidRPr="00B901F7" w:rsidRDefault="008C34AA" w:rsidP="00B901F7">
            <w:pPr>
              <w:pStyle w:val="Tabletext"/>
            </w:pPr>
            <w:r w:rsidRPr="00B901F7">
              <w:t>At the same time as the provision(s) covered by table item</w:t>
            </w:r>
            <w:r w:rsidR="00B901F7" w:rsidRPr="00B901F7">
              <w:t> </w:t>
            </w:r>
            <w:r w:rsidRPr="00B901F7">
              <w:t>2.</w:t>
            </w:r>
          </w:p>
          <w:p w:rsidR="008C34AA" w:rsidRPr="00B901F7" w:rsidRDefault="008C34AA" w:rsidP="00B901F7">
            <w:pPr>
              <w:pStyle w:val="Tabletext"/>
            </w:pPr>
            <w:r w:rsidRPr="00B901F7">
              <w:t>However, the provision(s) do not commence at all if Schedule</w:t>
            </w:r>
            <w:r w:rsidR="00B901F7" w:rsidRPr="00B901F7">
              <w:t> </w:t>
            </w:r>
            <w:r w:rsidRPr="00B901F7">
              <w:t xml:space="preserve">1 to the </w:t>
            </w:r>
            <w:r w:rsidRPr="00B901F7">
              <w:rPr>
                <w:i/>
              </w:rPr>
              <w:t xml:space="preserve">Primary Industries (Customs) Charges Amendment (Australian Grape and Wine Authority) Act 2013 </w:t>
            </w:r>
            <w:r w:rsidRPr="00B901F7">
              <w:t>commences at or before that time.</w:t>
            </w:r>
          </w:p>
        </w:tc>
        <w:tc>
          <w:tcPr>
            <w:tcW w:w="1582" w:type="dxa"/>
            <w:shd w:val="clear" w:color="auto" w:fill="auto"/>
          </w:tcPr>
          <w:p w:rsidR="008C34AA" w:rsidRPr="00B901F7" w:rsidRDefault="00222EAA" w:rsidP="00B901F7">
            <w:pPr>
              <w:pStyle w:val="Tabletext"/>
            </w:pPr>
            <w:r>
              <w:t>13 December 2013</w:t>
            </w:r>
          </w:p>
        </w:tc>
      </w:tr>
      <w:tr w:rsidR="009F0AFA" w:rsidRPr="00B901F7" w:rsidTr="00D165BB">
        <w:tc>
          <w:tcPr>
            <w:tcW w:w="1701" w:type="dxa"/>
            <w:shd w:val="clear" w:color="auto" w:fill="auto"/>
          </w:tcPr>
          <w:p w:rsidR="009F0AFA" w:rsidRPr="00B901F7" w:rsidRDefault="008C34AA" w:rsidP="00B901F7">
            <w:pPr>
              <w:pStyle w:val="Tabletext"/>
            </w:pPr>
            <w:r w:rsidRPr="00B901F7">
              <w:t>4</w:t>
            </w:r>
            <w:r w:rsidR="009F0AFA" w:rsidRPr="00B901F7">
              <w:t>.  Schedule</w:t>
            </w:r>
            <w:r w:rsidR="00B901F7" w:rsidRPr="00B901F7">
              <w:t> </w:t>
            </w:r>
            <w:r w:rsidR="009F0AFA" w:rsidRPr="00B901F7">
              <w:t>2</w:t>
            </w:r>
            <w:r w:rsidR="006A2CD7" w:rsidRPr="00B901F7">
              <w:t xml:space="preserve">, </w:t>
            </w:r>
            <w:r w:rsidRPr="00B901F7">
              <w:t>Part</w:t>
            </w:r>
            <w:r w:rsidR="00B901F7" w:rsidRPr="00B901F7">
              <w:t> </w:t>
            </w:r>
            <w:r w:rsidRPr="00B901F7">
              <w:t>2</w:t>
            </w:r>
          </w:p>
        </w:tc>
        <w:tc>
          <w:tcPr>
            <w:tcW w:w="3828" w:type="dxa"/>
            <w:shd w:val="clear" w:color="auto" w:fill="auto"/>
          </w:tcPr>
          <w:p w:rsidR="007C629F" w:rsidRPr="00B901F7" w:rsidRDefault="007C629F" w:rsidP="00B901F7">
            <w:pPr>
              <w:pStyle w:val="Tabletext"/>
            </w:pPr>
            <w:r w:rsidRPr="00B901F7">
              <w:t>The later of:</w:t>
            </w:r>
          </w:p>
          <w:p w:rsidR="007C629F" w:rsidRPr="00B901F7" w:rsidRDefault="007C629F" w:rsidP="00B901F7">
            <w:pPr>
              <w:pStyle w:val="Tablea"/>
            </w:pPr>
            <w:r w:rsidRPr="00B901F7">
              <w:t>(a) the start of the day on which this Act receives the Royal Assent; and</w:t>
            </w:r>
          </w:p>
          <w:p w:rsidR="007C629F" w:rsidRPr="00B901F7" w:rsidRDefault="007C629F" w:rsidP="00B901F7">
            <w:pPr>
              <w:pStyle w:val="Tablea"/>
            </w:pPr>
            <w:r w:rsidRPr="00B901F7">
              <w:t>(b) immediately after the commencement of Schedule</w:t>
            </w:r>
            <w:r w:rsidR="00B901F7" w:rsidRPr="00B901F7">
              <w:t> </w:t>
            </w:r>
            <w:r w:rsidRPr="00B901F7">
              <w:t xml:space="preserve">1 to the </w:t>
            </w:r>
            <w:r w:rsidR="00E15607" w:rsidRPr="00B901F7">
              <w:rPr>
                <w:i/>
              </w:rPr>
              <w:t>Primary Industries (Customs) Charges Amendment (Australian Grape and Wine Authority) Act 2013</w:t>
            </w:r>
            <w:r w:rsidR="00D165BB" w:rsidRPr="00B901F7">
              <w:t>.</w:t>
            </w:r>
          </w:p>
          <w:p w:rsidR="00D165BB" w:rsidRPr="00B901F7" w:rsidRDefault="007C629F" w:rsidP="00B901F7">
            <w:pPr>
              <w:pStyle w:val="Tabletext"/>
            </w:pPr>
            <w:r w:rsidRPr="00B901F7">
              <w:t xml:space="preserve">However, the provision(s) do not commence at all if the event mentioned in </w:t>
            </w:r>
            <w:r w:rsidR="00B901F7" w:rsidRPr="00B901F7">
              <w:t>paragraph (</w:t>
            </w:r>
            <w:r w:rsidRPr="00B901F7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9F0AFA" w:rsidRDefault="00222EAA" w:rsidP="00B901F7">
            <w:pPr>
              <w:pStyle w:val="Tabletext"/>
            </w:pPr>
            <w:r>
              <w:t>1 July 2014</w:t>
            </w:r>
          </w:p>
          <w:p w:rsidR="00222EAA" w:rsidRPr="00222EAA" w:rsidRDefault="00222EAA" w:rsidP="00B901F7">
            <w:pPr>
              <w:pStyle w:val="Tabletext"/>
            </w:pPr>
            <w:r>
              <w:t>(paragraph (b) applies)</w:t>
            </w:r>
          </w:p>
        </w:tc>
      </w:tr>
    </w:tbl>
    <w:p w:rsidR="00604FCE" w:rsidRPr="00B901F7" w:rsidRDefault="009F0AFA" w:rsidP="00B901F7">
      <w:pPr>
        <w:pStyle w:val="notetext"/>
        <w:rPr>
          <w:snapToGrid w:val="0"/>
          <w:lang w:eastAsia="en-US"/>
        </w:rPr>
      </w:pPr>
      <w:r w:rsidRPr="00B901F7">
        <w:rPr>
          <w:snapToGrid w:val="0"/>
          <w:lang w:eastAsia="en-US"/>
        </w:rPr>
        <w:t xml:space="preserve">Note: </w:t>
      </w:r>
      <w:r w:rsidRPr="00B901F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52FCC" w:rsidRPr="00B901F7" w:rsidRDefault="00D52FCC" w:rsidP="00B901F7">
      <w:pPr>
        <w:pStyle w:val="subsection"/>
      </w:pPr>
      <w:r w:rsidRPr="00B901F7">
        <w:tab/>
        <w:t>(2)</w:t>
      </w:r>
      <w:r w:rsidRPr="00B901F7">
        <w:tab/>
        <w:t>Any information in column 3 of the table is not part of this Act. Information may be inserted in this column, or information in it may be edited, in any published version of this Act.</w:t>
      </w:r>
    </w:p>
    <w:p w:rsidR="00604FCE" w:rsidRPr="00B901F7" w:rsidRDefault="00604FCE" w:rsidP="00B901F7">
      <w:pPr>
        <w:pStyle w:val="ActHead5"/>
      </w:pPr>
      <w:bookmarkStart w:id="3" w:name="_Toc375548480"/>
      <w:r w:rsidRPr="00B901F7">
        <w:rPr>
          <w:rStyle w:val="CharSectno"/>
        </w:rPr>
        <w:t>3</w:t>
      </w:r>
      <w:r w:rsidRPr="00B901F7">
        <w:t xml:space="preserve">  Schedule(s)</w:t>
      </w:r>
      <w:bookmarkEnd w:id="3"/>
    </w:p>
    <w:p w:rsidR="00604FCE" w:rsidRPr="00B901F7" w:rsidRDefault="00604FCE" w:rsidP="00B901F7">
      <w:pPr>
        <w:pStyle w:val="subsection"/>
      </w:pPr>
      <w:r w:rsidRPr="00B901F7">
        <w:tab/>
      </w:r>
      <w:r w:rsidRPr="00B901F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604FCE" w:rsidRPr="00B901F7" w:rsidRDefault="00604FCE" w:rsidP="00B901F7">
      <w:pPr>
        <w:pStyle w:val="ActHead6"/>
        <w:pageBreakBefore/>
      </w:pPr>
      <w:bookmarkStart w:id="4" w:name="opcAmSched"/>
      <w:bookmarkStart w:id="5" w:name="_Toc375548481"/>
      <w:r w:rsidRPr="00B901F7">
        <w:rPr>
          <w:rStyle w:val="CharAmSchNo"/>
        </w:rPr>
        <w:t>Schedule</w:t>
      </w:r>
      <w:r w:rsidR="00B901F7" w:rsidRPr="00B901F7">
        <w:rPr>
          <w:rStyle w:val="CharAmSchNo"/>
        </w:rPr>
        <w:t> </w:t>
      </w:r>
      <w:r w:rsidRPr="00B901F7">
        <w:rPr>
          <w:rStyle w:val="CharAmSchNo"/>
        </w:rPr>
        <w:t>1</w:t>
      </w:r>
      <w:r w:rsidRPr="00B901F7">
        <w:t>—</w:t>
      </w:r>
      <w:r w:rsidRPr="00B901F7">
        <w:rPr>
          <w:rStyle w:val="CharAmSchText"/>
        </w:rPr>
        <w:t>Amendments</w:t>
      </w:r>
      <w:bookmarkEnd w:id="5"/>
    </w:p>
    <w:bookmarkEnd w:id="4"/>
    <w:p w:rsidR="00604FCE" w:rsidRPr="00B901F7" w:rsidRDefault="00604FCE" w:rsidP="00B901F7">
      <w:pPr>
        <w:pStyle w:val="Header"/>
      </w:pPr>
      <w:r w:rsidRPr="00B901F7">
        <w:rPr>
          <w:rStyle w:val="CharAmPartNo"/>
        </w:rPr>
        <w:t xml:space="preserve"> </w:t>
      </w:r>
      <w:r w:rsidRPr="00B901F7">
        <w:rPr>
          <w:rStyle w:val="CharAmPartText"/>
        </w:rPr>
        <w:t xml:space="preserve"> </w:t>
      </w:r>
    </w:p>
    <w:p w:rsidR="00604FCE" w:rsidRPr="00B901F7" w:rsidRDefault="00604FCE" w:rsidP="00B901F7">
      <w:pPr>
        <w:pStyle w:val="ActHead9"/>
        <w:rPr>
          <w:i w:val="0"/>
        </w:rPr>
      </w:pPr>
      <w:bookmarkStart w:id="6" w:name="_Toc375548482"/>
      <w:r w:rsidRPr="00B901F7">
        <w:t>Primary Industries (Customs) Charges Act 1999</w:t>
      </w:r>
      <w:bookmarkEnd w:id="6"/>
    </w:p>
    <w:p w:rsidR="00604FCE" w:rsidRPr="00B901F7" w:rsidRDefault="00C33395" w:rsidP="00B901F7">
      <w:pPr>
        <w:pStyle w:val="ItemHead"/>
      </w:pPr>
      <w:r w:rsidRPr="00B901F7">
        <w:t>1</w:t>
      </w:r>
      <w:r w:rsidR="00604FCE" w:rsidRPr="00B901F7">
        <w:t xml:space="preserve">  Section</w:t>
      </w:r>
      <w:r w:rsidR="00B901F7" w:rsidRPr="00B901F7">
        <w:t> </w:t>
      </w:r>
      <w:r w:rsidR="00604FCE" w:rsidRPr="00B901F7">
        <w:t>3</w:t>
      </w:r>
    </w:p>
    <w:p w:rsidR="00604FCE" w:rsidRPr="00B901F7" w:rsidRDefault="00604FCE" w:rsidP="00B901F7">
      <w:pPr>
        <w:pStyle w:val="Item"/>
      </w:pPr>
      <w:r w:rsidRPr="00B901F7">
        <w:t>Omit “sets out”, substitute “also deals with”.</w:t>
      </w:r>
    </w:p>
    <w:p w:rsidR="00604FCE" w:rsidRPr="00B901F7" w:rsidRDefault="00C33395" w:rsidP="00B901F7">
      <w:pPr>
        <w:pStyle w:val="ItemHead"/>
      </w:pPr>
      <w:r w:rsidRPr="00B901F7">
        <w:t>2</w:t>
      </w:r>
      <w:r w:rsidR="00604FCE" w:rsidRPr="00B901F7">
        <w:t xml:space="preserve">  Paragraph 2(a) of Schedule</w:t>
      </w:r>
      <w:r w:rsidR="00B901F7" w:rsidRPr="00B901F7">
        <w:t> </w:t>
      </w:r>
      <w:r w:rsidR="00604FCE" w:rsidRPr="00B901F7">
        <w:t>1</w:t>
      </w:r>
    </w:p>
    <w:p w:rsidR="00604FCE" w:rsidRPr="00B901F7" w:rsidRDefault="00604FCE" w:rsidP="00B901F7">
      <w:pPr>
        <w:pStyle w:val="Item"/>
      </w:pPr>
      <w:r w:rsidRPr="00B901F7">
        <w:t>Omit “(not exceeding $18.00)”.</w:t>
      </w:r>
    </w:p>
    <w:p w:rsidR="00604FCE" w:rsidRPr="00B901F7" w:rsidRDefault="00C33395" w:rsidP="00B901F7">
      <w:pPr>
        <w:pStyle w:val="ItemHead"/>
      </w:pPr>
      <w:r w:rsidRPr="00B901F7">
        <w:t>3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2 of Schedule</w:t>
      </w:r>
      <w:r w:rsidR="00B901F7" w:rsidRPr="00B901F7">
        <w:t> </w:t>
      </w:r>
      <w:r w:rsidR="00604FCE" w:rsidRPr="00B901F7">
        <w:t>1 (note 1)</w:t>
      </w:r>
    </w:p>
    <w:p w:rsidR="00604FCE" w:rsidRPr="00B901F7" w:rsidRDefault="00604FCE" w:rsidP="00B901F7">
      <w:pPr>
        <w:pStyle w:val="Item"/>
      </w:pPr>
      <w:r w:rsidRPr="00B901F7">
        <w:t>Omit “</w:t>
      </w:r>
      <w:r w:rsidRPr="00B901F7">
        <w:rPr>
          <w:i/>
        </w:rPr>
        <w:t>and Energy</w:t>
      </w:r>
      <w:r w:rsidRPr="00B901F7">
        <w:t>”.</w:t>
      </w:r>
    </w:p>
    <w:p w:rsidR="00604FCE" w:rsidRPr="00B901F7" w:rsidRDefault="00C33395" w:rsidP="00B901F7">
      <w:pPr>
        <w:pStyle w:val="ItemHead"/>
      </w:pPr>
      <w:r w:rsidRPr="00B901F7">
        <w:t>4</w:t>
      </w:r>
      <w:r w:rsidR="00604FCE" w:rsidRPr="00B901F7">
        <w:t xml:space="preserve">  After clause</w:t>
      </w:r>
      <w:r w:rsidR="00B901F7" w:rsidRPr="00B901F7">
        <w:t> </w:t>
      </w:r>
      <w:r w:rsidR="00604FCE" w:rsidRPr="00B901F7">
        <w:t>3 of Schedule</w:t>
      </w:r>
      <w:r w:rsidR="00B901F7" w:rsidRPr="00B901F7">
        <w:t> </w:t>
      </w:r>
      <w:r w:rsidR="00604FCE" w:rsidRPr="00B901F7">
        <w:t>1</w:t>
      </w:r>
    </w:p>
    <w:p w:rsidR="00604FCE" w:rsidRPr="00B901F7" w:rsidRDefault="00604FCE" w:rsidP="00B901F7">
      <w:pPr>
        <w:pStyle w:val="Item"/>
      </w:pPr>
      <w:r w:rsidRPr="00B901F7">
        <w:t>Insert:</w:t>
      </w:r>
    </w:p>
    <w:p w:rsidR="00604FCE" w:rsidRPr="00B901F7" w:rsidRDefault="00604FCE" w:rsidP="00B901F7">
      <w:pPr>
        <w:pStyle w:val="ActHead5"/>
      </w:pPr>
      <w:bookmarkStart w:id="7" w:name="_Toc375548483"/>
      <w:r w:rsidRPr="00B901F7">
        <w:rPr>
          <w:rStyle w:val="CharSectno"/>
        </w:rPr>
        <w:t>3A</w:t>
      </w:r>
      <w:r w:rsidRPr="00B901F7">
        <w:t xml:space="preserve">  Regulations</w:t>
      </w:r>
      <w:bookmarkEnd w:id="7"/>
    </w:p>
    <w:p w:rsidR="00604FCE" w:rsidRPr="00B901F7" w:rsidRDefault="00604FCE" w:rsidP="00B901F7">
      <w:pPr>
        <w:pStyle w:val="subsection"/>
      </w:pPr>
      <w:r w:rsidRPr="00B901F7">
        <w:tab/>
        <w:t>(1)</w:t>
      </w:r>
      <w:r w:rsidRPr="00B901F7">
        <w:tab/>
        <w:t xml:space="preserve">The Minister may, by notice in the </w:t>
      </w:r>
      <w:r w:rsidRPr="00B901F7">
        <w:rPr>
          <w:i/>
        </w:rPr>
        <w:t>Gazette</w:t>
      </w:r>
      <w:r w:rsidRPr="00B901F7">
        <w:t>, declare a body to be the body whose recommendations about the amount to be prescribed for the purposes of paragraph</w:t>
      </w:r>
      <w:r w:rsidR="00B901F7" w:rsidRPr="00B901F7">
        <w:t> </w:t>
      </w:r>
      <w:r w:rsidRPr="00B901F7">
        <w:t xml:space="preserve">2(a) of this Schedule are to be taken into consideration under </w:t>
      </w:r>
      <w:r w:rsidR="00B901F7" w:rsidRPr="00B901F7">
        <w:t>subclause (</w:t>
      </w:r>
      <w:r w:rsidRPr="00B901F7">
        <w:t>2).</w:t>
      </w:r>
    </w:p>
    <w:p w:rsidR="00604FCE" w:rsidRPr="00B901F7" w:rsidRDefault="00604FCE" w:rsidP="00B901F7">
      <w:pPr>
        <w:pStyle w:val="subsection"/>
      </w:pPr>
      <w:r w:rsidRPr="00B901F7">
        <w:tab/>
        <w:t>(2)</w:t>
      </w:r>
      <w:r w:rsidRPr="00B901F7">
        <w:tab/>
        <w:t xml:space="preserve">If a declaration is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for the purposes of paragraph</w:t>
      </w:r>
      <w:r w:rsidR="00B901F7" w:rsidRPr="00B901F7">
        <w:t> </w:t>
      </w:r>
      <w:r w:rsidRPr="00B901F7">
        <w:t>2(a) of this Schedule, the Minister must take into consideration any relevant recommendation made to the Minister by the body specified in the declaration.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 xml:space="preserve">If there is no declaration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for the purposes of paragraph</w:t>
      </w:r>
      <w:r w:rsidR="00B901F7" w:rsidRPr="00B901F7">
        <w:t> </w:t>
      </w:r>
      <w:r w:rsidRPr="00B901F7">
        <w:t>2(a) of this Schedule, the Minister must take into consideration any relevant recommendation made to the Minister by the Rural Industries Research and Development Corporation.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>Before the Rural Industries Research and Development Corporation makes such a recommendation to the Minister, the Corporation must consult with the persons who are required to pay the charge concerned.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2(a) of this Schedule, prescribe an amount greater than the amount recommended to the Minister under </w:t>
      </w:r>
      <w:r w:rsidR="00B901F7" w:rsidRPr="00B901F7">
        <w:t>subclause (</w:t>
      </w:r>
      <w:r w:rsidRPr="00B901F7">
        <w:t>2) or (3).</w:t>
      </w:r>
    </w:p>
    <w:p w:rsidR="00604FCE" w:rsidRPr="00B901F7" w:rsidRDefault="00C33395" w:rsidP="00B901F7">
      <w:pPr>
        <w:pStyle w:val="ItemHead"/>
      </w:pPr>
      <w:r w:rsidRPr="00B901F7">
        <w:t>5</w:t>
      </w:r>
      <w:r w:rsidR="00604FCE" w:rsidRPr="00B901F7">
        <w:t xml:space="preserve">  Paragraph 3(1)(a) of Schedule</w:t>
      </w:r>
      <w:r w:rsidR="00B901F7" w:rsidRPr="00B901F7">
        <w:t> </w:t>
      </w:r>
      <w:r w:rsidR="00604FCE" w:rsidRPr="00B901F7">
        <w:t>2</w:t>
      </w:r>
    </w:p>
    <w:p w:rsidR="00604FCE" w:rsidRPr="00B901F7" w:rsidRDefault="00604FCE" w:rsidP="00B901F7">
      <w:pPr>
        <w:pStyle w:val="Item"/>
      </w:pPr>
      <w:r w:rsidRPr="00B901F7">
        <w:t>Omit “(not exceeding 3 cents)”.</w:t>
      </w:r>
    </w:p>
    <w:p w:rsidR="00604FCE" w:rsidRPr="00B901F7" w:rsidRDefault="00C33395" w:rsidP="00B901F7">
      <w:pPr>
        <w:pStyle w:val="ItemHead"/>
      </w:pPr>
      <w:r w:rsidRPr="00B901F7">
        <w:t>6</w:t>
      </w:r>
      <w:r w:rsidR="00604FCE" w:rsidRPr="00B901F7">
        <w:t xml:space="preserve">  Paragraph 3(1)(b) of Schedule</w:t>
      </w:r>
      <w:r w:rsidR="00B901F7" w:rsidRPr="00B901F7">
        <w:t> </w:t>
      </w:r>
      <w:r w:rsidR="00604FCE" w:rsidRPr="00B901F7">
        <w:t>2</w:t>
      </w:r>
    </w:p>
    <w:p w:rsidR="00604FCE" w:rsidRPr="00B901F7" w:rsidRDefault="00604FCE" w:rsidP="00B901F7">
      <w:pPr>
        <w:pStyle w:val="Item"/>
      </w:pPr>
      <w:r w:rsidRPr="00B901F7">
        <w:t>Omit “(not exceeding 0.5 cent)”.</w:t>
      </w:r>
    </w:p>
    <w:p w:rsidR="00604FCE" w:rsidRPr="00B901F7" w:rsidRDefault="00C33395" w:rsidP="00B901F7">
      <w:pPr>
        <w:pStyle w:val="ItemHead"/>
      </w:pPr>
      <w:r w:rsidRPr="00B901F7">
        <w:t>7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2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 xml:space="preserve">If there is no declaration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prescribing an amount for the purposes of paragraph</w:t>
      </w:r>
      <w:r w:rsidR="00B901F7" w:rsidRPr="00B901F7">
        <w:t> </w:t>
      </w:r>
      <w:r w:rsidRPr="00B901F7">
        <w:t>3(1)(a) or 3(1)(b) of this Schedule, the Minister must take into consideration any relevant recommendation made to the Minister by:</w:t>
      </w:r>
    </w:p>
    <w:p w:rsidR="00604FCE" w:rsidRPr="00B901F7" w:rsidRDefault="00604FCE" w:rsidP="00B901F7">
      <w:pPr>
        <w:pStyle w:val="paragraph"/>
      </w:pPr>
      <w:r w:rsidRPr="00B901F7">
        <w:tab/>
        <w:t>(a)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3(1)(a) of this Schedule—the live</w:t>
      </w:r>
      <w:r w:rsidR="00983C11">
        <w:noBreakHyphen/>
      </w:r>
      <w:r w:rsidRPr="00B901F7">
        <w:t>stock export marketing body; and</w:t>
      </w:r>
    </w:p>
    <w:p w:rsidR="00604FCE" w:rsidRPr="00B901F7" w:rsidRDefault="00604FCE" w:rsidP="00B901F7">
      <w:pPr>
        <w:pStyle w:val="paragraph"/>
      </w:pPr>
      <w:r w:rsidRPr="00B901F7">
        <w:tab/>
        <w:t>(b)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3(1)(b) of this Schedule—the live</w:t>
      </w:r>
      <w:r w:rsidR="00983C11">
        <w:noBreakHyphen/>
      </w:r>
      <w:r w:rsidRPr="00B901F7">
        <w:t>stock export research body.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 xml:space="preserve">Before a body mentioned in </w:t>
      </w:r>
      <w:r w:rsidR="00B901F7" w:rsidRPr="00B901F7">
        <w:t>subclause (</w:t>
      </w:r>
      <w:r w:rsidRPr="00B901F7">
        <w:t>3) makes such a recommendation to the Minister, the body must consult with the persons who are required to pay the charge concerned.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3(1)(a) or 3(1)(b) of this Schedule, prescribe an amount greater than the amount recommended to the Minister for the purposes of that paragraph under </w:t>
      </w:r>
      <w:r w:rsidR="00B901F7" w:rsidRPr="00B901F7">
        <w:t>subclause (</w:t>
      </w:r>
      <w:r w:rsidRPr="00B901F7">
        <w:t>2) or (3).</w:t>
      </w:r>
    </w:p>
    <w:p w:rsidR="00604FCE" w:rsidRPr="00B901F7" w:rsidRDefault="00C33395" w:rsidP="00B901F7">
      <w:pPr>
        <w:pStyle w:val="ItemHead"/>
      </w:pPr>
      <w:r w:rsidRPr="00B901F7">
        <w:t>8</w:t>
      </w:r>
      <w:r w:rsidR="00604FCE" w:rsidRPr="00B901F7">
        <w:t xml:space="preserve">  Paragraph 3(1)(a) of Schedule</w:t>
      </w:r>
      <w:r w:rsidR="00B901F7" w:rsidRPr="00B901F7">
        <w:t> </w:t>
      </w:r>
      <w:r w:rsidR="00604FCE" w:rsidRPr="00B901F7">
        <w:t>3</w:t>
      </w:r>
    </w:p>
    <w:p w:rsidR="00604FCE" w:rsidRPr="00B901F7" w:rsidRDefault="00604FCE" w:rsidP="00B901F7">
      <w:pPr>
        <w:pStyle w:val="Item"/>
      </w:pPr>
      <w:r w:rsidRPr="00B901F7">
        <w:t>Omit “(not exceeding $6.50)”.</w:t>
      </w:r>
    </w:p>
    <w:p w:rsidR="00604FCE" w:rsidRPr="00B901F7" w:rsidRDefault="00C33395" w:rsidP="00B901F7">
      <w:pPr>
        <w:pStyle w:val="ItemHead"/>
      </w:pPr>
      <w:r w:rsidRPr="00B901F7">
        <w:t>9</w:t>
      </w:r>
      <w:r w:rsidR="00604FCE" w:rsidRPr="00B901F7">
        <w:t xml:space="preserve">  Paragraph 3(1)(b) of Schedule</w:t>
      </w:r>
      <w:r w:rsidR="00B901F7" w:rsidRPr="00B901F7">
        <w:t> </w:t>
      </w:r>
      <w:r w:rsidR="00604FCE" w:rsidRPr="00B901F7">
        <w:t>3</w:t>
      </w:r>
    </w:p>
    <w:p w:rsidR="00604FCE" w:rsidRPr="00B901F7" w:rsidRDefault="00604FCE" w:rsidP="00B901F7">
      <w:pPr>
        <w:pStyle w:val="Item"/>
      </w:pPr>
      <w:r w:rsidRPr="00B901F7">
        <w:t>Omit “(not exceeding $2.00)”.</w:t>
      </w:r>
    </w:p>
    <w:p w:rsidR="00604FCE" w:rsidRPr="00B901F7" w:rsidRDefault="00C33395" w:rsidP="00B901F7">
      <w:pPr>
        <w:pStyle w:val="ItemHead"/>
      </w:pPr>
      <w:r w:rsidRPr="00B901F7">
        <w:t>10</w:t>
      </w:r>
      <w:r w:rsidR="00604FCE" w:rsidRPr="00B901F7">
        <w:t xml:space="preserve">  Paragraph 3(2)(a) of Schedule</w:t>
      </w:r>
      <w:r w:rsidR="00B901F7" w:rsidRPr="00B901F7">
        <w:t> </w:t>
      </w:r>
      <w:r w:rsidR="00604FCE" w:rsidRPr="00B901F7">
        <w:t>3</w:t>
      </w:r>
    </w:p>
    <w:p w:rsidR="00604FCE" w:rsidRPr="00B901F7" w:rsidRDefault="00604FCE" w:rsidP="00B901F7">
      <w:pPr>
        <w:pStyle w:val="Item"/>
      </w:pPr>
      <w:r w:rsidRPr="00B901F7">
        <w:t>Omit “(not exceeding $1.90)”.</w:t>
      </w:r>
    </w:p>
    <w:p w:rsidR="00604FCE" w:rsidRPr="00B901F7" w:rsidRDefault="00C33395" w:rsidP="00B901F7">
      <w:pPr>
        <w:pStyle w:val="ItemHead"/>
      </w:pPr>
      <w:r w:rsidRPr="00B901F7">
        <w:t>11</w:t>
      </w:r>
      <w:r w:rsidR="00604FCE" w:rsidRPr="00B901F7">
        <w:t xml:space="preserve">  Paragraph 3(2)(b) of Schedule</w:t>
      </w:r>
      <w:r w:rsidR="00B901F7" w:rsidRPr="00B901F7">
        <w:t> </w:t>
      </w:r>
      <w:r w:rsidR="00604FCE" w:rsidRPr="00B901F7">
        <w:t>3</w:t>
      </w:r>
    </w:p>
    <w:p w:rsidR="00604FCE" w:rsidRPr="00B901F7" w:rsidRDefault="00604FCE" w:rsidP="00B901F7">
      <w:pPr>
        <w:pStyle w:val="Item"/>
      </w:pPr>
      <w:r w:rsidRPr="00B901F7">
        <w:t>Omit “(not exceeding 40 cents)”.</w:t>
      </w:r>
    </w:p>
    <w:p w:rsidR="00604FCE" w:rsidRPr="00B901F7" w:rsidRDefault="00C33395" w:rsidP="00B901F7">
      <w:pPr>
        <w:pStyle w:val="ItemHead"/>
      </w:pPr>
      <w:r w:rsidRPr="00B901F7">
        <w:t>12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3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 xml:space="preserve">If there is no declaration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prescribing an amount for the purposes of paragraph</w:t>
      </w:r>
      <w:r w:rsidR="00B901F7" w:rsidRPr="00B901F7">
        <w:t> </w:t>
      </w:r>
      <w:r w:rsidRPr="00B901F7">
        <w:t>3(1)(a), 3(1)(b), 3(2)(a) or 3(2)(b) of this Schedule, the Minister must take into consideration any relevant recommendation made to the Minister by:</w:t>
      </w:r>
    </w:p>
    <w:p w:rsidR="00604FCE" w:rsidRPr="00B901F7" w:rsidRDefault="00604FCE" w:rsidP="00B901F7">
      <w:pPr>
        <w:pStyle w:val="paragraph"/>
      </w:pPr>
      <w:r w:rsidRPr="00B901F7">
        <w:tab/>
        <w:t>(a)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3(1)(a) or 3(2)(a) of this Schedule—the industry marketing body; and</w:t>
      </w:r>
    </w:p>
    <w:p w:rsidR="00604FCE" w:rsidRPr="00B901F7" w:rsidRDefault="00604FCE" w:rsidP="00B901F7">
      <w:pPr>
        <w:pStyle w:val="paragraph"/>
      </w:pPr>
      <w:r w:rsidRPr="00B901F7">
        <w:tab/>
        <w:t>(b)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3(1)(b) or 3(2)(b) of this Schedule—the industry research body.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 xml:space="preserve">Before a body mentioned in </w:t>
      </w:r>
      <w:r w:rsidR="00B901F7" w:rsidRPr="00B901F7">
        <w:t>subclause (</w:t>
      </w:r>
      <w:r w:rsidRPr="00B901F7">
        <w:t>3) makes such a recommendation to the Minister, the body must consult with the persons who are required to pay the charge concerned.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3(1)(a), 3(1)(b), 3(2)(a) or 3(2)(b) of this Schedule, prescribe an amount greater than the amount recommended to the Minister for the purposes of that paragraph under </w:t>
      </w:r>
      <w:r w:rsidR="00B901F7" w:rsidRPr="00B901F7">
        <w:t>subclause (</w:t>
      </w:r>
      <w:r w:rsidRPr="00B901F7">
        <w:t>2) or (3).</w:t>
      </w:r>
    </w:p>
    <w:p w:rsidR="00604FCE" w:rsidRPr="00B901F7" w:rsidRDefault="00C33395" w:rsidP="00B901F7">
      <w:pPr>
        <w:pStyle w:val="ItemHead"/>
      </w:pPr>
      <w:r w:rsidRPr="00B901F7">
        <w:t>13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3(1) of Schedule</w:t>
      </w:r>
      <w:r w:rsidR="00B901F7" w:rsidRPr="00B901F7">
        <w:t> </w:t>
      </w:r>
      <w:r w:rsidR="00604FCE" w:rsidRPr="00B901F7">
        <w:t>5</w:t>
      </w:r>
    </w:p>
    <w:p w:rsidR="00604FCE" w:rsidRPr="00B901F7" w:rsidRDefault="00604FCE" w:rsidP="00B901F7">
      <w:pPr>
        <w:pStyle w:val="Item"/>
      </w:pPr>
      <w:r w:rsidRPr="00B901F7">
        <w:t>Omit “(1)”.</w:t>
      </w:r>
    </w:p>
    <w:p w:rsidR="00604FCE" w:rsidRPr="00B901F7" w:rsidRDefault="00C33395" w:rsidP="00B901F7">
      <w:pPr>
        <w:pStyle w:val="ItemHead"/>
      </w:pPr>
      <w:r w:rsidRPr="00B901F7">
        <w:t>14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3(2) of Schedule</w:t>
      </w:r>
      <w:r w:rsidR="00B901F7" w:rsidRPr="00B901F7">
        <w:t> </w:t>
      </w:r>
      <w:r w:rsidR="00604FCE" w:rsidRPr="00B901F7">
        <w:t>5</w:t>
      </w:r>
    </w:p>
    <w:p w:rsidR="00604FCE" w:rsidRPr="00B901F7" w:rsidRDefault="00604FCE" w:rsidP="00B901F7">
      <w:pPr>
        <w:pStyle w:val="Item"/>
      </w:pPr>
      <w:r w:rsidRPr="00B901F7">
        <w:t>Repeal the subclause.</w:t>
      </w:r>
    </w:p>
    <w:p w:rsidR="00604FCE" w:rsidRPr="00B901F7" w:rsidRDefault="00C33395" w:rsidP="00B901F7">
      <w:pPr>
        <w:pStyle w:val="ItemHead"/>
      </w:pPr>
      <w:r w:rsidRPr="00B901F7">
        <w:t>15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5</w:t>
      </w:r>
    </w:p>
    <w:p w:rsidR="00604FCE" w:rsidRPr="00B901F7" w:rsidRDefault="00604FCE" w:rsidP="00B901F7">
      <w:pPr>
        <w:pStyle w:val="Item"/>
      </w:pPr>
      <w:r w:rsidRPr="00B901F7">
        <w:t>Before “Before”, insert “(1)”.</w:t>
      </w:r>
    </w:p>
    <w:p w:rsidR="00604FCE" w:rsidRPr="00B901F7" w:rsidRDefault="00C33395" w:rsidP="00B901F7">
      <w:pPr>
        <w:pStyle w:val="ItemHead"/>
      </w:pPr>
      <w:r w:rsidRPr="00B901F7">
        <w:t>16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5</w:t>
      </w:r>
    </w:p>
    <w:p w:rsidR="00604FCE" w:rsidRPr="00B901F7" w:rsidRDefault="00604FCE" w:rsidP="00B901F7">
      <w:pPr>
        <w:pStyle w:val="Item"/>
      </w:pPr>
      <w:r w:rsidRPr="00B901F7">
        <w:t>Omit “3(1)(a)”, substitute “3(a)”.</w:t>
      </w:r>
    </w:p>
    <w:p w:rsidR="00604FCE" w:rsidRPr="00B901F7" w:rsidRDefault="00C33395" w:rsidP="00B901F7">
      <w:pPr>
        <w:pStyle w:val="ItemHead"/>
      </w:pPr>
      <w:r w:rsidRPr="00B901F7">
        <w:t>17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5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(2)</w:t>
      </w:r>
      <w:r w:rsidRPr="00B901F7">
        <w:tab/>
        <w:t>If there is no representative industry organisation, then, before the Governor</w:t>
      </w:r>
      <w:r w:rsidR="00983C11">
        <w:noBreakHyphen/>
      </w:r>
      <w:r w:rsidRPr="00B901F7">
        <w:t>General makes regulations specifying an amount for the purposes of paragraph</w:t>
      </w:r>
      <w:r w:rsidR="00B901F7" w:rsidRPr="00B901F7">
        <w:t> </w:t>
      </w:r>
      <w:r w:rsidRPr="00B901F7">
        <w:t>3(a) of this Schedule, the Minister must take into consideration any relevant recommendation made to the Minister by the Rural Industries Research and Development Corporation established under section</w:t>
      </w:r>
      <w:r w:rsidR="00B901F7" w:rsidRPr="00B901F7">
        <w:t> </w:t>
      </w:r>
      <w:r w:rsidRPr="00B901F7">
        <w:t xml:space="preserve">9 of the </w:t>
      </w:r>
      <w:r w:rsidRPr="00B901F7">
        <w:rPr>
          <w:i/>
        </w:rPr>
        <w:t>Primary Industries Research and Development Act 1989</w:t>
      </w:r>
      <w:r w:rsidRPr="00B901F7">
        <w:t>.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>Before the Rural Industries Research and Development Corporation makes such a recommendation to the Minister, it must consult with the persons who are required to pay the charge.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3(a) of this Schedule, specify an amount greater than the amount recommended to the Minister under </w:t>
      </w:r>
      <w:r w:rsidR="00B901F7" w:rsidRPr="00B901F7">
        <w:t>subclause (</w:t>
      </w:r>
      <w:r w:rsidRPr="00B901F7">
        <w:t>1) or (2).</w:t>
      </w:r>
    </w:p>
    <w:p w:rsidR="00604FCE" w:rsidRPr="00B901F7" w:rsidRDefault="00C33395" w:rsidP="00B901F7">
      <w:pPr>
        <w:pStyle w:val="ItemHead"/>
      </w:pPr>
      <w:r w:rsidRPr="00B901F7">
        <w:t>18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3(5) of Schedule</w:t>
      </w:r>
      <w:r w:rsidR="00B901F7" w:rsidRPr="00B901F7">
        <w:t> </w:t>
      </w:r>
      <w:r w:rsidR="00604FCE" w:rsidRPr="00B901F7">
        <w:t>6</w:t>
      </w:r>
    </w:p>
    <w:p w:rsidR="00604FCE" w:rsidRPr="00B901F7" w:rsidRDefault="00604FCE" w:rsidP="00B901F7">
      <w:pPr>
        <w:pStyle w:val="Item"/>
      </w:pPr>
      <w:r w:rsidRPr="00B901F7">
        <w:t>Repeal the subclause.</w:t>
      </w:r>
    </w:p>
    <w:p w:rsidR="00604FCE" w:rsidRPr="00B901F7" w:rsidRDefault="00C33395" w:rsidP="00B901F7">
      <w:pPr>
        <w:pStyle w:val="ItemHead"/>
      </w:pPr>
      <w:r w:rsidRPr="00B901F7">
        <w:t>19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6</w:t>
      </w:r>
    </w:p>
    <w:p w:rsidR="00604FCE" w:rsidRPr="00B901F7" w:rsidRDefault="00604FCE" w:rsidP="00B901F7">
      <w:pPr>
        <w:pStyle w:val="Item"/>
      </w:pPr>
      <w:r w:rsidRPr="00B901F7">
        <w:t>Before “Before”, insert “(1)”.</w:t>
      </w:r>
    </w:p>
    <w:p w:rsidR="00604FCE" w:rsidRPr="00B901F7" w:rsidRDefault="00C33395" w:rsidP="00B901F7">
      <w:pPr>
        <w:pStyle w:val="ItemHead"/>
      </w:pPr>
      <w:r w:rsidRPr="00B901F7">
        <w:t>20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6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(2)</w:t>
      </w:r>
      <w:r w:rsidRPr="00B901F7">
        <w:tab/>
        <w:t>If there is no representative industry organisation, then, before the Governor</w:t>
      </w:r>
      <w:r w:rsidR="00983C11">
        <w:noBreakHyphen/>
      </w:r>
      <w:r w:rsidRPr="00B901F7">
        <w:t>General makes regulations specifying a percentage for the purposes of paragraph</w:t>
      </w:r>
      <w:r w:rsidR="00B901F7" w:rsidRPr="00B901F7">
        <w:t> </w:t>
      </w:r>
      <w:r w:rsidRPr="00B901F7">
        <w:t>3(a) of this Schedule, the Minister must take into consideration any relevant recommendation made to the Minister by the Rural Industries Research and Development Corporation established under section</w:t>
      </w:r>
      <w:r w:rsidR="00B901F7" w:rsidRPr="00B901F7">
        <w:t> </w:t>
      </w:r>
      <w:r w:rsidRPr="00B901F7">
        <w:t xml:space="preserve">9 of the </w:t>
      </w:r>
      <w:r w:rsidRPr="00B901F7">
        <w:rPr>
          <w:i/>
        </w:rPr>
        <w:t>Primary Industries Research and Development Act 1989</w:t>
      </w:r>
      <w:r w:rsidRPr="00B901F7">
        <w:t>.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>Before the Rural Industries Research and Development Corporation makes such a recommendation to the Minister, it must consult with the persons who are required to pay the charge.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3(a) of this Schedule, specify a percentage greater than the percentage recommended to the Minister under </w:t>
      </w:r>
      <w:r w:rsidR="00B901F7" w:rsidRPr="00B901F7">
        <w:t>subclause (</w:t>
      </w:r>
      <w:r w:rsidRPr="00B901F7">
        <w:t>1) or (2).</w:t>
      </w:r>
    </w:p>
    <w:p w:rsidR="00604FCE" w:rsidRPr="00B901F7" w:rsidRDefault="00C33395" w:rsidP="00B901F7">
      <w:pPr>
        <w:pStyle w:val="ItemHead"/>
      </w:pPr>
      <w:r w:rsidRPr="00B901F7">
        <w:t>21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1 of Schedule</w:t>
      </w:r>
      <w:r w:rsidR="00B901F7" w:rsidRPr="00B901F7">
        <w:t> </w:t>
      </w:r>
      <w:r w:rsidR="00604FCE" w:rsidRPr="00B901F7">
        <w:t xml:space="preserve">9 (definition of </w:t>
      </w:r>
      <w:r w:rsidR="00604FCE" w:rsidRPr="00B901F7">
        <w:rPr>
          <w:i/>
        </w:rPr>
        <w:t>R&amp;D authority</w:t>
      </w:r>
      <w:r w:rsidR="00604FCE" w:rsidRPr="00B901F7">
        <w:t>)</w:t>
      </w:r>
    </w:p>
    <w:p w:rsidR="00604FCE" w:rsidRPr="00B901F7" w:rsidRDefault="00604FCE" w:rsidP="00B901F7">
      <w:pPr>
        <w:pStyle w:val="Item"/>
      </w:pPr>
      <w:r w:rsidRPr="00B901F7">
        <w:t>Repeal the definition, substitute:</w:t>
      </w:r>
    </w:p>
    <w:p w:rsidR="00604FCE" w:rsidRPr="00B901F7" w:rsidRDefault="00604FCE" w:rsidP="00B901F7">
      <w:pPr>
        <w:pStyle w:val="Definition"/>
      </w:pPr>
      <w:r w:rsidRPr="00B901F7">
        <w:rPr>
          <w:b/>
          <w:i/>
        </w:rPr>
        <w:t>R&amp;D authority</w:t>
      </w:r>
      <w:r w:rsidRPr="00B901F7">
        <w:t xml:space="preserve">, in relation to a charge, means the R&amp;D Corporation established under the </w:t>
      </w:r>
      <w:r w:rsidRPr="00B901F7">
        <w:rPr>
          <w:i/>
        </w:rPr>
        <w:t>Primary Industries Research and Development Act 1989</w:t>
      </w:r>
      <w:r w:rsidRPr="00B901F7">
        <w:t xml:space="preserve"> to which the charge is attached.</w:t>
      </w:r>
    </w:p>
    <w:p w:rsidR="00604FCE" w:rsidRPr="00B901F7" w:rsidRDefault="00C33395" w:rsidP="00B901F7">
      <w:pPr>
        <w:pStyle w:val="ItemHead"/>
      </w:pPr>
      <w:r w:rsidRPr="00B901F7">
        <w:t>22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1 of Schedule</w:t>
      </w:r>
      <w:r w:rsidR="00B901F7" w:rsidRPr="00B901F7">
        <w:t> </w:t>
      </w:r>
      <w:r w:rsidR="00604FCE" w:rsidRPr="00B901F7">
        <w:t xml:space="preserve">9 (definition of </w:t>
      </w:r>
      <w:r w:rsidR="00604FCE" w:rsidRPr="00B901F7">
        <w:rPr>
          <w:i/>
        </w:rPr>
        <w:t>R&amp;D Corporation</w:t>
      </w:r>
      <w:r w:rsidR="00604FCE" w:rsidRPr="00B901F7">
        <w:t>)</w:t>
      </w:r>
    </w:p>
    <w:p w:rsidR="00604FCE" w:rsidRPr="00B901F7" w:rsidRDefault="00604FCE" w:rsidP="00B901F7">
      <w:pPr>
        <w:pStyle w:val="Item"/>
      </w:pPr>
      <w:r w:rsidRPr="00B901F7">
        <w:t>Omit “</w:t>
      </w:r>
      <w:r w:rsidRPr="00B901F7">
        <w:rPr>
          <w:i/>
        </w:rPr>
        <w:t>and Energy</w:t>
      </w:r>
      <w:r w:rsidRPr="00B901F7">
        <w:t>”.</w:t>
      </w:r>
    </w:p>
    <w:p w:rsidR="00604FCE" w:rsidRPr="00B901F7" w:rsidRDefault="00C33395" w:rsidP="00B901F7">
      <w:pPr>
        <w:pStyle w:val="ItemHead"/>
      </w:pPr>
      <w:r w:rsidRPr="00B901F7">
        <w:t>23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1 of Schedule</w:t>
      </w:r>
      <w:r w:rsidR="00B901F7" w:rsidRPr="00B901F7">
        <w:t> </w:t>
      </w:r>
      <w:r w:rsidR="00604FCE" w:rsidRPr="00B901F7">
        <w:t xml:space="preserve">9 (definition of </w:t>
      </w:r>
      <w:r w:rsidR="00604FCE" w:rsidRPr="00B901F7">
        <w:rPr>
          <w:i/>
        </w:rPr>
        <w:t>R&amp;D Council</w:t>
      </w:r>
      <w:r w:rsidR="00604FCE" w:rsidRPr="00B901F7">
        <w:t>)</w:t>
      </w:r>
    </w:p>
    <w:p w:rsidR="00604FCE" w:rsidRPr="00B901F7" w:rsidRDefault="00604FCE" w:rsidP="00B901F7">
      <w:pPr>
        <w:pStyle w:val="Item"/>
      </w:pPr>
      <w:r w:rsidRPr="00B901F7">
        <w:t>Repeal the definition.</w:t>
      </w:r>
    </w:p>
    <w:p w:rsidR="00604FCE" w:rsidRPr="00B901F7" w:rsidRDefault="00C33395" w:rsidP="00B901F7">
      <w:pPr>
        <w:pStyle w:val="ItemHead"/>
      </w:pPr>
      <w:r w:rsidRPr="00B901F7">
        <w:t>24</w:t>
      </w:r>
      <w:r w:rsidR="00604FCE" w:rsidRPr="00B901F7">
        <w:t xml:space="preserve">  Clause</w:t>
      </w:r>
      <w:r w:rsidR="00B901F7" w:rsidRPr="00B901F7">
        <w:t> </w:t>
      </w:r>
      <w:r w:rsidR="00604FCE" w:rsidRPr="00B901F7">
        <w:t>1 of Schedule</w:t>
      </w:r>
      <w:r w:rsidR="00B901F7" w:rsidRPr="00B901F7">
        <w:t> </w:t>
      </w:r>
      <w:r w:rsidR="00604FCE" w:rsidRPr="00B901F7">
        <w:t xml:space="preserve">9 (definition of </w:t>
      </w:r>
      <w:r w:rsidR="00604FCE" w:rsidRPr="00B901F7">
        <w:rPr>
          <w:i/>
        </w:rPr>
        <w:t>R&amp;D Fund</w:t>
      </w:r>
      <w:r w:rsidR="00604FCE" w:rsidRPr="00B901F7">
        <w:t>)</w:t>
      </w:r>
    </w:p>
    <w:p w:rsidR="00604FCE" w:rsidRPr="00B901F7" w:rsidRDefault="00604FCE" w:rsidP="00B901F7">
      <w:pPr>
        <w:pStyle w:val="Item"/>
      </w:pPr>
      <w:r w:rsidRPr="00B901F7">
        <w:t>Repeal the definition.</w:t>
      </w:r>
    </w:p>
    <w:p w:rsidR="00604FCE" w:rsidRPr="00B901F7" w:rsidRDefault="00C33395" w:rsidP="00B901F7">
      <w:pPr>
        <w:pStyle w:val="ItemHead"/>
      </w:pPr>
      <w:r w:rsidRPr="00B901F7">
        <w:t>25</w:t>
      </w:r>
      <w:r w:rsidR="00604FCE" w:rsidRPr="00B901F7">
        <w:t xml:space="preserve">  Paragraph 3(b) of Schedule</w:t>
      </w:r>
      <w:r w:rsidR="00B901F7" w:rsidRPr="00B901F7">
        <w:t> </w:t>
      </w:r>
      <w:r w:rsidR="00604FCE" w:rsidRPr="00B901F7">
        <w:t>9</w:t>
      </w:r>
    </w:p>
    <w:p w:rsidR="00604FCE" w:rsidRPr="00B901F7" w:rsidRDefault="00604FCE" w:rsidP="00B901F7">
      <w:pPr>
        <w:pStyle w:val="Item"/>
      </w:pPr>
      <w:r w:rsidRPr="00B901F7">
        <w:t>Omit “, not exceeding 1.50 cents per kilogram,”.</w:t>
      </w:r>
    </w:p>
    <w:p w:rsidR="00604FCE" w:rsidRPr="00B901F7" w:rsidRDefault="00C33395" w:rsidP="00B901F7">
      <w:pPr>
        <w:pStyle w:val="ItemHead"/>
      </w:pPr>
      <w:r w:rsidRPr="00B901F7">
        <w:t>26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9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 xml:space="preserve">The R&amp;D authority must not make a recommendation under </w:t>
      </w:r>
      <w:r w:rsidR="00B901F7" w:rsidRPr="00B901F7">
        <w:t>subclause (</w:t>
      </w:r>
      <w:r w:rsidRPr="00B901F7">
        <w:t>3) unless it has consulted the persons who are required to pay the charge concerned.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clause</w:t>
      </w:r>
      <w:r w:rsidR="00B901F7" w:rsidRPr="00B901F7">
        <w:t> </w:t>
      </w:r>
      <w:r w:rsidRPr="00B901F7">
        <w:t>3, prescribe a rate of charge greater than the rate recommended to the Minister by the R&amp;D authority or by the producers’ organisation.</w:t>
      </w:r>
    </w:p>
    <w:p w:rsidR="00604FCE" w:rsidRPr="00B901F7" w:rsidRDefault="00C33395" w:rsidP="00B901F7">
      <w:pPr>
        <w:pStyle w:val="ItemHead"/>
      </w:pPr>
      <w:r w:rsidRPr="00B901F7">
        <w:t>27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3(1) of Schedule</w:t>
      </w:r>
      <w:r w:rsidR="00B901F7" w:rsidRPr="00B901F7">
        <w:t> </w:t>
      </w:r>
      <w:r w:rsidR="00604FCE" w:rsidRPr="00B901F7">
        <w:t>10</w:t>
      </w:r>
    </w:p>
    <w:p w:rsidR="00604FCE" w:rsidRPr="00B901F7" w:rsidRDefault="00604FCE" w:rsidP="00B901F7">
      <w:pPr>
        <w:pStyle w:val="Item"/>
      </w:pPr>
      <w:r w:rsidRPr="00B901F7">
        <w:t>Omit “(4),”.</w:t>
      </w:r>
    </w:p>
    <w:p w:rsidR="00604FCE" w:rsidRPr="00B901F7" w:rsidRDefault="00C33395" w:rsidP="00B901F7">
      <w:pPr>
        <w:pStyle w:val="ItemHead"/>
      </w:pPr>
      <w:r w:rsidRPr="00B901F7">
        <w:t>28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3(2) of Schedule</w:t>
      </w:r>
      <w:r w:rsidR="00B901F7" w:rsidRPr="00B901F7">
        <w:t> </w:t>
      </w:r>
      <w:r w:rsidR="00604FCE" w:rsidRPr="00B901F7">
        <w:t>10</w:t>
      </w:r>
    </w:p>
    <w:p w:rsidR="00604FCE" w:rsidRPr="00B901F7" w:rsidRDefault="00604FCE" w:rsidP="00B901F7">
      <w:pPr>
        <w:pStyle w:val="Item"/>
      </w:pPr>
      <w:r w:rsidRPr="00B901F7">
        <w:t>Repeal the subclause.</w:t>
      </w:r>
    </w:p>
    <w:p w:rsidR="00604FCE" w:rsidRPr="00B901F7" w:rsidRDefault="00C33395" w:rsidP="00B901F7">
      <w:pPr>
        <w:pStyle w:val="ItemHead"/>
      </w:pPr>
      <w:r w:rsidRPr="00B901F7">
        <w:t>29</w:t>
      </w:r>
      <w:r w:rsidR="00604FCE" w:rsidRPr="00B901F7">
        <w:t xml:space="preserve">  Paragraphs 5(9)(a) and (b) of Schedule</w:t>
      </w:r>
      <w:r w:rsidR="00B901F7" w:rsidRPr="00B901F7">
        <w:t> </w:t>
      </w:r>
      <w:r w:rsidR="00604FCE" w:rsidRPr="00B901F7">
        <w:t>10</w:t>
      </w:r>
    </w:p>
    <w:p w:rsidR="00604FCE" w:rsidRPr="00B901F7" w:rsidRDefault="00604FCE" w:rsidP="00B901F7">
      <w:pPr>
        <w:pStyle w:val="Item"/>
      </w:pPr>
      <w:r w:rsidRPr="00B901F7">
        <w:t>Omit “leviable”, substitute “chargeable”.</w:t>
      </w:r>
    </w:p>
    <w:p w:rsidR="00604FCE" w:rsidRPr="00B901F7" w:rsidRDefault="00C33395" w:rsidP="00B901F7">
      <w:pPr>
        <w:pStyle w:val="ItemHead"/>
      </w:pPr>
      <w:r w:rsidRPr="00B901F7">
        <w:t>30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5 of Schedule</w:t>
      </w:r>
      <w:r w:rsidR="00B901F7" w:rsidRPr="00B901F7">
        <w:t> </w:t>
      </w:r>
      <w:r w:rsidR="00604FCE" w:rsidRPr="00B901F7">
        <w:t>10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(11)</w:t>
      </w:r>
      <w:r w:rsidRPr="00B901F7">
        <w:tab/>
        <w:t>The regulations must not, for the purposes of subclause</w:t>
      </w:r>
      <w:r w:rsidR="00B901F7" w:rsidRPr="00B901F7">
        <w:t> </w:t>
      </w:r>
      <w:r w:rsidRPr="00B901F7">
        <w:t>3(3) or 3(5) fix a rate of charge greater than the rate recommended to the Minister by the industry services body.</w:t>
      </w:r>
    </w:p>
    <w:p w:rsidR="00604FCE" w:rsidRPr="00B901F7" w:rsidRDefault="00C33395" w:rsidP="00B901F7">
      <w:pPr>
        <w:pStyle w:val="ItemHead"/>
      </w:pPr>
      <w:r w:rsidRPr="00B901F7">
        <w:t>31</w:t>
      </w:r>
      <w:r w:rsidR="00604FCE" w:rsidRPr="00B901F7">
        <w:t xml:space="preserve">  Paragraph 3(a)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Omit “(not exceeding 55 cents)”.</w:t>
      </w:r>
    </w:p>
    <w:p w:rsidR="00604FCE" w:rsidRPr="00B901F7" w:rsidRDefault="00C33395" w:rsidP="00B901F7">
      <w:pPr>
        <w:pStyle w:val="ItemHead"/>
      </w:pPr>
      <w:r w:rsidRPr="00B901F7">
        <w:t>32</w:t>
      </w:r>
      <w:r w:rsidR="00604FCE" w:rsidRPr="00B901F7">
        <w:t xml:space="preserve">  Paragraph 3(b)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Omit “(not exceeding 25 cents)”.</w:t>
      </w:r>
    </w:p>
    <w:p w:rsidR="00604FCE" w:rsidRPr="00B901F7" w:rsidRDefault="00C33395" w:rsidP="00B901F7">
      <w:pPr>
        <w:pStyle w:val="ItemHead"/>
      </w:pPr>
      <w:r w:rsidRPr="00B901F7">
        <w:t>33</w:t>
      </w:r>
      <w:r w:rsidR="00604FCE" w:rsidRPr="00B901F7">
        <w:t xml:space="preserve">  Paragraph 4(a)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Omit “(not exceeding 50 cents)”.</w:t>
      </w:r>
    </w:p>
    <w:p w:rsidR="00604FCE" w:rsidRPr="00B901F7" w:rsidRDefault="00C33395" w:rsidP="00B901F7">
      <w:pPr>
        <w:pStyle w:val="ItemHead"/>
      </w:pPr>
      <w:r w:rsidRPr="00B901F7">
        <w:t>34</w:t>
      </w:r>
      <w:r w:rsidR="00604FCE" w:rsidRPr="00B901F7">
        <w:t xml:space="preserve">  Paragraph 4(b)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Omit “(not exceeding 25 cents)”.</w:t>
      </w:r>
    </w:p>
    <w:p w:rsidR="00604FCE" w:rsidRPr="00B901F7" w:rsidRDefault="00C33395" w:rsidP="00B901F7">
      <w:pPr>
        <w:pStyle w:val="ItemHead"/>
      </w:pPr>
      <w:r w:rsidRPr="00B901F7">
        <w:t>35</w:t>
      </w:r>
      <w:r w:rsidR="00604FCE" w:rsidRPr="00B901F7">
        <w:t xml:space="preserve">  Paragraph 5(a)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Omit “(not exceeding 55 cents)”.</w:t>
      </w:r>
    </w:p>
    <w:p w:rsidR="00604FCE" w:rsidRPr="00B901F7" w:rsidRDefault="00C33395" w:rsidP="00B901F7">
      <w:pPr>
        <w:pStyle w:val="ItemHead"/>
      </w:pPr>
      <w:r w:rsidRPr="00B901F7">
        <w:t>36</w:t>
      </w:r>
      <w:r w:rsidR="00604FCE" w:rsidRPr="00B901F7">
        <w:t xml:space="preserve">  Paragraph 5(b)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Omit “(not exceeding 25 cents)”.</w:t>
      </w:r>
    </w:p>
    <w:p w:rsidR="00604FCE" w:rsidRPr="00B901F7" w:rsidRDefault="00C33395" w:rsidP="00B901F7">
      <w:pPr>
        <w:pStyle w:val="ItemHead"/>
      </w:pPr>
      <w:r w:rsidRPr="00B901F7">
        <w:t>37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7 of Schedule</w:t>
      </w:r>
      <w:r w:rsidR="00B901F7" w:rsidRPr="00B901F7">
        <w:t> </w:t>
      </w:r>
      <w:r w:rsidR="00604FCE" w:rsidRPr="00B901F7">
        <w:t>11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 xml:space="preserve">If there is no declaration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prescribing an amount for the purposes of paragraph</w:t>
      </w:r>
      <w:r w:rsidR="00B901F7" w:rsidRPr="00B901F7">
        <w:t> </w:t>
      </w:r>
      <w:r w:rsidRPr="00B901F7">
        <w:t>3(a), 3(b), 4(a), 4(b), 5(a) or 5(b) of this Schedule, the Minister must take into consideration any relevant recommendation made to the Minister by:</w:t>
      </w:r>
    </w:p>
    <w:p w:rsidR="00604FCE" w:rsidRPr="00B901F7" w:rsidRDefault="00604FCE" w:rsidP="00B901F7">
      <w:pPr>
        <w:pStyle w:val="paragraph"/>
      </w:pPr>
      <w:r w:rsidRPr="00B901F7">
        <w:tab/>
        <w:t>(a)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3(a), 4(a) or 5(a) of this Schedule—the live</w:t>
      </w:r>
      <w:r w:rsidR="00983C11">
        <w:noBreakHyphen/>
      </w:r>
      <w:r w:rsidRPr="00B901F7">
        <w:t>stock export marketing body; and</w:t>
      </w:r>
    </w:p>
    <w:p w:rsidR="00604FCE" w:rsidRPr="00B901F7" w:rsidRDefault="00604FCE" w:rsidP="00B901F7">
      <w:pPr>
        <w:pStyle w:val="paragraph"/>
      </w:pPr>
      <w:r w:rsidRPr="00B901F7">
        <w:tab/>
        <w:t>(b)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3(b), 4(b) or 5(b) of this Schedule—the live</w:t>
      </w:r>
      <w:r w:rsidR="00983C11">
        <w:noBreakHyphen/>
      </w:r>
      <w:r w:rsidRPr="00B901F7">
        <w:t>stock export research body.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 xml:space="preserve">Before a body mentioned in </w:t>
      </w:r>
      <w:r w:rsidR="00B901F7" w:rsidRPr="00B901F7">
        <w:t>subclause (</w:t>
      </w:r>
      <w:r w:rsidRPr="00B901F7">
        <w:t>3) makes such a recommendation to the Minister, the body must consult with the persons who are required to pay the charge concerned.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3(a), 3(b), 4(a), 4(b), 5(a) or 5(b) of this Schedule, prescribe an amount greater than the amount recommended to the Minister for the purposes of that paragraph under </w:t>
      </w:r>
      <w:r w:rsidR="00B901F7" w:rsidRPr="00B901F7">
        <w:t>subclause (</w:t>
      </w:r>
      <w:r w:rsidRPr="00B901F7">
        <w:t>2) or (3).</w:t>
      </w:r>
    </w:p>
    <w:p w:rsidR="00604FCE" w:rsidRPr="00B901F7" w:rsidRDefault="00C33395" w:rsidP="00B901F7">
      <w:pPr>
        <w:pStyle w:val="ItemHead"/>
      </w:pPr>
      <w:r w:rsidRPr="00B901F7">
        <w:t>38</w:t>
      </w:r>
      <w:r w:rsidR="00604FCE" w:rsidRPr="00B901F7">
        <w:t xml:space="preserve">  Paragraph 3(a)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Omit “(not exceeding 40 cents)”.</w:t>
      </w:r>
    </w:p>
    <w:p w:rsidR="00604FCE" w:rsidRPr="00B901F7" w:rsidRDefault="00C33395" w:rsidP="00B901F7">
      <w:pPr>
        <w:pStyle w:val="ItemHead"/>
      </w:pPr>
      <w:r w:rsidRPr="00B901F7">
        <w:t>39</w:t>
      </w:r>
      <w:r w:rsidR="00604FCE" w:rsidRPr="00B901F7">
        <w:t xml:space="preserve">  Paragraph 3(b)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Omit “(not exceeding 12 cents)”.</w:t>
      </w:r>
    </w:p>
    <w:p w:rsidR="00604FCE" w:rsidRPr="00B901F7" w:rsidRDefault="00C33395" w:rsidP="00B901F7">
      <w:pPr>
        <w:pStyle w:val="ItemHead"/>
      </w:pPr>
      <w:r w:rsidRPr="00B901F7">
        <w:t>40</w:t>
      </w:r>
      <w:r w:rsidR="00604FCE" w:rsidRPr="00B901F7">
        <w:t xml:space="preserve">  Paragraph 4(a)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Omit “(not exceeding 90 cents)”.</w:t>
      </w:r>
    </w:p>
    <w:p w:rsidR="00604FCE" w:rsidRPr="00B901F7" w:rsidRDefault="00C33395" w:rsidP="00B901F7">
      <w:pPr>
        <w:pStyle w:val="ItemHead"/>
      </w:pPr>
      <w:r w:rsidRPr="00B901F7">
        <w:t>41</w:t>
      </w:r>
      <w:r w:rsidR="00604FCE" w:rsidRPr="00B901F7">
        <w:t xml:space="preserve">  Paragraph 4(b)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Omit “(not exceeding 37 cents)”.</w:t>
      </w:r>
    </w:p>
    <w:p w:rsidR="00604FCE" w:rsidRPr="00B901F7" w:rsidRDefault="00C33395" w:rsidP="00B901F7">
      <w:pPr>
        <w:pStyle w:val="ItemHead"/>
      </w:pPr>
      <w:r w:rsidRPr="00B901F7">
        <w:t>42</w:t>
      </w:r>
      <w:r w:rsidR="00604FCE" w:rsidRPr="00B901F7">
        <w:t xml:space="preserve">  Paragraph 5(a)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Omit “(not exceeding $1.02)”.</w:t>
      </w:r>
    </w:p>
    <w:p w:rsidR="00604FCE" w:rsidRPr="00B901F7" w:rsidRDefault="00C33395" w:rsidP="00B901F7">
      <w:pPr>
        <w:pStyle w:val="ItemHead"/>
      </w:pPr>
      <w:r w:rsidRPr="00B901F7">
        <w:t>43</w:t>
      </w:r>
      <w:r w:rsidR="00604FCE" w:rsidRPr="00B901F7">
        <w:t xml:space="preserve">  Paragraph 5(b)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Omit “(not exceeding 25 cents)”.</w:t>
      </w:r>
    </w:p>
    <w:p w:rsidR="00604FCE" w:rsidRPr="00B901F7" w:rsidRDefault="00C33395" w:rsidP="00B901F7">
      <w:pPr>
        <w:pStyle w:val="ItemHead"/>
      </w:pPr>
      <w:r w:rsidRPr="00B901F7">
        <w:t>44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7 of Schedule</w:t>
      </w:r>
      <w:r w:rsidR="00B901F7" w:rsidRPr="00B901F7">
        <w:t> </w:t>
      </w:r>
      <w:r w:rsidR="00604FCE" w:rsidRPr="00B901F7">
        <w:t>12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  <w:t xml:space="preserve">If there is no declaration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prescribing an amount for the purposes of paragraph</w:t>
      </w:r>
      <w:r w:rsidR="00B901F7" w:rsidRPr="00B901F7">
        <w:t> </w:t>
      </w:r>
      <w:r w:rsidRPr="00B901F7">
        <w:t>3(a), 3(b), 4(a), 4(b), 5(a) or 5(b) of this Schedule, the Minister must take into consideration any relevant recommendation made to the Minister by:</w:t>
      </w:r>
    </w:p>
    <w:p w:rsidR="00604FCE" w:rsidRPr="00B901F7" w:rsidRDefault="00604FCE" w:rsidP="00B901F7">
      <w:pPr>
        <w:pStyle w:val="paragraph"/>
      </w:pPr>
      <w:r w:rsidRPr="00B901F7">
        <w:tab/>
        <w:t>(a)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3(a), 4(a) or 5(a) of this Schedule—the industry marketing body; and</w:t>
      </w:r>
    </w:p>
    <w:p w:rsidR="00604FCE" w:rsidRPr="00B901F7" w:rsidRDefault="00604FCE" w:rsidP="00B901F7">
      <w:pPr>
        <w:pStyle w:val="paragraph"/>
      </w:pPr>
      <w:r w:rsidRPr="00B901F7">
        <w:tab/>
        <w:t>(b)</w:t>
      </w:r>
      <w:r w:rsidRPr="00B901F7">
        <w:tab/>
        <w:t>in relation to regulations for the purposes of paragraph</w:t>
      </w:r>
      <w:r w:rsidR="00B901F7" w:rsidRPr="00B901F7">
        <w:t> </w:t>
      </w:r>
      <w:r w:rsidRPr="00B901F7">
        <w:t>3(b), 4(b) or 5(b) of this Schedule—the industry research body.</w:t>
      </w:r>
    </w:p>
    <w:p w:rsidR="00604FCE" w:rsidRPr="00B901F7" w:rsidRDefault="00604FCE" w:rsidP="00B901F7">
      <w:pPr>
        <w:pStyle w:val="subsection"/>
      </w:pPr>
      <w:r w:rsidRPr="00B901F7">
        <w:tab/>
        <w:t>(4)</w:t>
      </w:r>
      <w:r w:rsidRPr="00B901F7">
        <w:tab/>
        <w:t xml:space="preserve">Before a body mentioned in </w:t>
      </w:r>
      <w:r w:rsidR="00B901F7" w:rsidRPr="00B901F7">
        <w:t>subclause (</w:t>
      </w:r>
      <w:r w:rsidRPr="00B901F7">
        <w:t>3) makes such a recommendation to the Minister, the body must consult with the persons who are required to pay the charge concerned.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paragraph</w:t>
      </w:r>
      <w:r w:rsidR="00B901F7" w:rsidRPr="00B901F7">
        <w:t> </w:t>
      </w:r>
      <w:r w:rsidRPr="00B901F7">
        <w:t xml:space="preserve">3(a), 3(b), 4(a), 4(b), 5(a) or 5(b) of this Schedule, prescribe an amount greater than the amount recommended to the Minister for the purposes of that paragraph under </w:t>
      </w:r>
      <w:r w:rsidR="00B901F7" w:rsidRPr="00B901F7">
        <w:t>subclause (</w:t>
      </w:r>
      <w:r w:rsidRPr="00B901F7">
        <w:t>2) or (3).</w:t>
      </w:r>
    </w:p>
    <w:p w:rsidR="00604FCE" w:rsidRPr="00B901F7" w:rsidRDefault="00C33395" w:rsidP="00B901F7">
      <w:pPr>
        <w:pStyle w:val="ItemHead"/>
      </w:pPr>
      <w:r w:rsidRPr="00B901F7">
        <w:t>45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3(1) of Schedule</w:t>
      </w:r>
      <w:r w:rsidR="00B901F7" w:rsidRPr="00B901F7">
        <w:t> </w:t>
      </w:r>
      <w:r w:rsidR="00604FCE" w:rsidRPr="00B901F7">
        <w:t>13</w:t>
      </w:r>
    </w:p>
    <w:p w:rsidR="00604FCE" w:rsidRPr="00B901F7" w:rsidRDefault="00604FCE" w:rsidP="00B901F7">
      <w:pPr>
        <w:pStyle w:val="Item"/>
      </w:pPr>
      <w:r w:rsidRPr="00B901F7">
        <w:t>Omit “(1)”.</w:t>
      </w:r>
    </w:p>
    <w:p w:rsidR="00604FCE" w:rsidRPr="00B901F7" w:rsidRDefault="00C33395" w:rsidP="00B901F7">
      <w:pPr>
        <w:pStyle w:val="ItemHead"/>
      </w:pPr>
      <w:r w:rsidRPr="00B901F7">
        <w:t>46</w:t>
      </w:r>
      <w:r w:rsidR="00604FCE" w:rsidRPr="00B901F7">
        <w:t xml:space="preserve">  Subclause</w:t>
      </w:r>
      <w:r w:rsidR="00B901F7" w:rsidRPr="00B901F7">
        <w:t> </w:t>
      </w:r>
      <w:r w:rsidR="00604FCE" w:rsidRPr="00B901F7">
        <w:t>3(2) of Schedule</w:t>
      </w:r>
      <w:r w:rsidR="00B901F7" w:rsidRPr="00B901F7">
        <w:t> </w:t>
      </w:r>
      <w:r w:rsidR="00604FCE" w:rsidRPr="00B901F7">
        <w:t>13</w:t>
      </w:r>
    </w:p>
    <w:p w:rsidR="00604FCE" w:rsidRPr="00B901F7" w:rsidRDefault="00604FCE" w:rsidP="00B901F7">
      <w:pPr>
        <w:pStyle w:val="Item"/>
      </w:pPr>
      <w:r w:rsidRPr="00B901F7">
        <w:t>Repeal the subclause.</w:t>
      </w:r>
    </w:p>
    <w:p w:rsidR="00604FCE" w:rsidRPr="00B901F7" w:rsidRDefault="00C33395" w:rsidP="00B901F7">
      <w:pPr>
        <w:pStyle w:val="ItemHead"/>
      </w:pPr>
      <w:r w:rsidRPr="00B901F7">
        <w:t>47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8 of Schedule</w:t>
      </w:r>
      <w:r w:rsidR="00B901F7" w:rsidRPr="00B901F7">
        <w:t> </w:t>
      </w:r>
      <w:r w:rsidR="00604FCE" w:rsidRPr="00B901F7">
        <w:t>14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</w:r>
      <w:r w:rsidR="00B901F7" w:rsidRPr="00B901F7">
        <w:t>Subclause (</w:t>
      </w:r>
      <w:r w:rsidRPr="00B901F7">
        <w:t>1) does not apply to the marketing component, or the research and development component, of a charge imposed under Part</w:t>
      </w:r>
      <w:r w:rsidR="00B901F7" w:rsidRPr="00B901F7">
        <w:t> </w:t>
      </w:r>
      <w:r w:rsidRPr="00B901F7">
        <w:t>2 of this Schedule.</w:t>
      </w:r>
    </w:p>
    <w:p w:rsidR="00604FCE" w:rsidRPr="00B901F7" w:rsidRDefault="00C33395" w:rsidP="00B901F7">
      <w:pPr>
        <w:pStyle w:val="ItemHead"/>
      </w:pPr>
      <w:r w:rsidRPr="00B901F7">
        <w:t>48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9 of Schedule</w:t>
      </w:r>
      <w:r w:rsidR="00B901F7" w:rsidRPr="00B901F7">
        <w:t> </w:t>
      </w:r>
      <w:r w:rsidR="00604FCE" w:rsidRPr="00B901F7">
        <w:t>14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(3)</w:t>
      </w:r>
      <w:r w:rsidRPr="00B901F7">
        <w:tab/>
      </w:r>
      <w:r w:rsidR="00B901F7" w:rsidRPr="00B901F7">
        <w:t>Subclause (</w:t>
      </w:r>
      <w:r w:rsidRPr="00B901F7">
        <w:t>1) does not apply to the marketing component, or the research and development component, of a charge imposed under Part</w:t>
      </w:r>
      <w:r w:rsidR="00B901F7" w:rsidRPr="00B901F7">
        <w:t> </w:t>
      </w:r>
      <w:r w:rsidRPr="00B901F7">
        <w:t>2 of this Schedule.</w:t>
      </w:r>
    </w:p>
    <w:p w:rsidR="00604FCE" w:rsidRPr="00B901F7" w:rsidRDefault="00C33395" w:rsidP="00B901F7">
      <w:pPr>
        <w:pStyle w:val="ItemHead"/>
      </w:pPr>
      <w:r w:rsidRPr="00B901F7">
        <w:t>49</w:t>
      </w:r>
      <w:r w:rsidR="00604FCE" w:rsidRPr="00B901F7">
        <w:t xml:space="preserve">  At the end of clause</w:t>
      </w:r>
      <w:r w:rsidR="00B901F7" w:rsidRPr="00B901F7">
        <w:t> </w:t>
      </w:r>
      <w:r w:rsidR="00604FCE" w:rsidRPr="00B901F7">
        <w:t>13 of Schedule</w:t>
      </w:r>
      <w:r w:rsidR="00B901F7" w:rsidRPr="00B901F7">
        <w:t> </w:t>
      </w:r>
      <w:r w:rsidR="00604FCE" w:rsidRPr="00B901F7">
        <w:t>14</w:t>
      </w:r>
    </w:p>
    <w:p w:rsidR="00604FCE" w:rsidRPr="00B901F7" w:rsidRDefault="00604FCE" w:rsidP="00B901F7">
      <w:pPr>
        <w:pStyle w:val="Item"/>
      </w:pPr>
      <w:r w:rsidRPr="00B901F7">
        <w:t>Add:</w:t>
      </w:r>
    </w:p>
    <w:p w:rsidR="00604FCE" w:rsidRPr="00B901F7" w:rsidRDefault="00604FCE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Part</w:t>
      </w:r>
      <w:r w:rsidR="00B901F7" w:rsidRPr="00B901F7">
        <w:t> </w:t>
      </w:r>
      <w:r w:rsidRPr="00B901F7">
        <w:t xml:space="preserve">3 of this Schedule, prescribe a rate of charge (in respect of the marketing component, or the research and development component, of the charge) greater than the rate recommended to the Minister in accordance with </w:t>
      </w:r>
      <w:r w:rsidR="00B901F7" w:rsidRPr="00B901F7">
        <w:t>subclause (</w:t>
      </w:r>
      <w:r w:rsidRPr="00B901F7">
        <w:t>2) or (3).</w:t>
      </w:r>
    </w:p>
    <w:p w:rsidR="009F0AFA" w:rsidRPr="00B901F7" w:rsidRDefault="009F0AFA" w:rsidP="00B901F7">
      <w:pPr>
        <w:pStyle w:val="ActHead6"/>
        <w:pageBreakBefore/>
      </w:pPr>
      <w:bookmarkStart w:id="8" w:name="opcCurrentFind"/>
      <w:bookmarkStart w:id="9" w:name="_Toc375548484"/>
      <w:r w:rsidRPr="00B901F7">
        <w:rPr>
          <w:rStyle w:val="CharAmSchNo"/>
        </w:rPr>
        <w:t>Schedule</w:t>
      </w:r>
      <w:r w:rsidR="00B901F7" w:rsidRPr="00B901F7">
        <w:rPr>
          <w:rStyle w:val="CharAmSchNo"/>
        </w:rPr>
        <w:t> </w:t>
      </w:r>
      <w:r w:rsidRPr="00B901F7">
        <w:rPr>
          <w:rStyle w:val="CharAmSchNo"/>
        </w:rPr>
        <w:t>2</w:t>
      </w:r>
      <w:r w:rsidRPr="00B901F7">
        <w:t>—</w:t>
      </w:r>
      <w:r w:rsidR="005976E2" w:rsidRPr="00B901F7">
        <w:rPr>
          <w:rStyle w:val="CharAmSchText"/>
        </w:rPr>
        <w:t>Contingent a</w:t>
      </w:r>
      <w:r w:rsidRPr="00B901F7">
        <w:rPr>
          <w:rStyle w:val="CharAmSchText"/>
        </w:rPr>
        <w:t>mendments relating to wine production</w:t>
      </w:r>
      <w:bookmarkEnd w:id="9"/>
    </w:p>
    <w:p w:rsidR="0032544F" w:rsidRPr="00B901F7" w:rsidRDefault="008C34AA" w:rsidP="00B901F7">
      <w:pPr>
        <w:pStyle w:val="ActHead7"/>
      </w:pPr>
      <w:bookmarkStart w:id="10" w:name="_Toc375548485"/>
      <w:bookmarkEnd w:id="8"/>
      <w:r w:rsidRPr="00B901F7">
        <w:rPr>
          <w:rStyle w:val="CharAmPartNo"/>
        </w:rPr>
        <w:t>Part</w:t>
      </w:r>
      <w:r w:rsidR="00B901F7" w:rsidRPr="00B901F7">
        <w:rPr>
          <w:rStyle w:val="CharAmPartNo"/>
        </w:rPr>
        <w:t> </w:t>
      </w:r>
      <w:r w:rsidRPr="00B901F7">
        <w:rPr>
          <w:rStyle w:val="CharAmPartNo"/>
        </w:rPr>
        <w:t>1</w:t>
      </w:r>
      <w:r w:rsidRPr="00B901F7">
        <w:t>—</w:t>
      </w:r>
      <w:r w:rsidRPr="00B901F7">
        <w:rPr>
          <w:rStyle w:val="CharAmPartText"/>
        </w:rPr>
        <w:t>Amendment</w:t>
      </w:r>
      <w:r w:rsidR="000A0FF4" w:rsidRPr="00B901F7">
        <w:rPr>
          <w:rStyle w:val="CharAmPartText"/>
        </w:rPr>
        <w:t>s</w:t>
      </w:r>
      <w:r w:rsidRPr="00B901F7">
        <w:rPr>
          <w:rStyle w:val="CharAmPartText"/>
        </w:rPr>
        <w:t xml:space="preserve"> relating to maximum rate of charge</w:t>
      </w:r>
      <w:bookmarkEnd w:id="10"/>
    </w:p>
    <w:p w:rsidR="0032544F" w:rsidRPr="00B901F7" w:rsidRDefault="0032544F" w:rsidP="00B901F7">
      <w:pPr>
        <w:pStyle w:val="ActHead9"/>
        <w:rPr>
          <w:i w:val="0"/>
        </w:rPr>
      </w:pPr>
      <w:bookmarkStart w:id="11" w:name="_Toc375548486"/>
      <w:r w:rsidRPr="00B901F7">
        <w:t>Primary Industries (Customs) Charges Act 1999</w:t>
      </w:r>
      <w:bookmarkEnd w:id="11"/>
    </w:p>
    <w:p w:rsidR="008C34AA" w:rsidRPr="00B901F7" w:rsidRDefault="008C34AA" w:rsidP="00B901F7">
      <w:pPr>
        <w:pStyle w:val="ItemHead"/>
      </w:pPr>
      <w:r w:rsidRPr="00B901F7">
        <w:t>1  At the end of clause</w:t>
      </w:r>
      <w:r w:rsidR="00B901F7" w:rsidRPr="00B901F7">
        <w:t> </w:t>
      </w:r>
      <w:r w:rsidRPr="00B901F7">
        <w:t>5 of Schedule</w:t>
      </w:r>
      <w:r w:rsidR="00B901F7" w:rsidRPr="00B901F7">
        <w:t> </w:t>
      </w:r>
      <w:r w:rsidRPr="00B901F7">
        <w:t>13</w:t>
      </w:r>
    </w:p>
    <w:p w:rsidR="008C34AA" w:rsidRPr="00B901F7" w:rsidRDefault="008C34AA" w:rsidP="00B901F7">
      <w:pPr>
        <w:pStyle w:val="Item"/>
      </w:pPr>
      <w:r w:rsidRPr="00B901F7">
        <w:t>Add:</w:t>
      </w:r>
    </w:p>
    <w:p w:rsidR="008C34AA" w:rsidRPr="00B901F7" w:rsidRDefault="008C34AA" w:rsidP="00B901F7">
      <w:pPr>
        <w:pStyle w:val="subsection"/>
      </w:pPr>
      <w:r w:rsidRPr="00B901F7">
        <w:tab/>
        <w:t>(4)</w:t>
      </w:r>
      <w:r w:rsidRPr="00B901F7">
        <w:tab/>
        <w:t>The regulations must not, for the purposes of clause</w:t>
      </w:r>
      <w:r w:rsidR="00B901F7" w:rsidRPr="00B901F7">
        <w:t> </w:t>
      </w:r>
      <w:r w:rsidRPr="00B901F7">
        <w:t xml:space="preserve">3, prescribe a rate of charge greater than the rate recommended to the Minister under </w:t>
      </w:r>
      <w:r w:rsidR="00B901F7" w:rsidRPr="00B901F7">
        <w:t>subclause (</w:t>
      </w:r>
      <w:r w:rsidRPr="00B901F7">
        <w:t>1).</w:t>
      </w:r>
    </w:p>
    <w:p w:rsidR="0032544F" w:rsidRPr="00B901F7" w:rsidRDefault="008C34AA" w:rsidP="00B901F7">
      <w:pPr>
        <w:pStyle w:val="ActHead7"/>
        <w:pageBreakBefore/>
      </w:pPr>
      <w:bookmarkStart w:id="12" w:name="_Toc375548487"/>
      <w:r w:rsidRPr="00B901F7">
        <w:rPr>
          <w:rStyle w:val="CharAmPartNo"/>
        </w:rPr>
        <w:t>Part</w:t>
      </w:r>
      <w:r w:rsidR="00B901F7" w:rsidRPr="00B901F7">
        <w:rPr>
          <w:rStyle w:val="CharAmPartNo"/>
        </w:rPr>
        <w:t> </w:t>
      </w:r>
      <w:r w:rsidRPr="00B901F7">
        <w:rPr>
          <w:rStyle w:val="CharAmPartNo"/>
        </w:rPr>
        <w:t>2</w:t>
      </w:r>
      <w:r w:rsidRPr="00B901F7">
        <w:t>—</w:t>
      </w:r>
      <w:r w:rsidRPr="00B901F7">
        <w:rPr>
          <w:rStyle w:val="CharAmPartText"/>
        </w:rPr>
        <w:t>Other amendments</w:t>
      </w:r>
      <w:bookmarkEnd w:id="12"/>
    </w:p>
    <w:p w:rsidR="0032544F" w:rsidRPr="00B901F7" w:rsidRDefault="0032544F" w:rsidP="00B901F7">
      <w:pPr>
        <w:pStyle w:val="ActHead9"/>
        <w:rPr>
          <w:i w:val="0"/>
        </w:rPr>
      </w:pPr>
      <w:bookmarkStart w:id="13" w:name="_Toc375548488"/>
      <w:r w:rsidRPr="00B901F7">
        <w:t>Primary Industries (Customs) Charges Act 1999</w:t>
      </w:r>
      <w:bookmarkEnd w:id="13"/>
    </w:p>
    <w:p w:rsidR="009F0AFA" w:rsidRPr="00B901F7" w:rsidRDefault="008C34AA" w:rsidP="00B901F7">
      <w:pPr>
        <w:pStyle w:val="ItemHead"/>
      </w:pPr>
      <w:r w:rsidRPr="00B901F7">
        <w:t>2</w:t>
      </w:r>
      <w:r w:rsidR="009F0AFA" w:rsidRPr="00B901F7">
        <w:t xml:space="preserve">  After clause</w:t>
      </w:r>
      <w:r w:rsidR="00B901F7" w:rsidRPr="00B901F7">
        <w:t> </w:t>
      </w:r>
      <w:r w:rsidR="009F0AFA" w:rsidRPr="00B901F7">
        <w:t>4 of Schedule</w:t>
      </w:r>
      <w:r w:rsidR="00B901F7" w:rsidRPr="00B901F7">
        <w:t> </w:t>
      </w:r>
      <w:r w:rsidR="009F0AFA" w:rsidRPr="00B901F7">
        <w:t>13</w:t>
      </w:r>
    </w:p>
    <w:p w:rsidR="009F0AFA" w:rsidRPr="00B901F7" w:rsidRDefault="009F0AFA" w:rsidP="00B901F7">
      <w:pPr>
        <w:pStyle w:val="Item"/>
      </w:pPr>
      <w:r w:rsidRPr="00B901F7">
        <w:t>Insert:</w:t>
      </w:r>
    </w:p>
    <w:p w:rsidR="009F0AFA" w:rsidRPr="00B901F7" w:rsidRDefault="009F0AFA" w:rsidP="00B901F7">
      <w:pPr>
        <w:pStyle w:val="ActHead5"/>
      </w:pPr>
      <w:bookmarkStart w:id="14" w:name="_Toc375548489"/>
      <w:r w:rsidRPr="00B901F7">
        <w:rPr>
          <w:rStyle w:val="CharSectno"/>
        </w:rPr>
        <w:t>5</w:t>
      </w:r>
      <w:r w:rsidRPr="00B901F7">
        <w:t xml:space="preserve">  Regulations</w:t>
      </w:r>
      <w:bookmarkEnd w:id="14"/>
    </w:p>
    <w:p w:rsidR="009F0AFA" w:rsidRPr="00B901F7" w:rsidRDefault="009F0AFA" w:rsidP="00B901F7">
      <w:pPr>
        <w:pStyle w:val="subsection"/>
      </w:pPr>
      <w:r w:rsidRPr="00B901F7">
        <w:tab/>
        <w:t>(1)</w:t>
      </w:r>
      <w:r w:rsidRPr="00B901F7">
        <w:tab/>
        <w:t xml:space="preserve">The Minister may, by notice in the </w:t>
      </w:r>
      <w:r w:rsidRPr="00B901F7">
        <w:rPr>
          <w:i/>
        </w:rPr>
        <w:t>Gazette</w:t>
      </w:r>
      <w:r w:rsidRPr="00B901F7">
        <w:t>, declare a body to be the body whose recommendations about the amount to be prescribed for the purposes of clause</w:t>
      </w:r>
      <w:r w:rsidR="00B901F7" w:rsidRPr="00B901F7">
        <w:t> </w:t>
      </w:r>
      <w:r w:rsidRPr="00B901F7">
        <w:t xml:space="preserve">3 of this Schedule are to be taken into consideration under </w:t>
      </w:r>
      <w:r w:rsidR="00B901F7" w:rsidRPr="00B901F7">
        <w:t>subclause (</w:t>
      </w:r>
      <w:r w:rsidRPr="00B901F7">
        <w:t>2).</w:t>
      </w:r>
    </w:p>
    <w:p w:rsidR="009F0AFA" w:rsidRPr="00B901F7" w:rsidRDefault="009F0AFA" w:rsidP="00B901F7">
      <w:pPr>
        <w:pStyle w:val="subsection"/>
      </w:pPr>
      <w:r w:rsidRPr="00B901F7">
        <w:tab/>
        <w:t>(2)</w:t>
      </w:r>
      <w:r w:rsidRPr="00B901F7">
        <w:tab/>
        <w:t xml:space="preserve">If a declaration is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for the purposes of clause</w:t>
      </w:r>
      <w:r w:rsidR="00B901F7" w:rsidRPr="00B901F7">
        <w:t> </w:t>
      </w:r>
      <w:r w:rsidRPr="00B901F7">
        <w:t>3 of this Schedule, the Minister must take into consideration any relevant recommendation made to the Minister by the body specified in the declaration.</w:t>
      </w:r>
    </w:p>
    <w:p w:rsidR="009F0AFA" w:rsidRPr="00B901F7" w:rsidRDefault="009F0AFA" w:rsidP="00B901F7">
      <w:pPr>
        <w:pStyle w:val="subsection"/>
      </w:pPr>
      <w:r w:rsidRPr="00B901F7">
        <w:tab/>
        <w:t>(3)</w:t>
      </w:r>
      <w:r w:rsidRPr="00B901F7">
        <w:tab/>
        <w:t xml:space="preserve">If there is no declaration in force under </w:t>
      </w:r>
      <w:r w:rsidR="00B901F7" w:rsidRPr="00B901F7">
        <w:t>subclause (</w:t>
      </w:r>
      <w:r w:rsidRPr="00B901F7">
        <w:t>1), then, before the Governor</w:t>
      </w:r>
      <w:r w:rsidR="00983C11">
        <w:noBreakHyphen/>
      </w:r>
      <w:r w:rsidRPr="00B901F7">
        <w:t>General makes regulations for the purposes of clause</w:t>
      </w:r>
      <w:r w:rsidR="00B901F7" w:rsidRPr="00B901F7">
        <w:t> </w:t>
      </w:r>
      <w:r w:rsidRPr="00B901F7">
        <w:t xml:space="preserve">3 of this Schedule, the Minister must take into consideration any relevant recommendation made to the Minister by the Australian Grape and Wine Authority established under the </w:t>
      </w:r>
      <w:r w:rsidRPr="00B901F7">
        <w:rPr>
          <w:i/>
        </w:rPr>
        <w:t>Australian Grape and Wine Authority Act 2013</w:t>
      </w:r>
      <w:r w:rsidRPr="00B901F7">
        <w:t>.</w:t>
      </w:r>
    </w:p>
    <w:p w:rsidR="009F0AFA" w:rsidRPr="00B901F7" w:rsidRDefault="009F0AFA" w:rsidP="00B901F7">
      <w:pPr>
        <w:pStyle w:val="subsection"/>
      </w:pPr>
      <w:r w:rsidRPr="00B901F7">
        <w:tab/>
        <w:t>(4)</w:t>
      </w:r>
      <w:r w:rsidRPr="00B901F7">
        <w:tab/>
        <w:t>Before the Australian Grape and Wine Authority makes such a recommendation to the Minister, the Authority must consult with the persons who are required to pay the charge concerned.</w:t>
      </w:r>
    </w:p>
    <w:p w:rsidR="00983C11" w:rsidRDefault="009F0AFA" w:rsidP="00B901F7">
      <w:pPr>
        <w:pStyle w:val="subsection"/>
      </w:pPr>
      <w:r w:rsidRPr="00B901F7">
        <w:tab/>
        <w:t>(5)</w:t>
      </w:r>
      <w:r w:rsidRPr="00B901F7">
        <w:tab/>
        <w:t>The regulations must not, for the purposes of clause</w:t>
      </w:r>
      <w:r w:rsidR="00B901F7" w:rsidRPr="00B901F7">
        <w:t> </w:t>
      </w:r>
      <w:r w:rsidRPr="00B901F7">
        <w:t xml:space="preserve">3 of this Schedule, prescribe an amount greater than the amount recommended to the Minister under </w:t>
      </w:r>
      <w:r w:rsidR="00B901F7" w:rsidRPr="00B901F7">
        <w:t>subclause (</w:t>
      </w:r>
      <w:r w:rsidRPr="00B901F7">
        <w:t>2) or (3).</w:t>
      </w:r>
    </w:p>
    <w:p w:rsidR="00012594" w:rsidRDefault="00012594" w:rsidP="00012594"/>
    <w:p w:rsidR="001945DE" w:rsidRDefault="001945DE" w:rsidP="00012594"/>
    <w:p w:rsidR="00012594" w:rsidRDefault="00012594" w:rsidP="00012594">
      <w:pPr>
        <w:pStyle w:val="2ndRd"/>
        <w:keepNext/>
        <w:pBdr>
          <w:top w:val="single" w:sz="2" w:space="1" w:color="auto"/>
        </w:pBdr>
      </w:pPr>
    </w:p>
    <w:p w:rsidR="00012594" w:rsidRDefault="00012594" w:rsidP="00012594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12594" w:rsidRDefault="00012594" w:rsidP="00012594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November 2013</w:t>
      </w:r>
    </w:p>
    <w:p w:rsidR="00012594" w:rsidRDefault="00012594" w:rsidP="00012594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December 2013</w:t>
      </w:r>
      <w:r>
        <w:t>]</w:t>
      </w:r>
    </w:p>
    <w:p w:rsidR="00012594" w:rsidRDefault="00012594" w:rsidP="00012594">
      <w:pPr>
        <w:sectPr w:rsidR="00012594" w:rsidSect="00F1538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1945DE" w:rsidRDefault="001945DE" w:rsidP="001945DE">
      <w:pPr>
        <w:framePr w:hSpace="180" w:wrap="around" w:vAnchor="text" w:hAnchor="page" w:x="2401" w:y="104"/>
      </w:pPr>
      <w:r>
        <w:t>(227/13)</w:t>
      </w:r>
    </w:p>
    <w:p w:rsidR="007D59F5" w:rsidRDefault="007D59F5" w:rsidP="00012594">
      <w:bookmarkStart w:id="15" w:name="_GoBack"/>
      <w:bookmarkEnd w:id="15"/>
    </w:p>
    <w:sectPr w:rsidR="007D59F5" w:rsidSect="0001259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E2" w:rsidRDefault="005976E2" w:rsidP="0048364F">
      <w:pPr>
        <w:spacing w:line="240" w:lineRule="auto"/>
      </w:pPr>
      <w:r>
        <w:separator/>
      </w:r>
    </w:p>
  </w:endnote>
  <w:endnote w:type="continuationSeparator" w:id="0">
    <w:p w:rsidR="005976E2" w:rsidRDefault="005976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5F1388" w:rsidRDefault="004C378A" w:rsidP="00B901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6" w:rsidRPr="00A961C4" w:rsidRDefault="00F15386" w:rsidP="00B90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15386" w:rsidTr="00B901F7">
      <w:tc>
        <w:tcPr>
          <w:tcW w:w="1247" w:type="dxa"/>
        </w:tcPr>
        <w:p w:rsidR="00F15386" w:rsidRDefault="00E129D4" w:rsidP="00D22F0B">
          <w:pPr>
            <w:rPr>
              <w:sz w:val="18"/>
            </w:rPr>
          </w:pPr>
          <w:r>
            <w:rPr>
              <w:i/>
              <w:sz w:val="18"/>
            </w:rPr>
            <w:t>No.      , 2013</w:t>
          </w:r>
        </w:p>
      </w:tc>
      <w:tc>
        <w:tcPr>
          <w:tcW w:w="5387" w:type="dxa"/>
        </w:tcPr>
        <w:p w:rsidR="00F15386" w:rsidRDefault="00E129D4" w:rsidP="00D22F0B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669" w:type="dxa"/>
        </w:tcPr>
        <w:p w:rsidR="00F15386" w:rsidRDefault="00F15386" w:rsidP="00D22F0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15386" w:rsidRPr="00055B5C" w:rsidRDefault="00F15386" w:rsidP="004C378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6" w:rsidRPr="00A961C4" w:rsidRDefault="00F15386" w:rsidP="00B90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15386" w:rsidTr="00B901F7">
      <w:tc>
        <w:tcPr>
          <w:tcW w:w="1247" w:type="dxa"/>
        </w:tcPr>
        <w:p w:rsidR="00F15386" w:rsidRDefault="00F15386" w:rsidP="00D22F0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sz w:val="18"/>
            </w:rPr>
            <w:t>No. 144,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15386" w:rsidRDefault="00F15386" w:rsidP="00D22F0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sz w:val="18"/>
            </w:rPr>
            <w:t>Primary Industries (Customs) Charges Amendment Act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15386" w:rsidRDefault="00F15386" w:rsidP="00D22F0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15386" w:rsidRPr="00A961C4" w:rsidRDefault="00F15386" w:rsidP="004C378A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5" w:rsidRDefault="007D59F5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C378A" w:rsidRDefault="004C378A" w:rsidP="00B901F7">
    <w:pPr>
      <w:pStyle w:val="Footer"/>
      <w:spacing w:before="120"/>
    </w:pPr>
  </w:p>
  <w:p w:rsidR="004C378A" w:rsidRPr="005F1388" w:rsidRDefault="004C378A" w:rsidP="004C37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ED79B6" w:rsidRDefault="004C378A" w:rsidP="00B901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Default="004C378A" w:rsidP="00B90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C378A" w:rsidTr="00D22F0B">
      <w:tc>
        <w:tcPr>
          <w:tcW w:w="646" w:type="dxa"/>
        </w:tcPr>
        <w:p w:rsidR="004C378A" w:rsidRDefault="004C378A" w:rsidP="00D22F0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378A" w:rsidRDefault="00E129D4" w:rsidP="00D22F0B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1270" w:type="dxa"/>
        </w:tcPr>
        <w:p w:rsidR="004C378A" w:rsidRDefault="00E129D4" w:rsidP="00D22F0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2013</w:t>
          </w:r>
        </w:p>
      </w:tc>
    </w:tr>
  </w:tbl>
  <w:p w:rsidR="004C378A" w:rsidRDefault="004C378A" w:rsidP="004C378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Default="004C378A" w:rsidP="00B90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378A" w:rsidTr="00D22F0B">
      <w:tc>
        <w:tcPr>
          <w:tcW w:w="1247" w:type="dxa"/>
        </w:tcPr>
        <w:p w:rsidR="004C378A" w:rsidRDefault="00E129D4" w:rsidP="00222EAA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222EAA">
            <w:rPr>
              <w:i/>
              <w:sz w:val="18"/>
            </w:rPr>
            <w:t>144</w:t>
          </w:r>
          <w:r>
            <w:rPr>
              <w:i/>
              <w:sz w:val="18"/>
            </w:rPr>
            <w:t>, 2013</w:t>
          </w:r>
        </w:p>
      </w:tc>
      <w:tc>
        <w:tcPr>
          <w:tcW w:w="5387" w:type="dxa"/>
        </w:tcPr>
        <w:p w:rsidR="004C378A" w:rsidRDefault="00E129D4" w:rsidP="00D22F0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669" w:type="dxa"/>
        </w:tcPr>
        <w:p w:rsidR="004C378A" w:rsidRDefault="004C378A" w:rsidP="00D22F0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C378A" w:rsidRPr="00ED79B6" w:rsidRDefault="004C378A" w:rsidP="004C378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A961C4" w:rsidRDefault="004C378A" w:rsidP="00B901F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C378A" w:rsidTr="00B901F7">
      <w:tc>
        <w:tcPr>
          <w:tcW w:w="646" w:type="dxa"/>
        </w:tcPr>
        <w:p w:rsidR="004C378A" w:rsidRDefault="004C378A" w:rsidP="00D22F0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378A" w:rsidRDefault="00E129D4" w:rsidP="00D22F0B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1270" w:type="dxa"/>
        </w:tcPr>
        <w:p w:rsidR="004C378A" w:rsidRDefault="00222EAA" w:rsidP="00D22F0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144, 2013</w:t>
          </w:r>
        </w:p>
      </w:tc>
    </w:tr>
  </w:tbl>
  <w:p w:rsidR="004C378A" w:rsidRPr="00A961C4" w:rsidRDefault="004C378A" w:rsidP="004C378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A961C4" w:rsidRDefault="004C378A" w:rsidP="00B90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378A" w:rsidTr="00B901F7">
      <w:tc>
        <w:tcPr>
          <w:tcW w:w="1247" w:type="dxa"/>
        </w:tcPr>
        <w:p w:rsidR="004C378A" w:rsidRDefault="00222EAA" w:rsidP="00D22F0B">
          <w:pPr>
            <w:rPr>
              <w:sz w:val="18"/>
            </w:rPr>
          </w:pPr>
          <w:r>
            <w:rPr>
              <w:i/>
              <w:sz w:val="18"/>
            </w:rPr>
            <w:t>No. 144, 2013</w:t>
          </w:r>
        </w:p>
      </w:tc>
      <w:tc>
        <w:tcPr>
          <w:tcW w:w="5387" w:type="dxa"/>
        </w:tcPr>
        <w:p w:rsidR="004C378A" w:rsidRDefault="00E129D4" w:rsidP="00D22F0B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669" w:type="dxa"/>
        </w:tcPr>
        <w:p w:rsidR="004C378A" w:rsidRDefault="004C378A" w:rsidP="00D22F0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378A" w:rsidRPr="00055B5C" w:rsidRDefault="004C378A" w:rsidP="004C378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A961C4" w:rsidRDefault="004C378A" w:rsidP="00B90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378A" w:rsidTr="00B901F7">
      <w:tc>
        <w:tcPr>
          <w:tcW w:w="1247" w:type="dxa"/>
        </w:tcPr>
        <w:p w:rsidR="004C378A" w:rsidRDefault="00222EAA" w:rsidP="00D22F0B">
          <w:pPr>
            <w:rPr>
              <w:sz w:val="18"/>
            </w:rPr>
          </w:pPr>
          <w:r>
            <w:rPr>
              <w:i/>
              <w:sz w:val="18"/>
            </w:rPr>
            <w:t>No. 144, 2013</w:t>
          </w:r>
        </w:p>
      </w:tc>
      <w:tc>
        <w:tcPr>
          <w:tcW w:w="5387" w:type="dxa"/>
        </w:tcPr>
        <w:p w:rsidR="004C378A" w:rsidRDefault="00E129D4" w:rsidP="00D22F0B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669" w:type="dxa"/>
        </w:tcPr>
        <w:p w:rsidR="004C378A" w:rsidRDefault="004C378A" w:rsidP="00D22F0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378A" w:rsidRPr="00A961C4" w:rsidRDefault="004C378A" w:rsidP="004C378A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6" w:rsidRPr="00A961C4" w:rsidRDefault="00F15386" w:rsidP="00B901F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15386" w:rsidTr="00B901F7">
      <w:tc>
        <w:tcPr>
          <w:tcW w:w="646" w:type="dxa"/>
        </w:tcPr>
        <w:p w:rsidR="00F15386" w:rsidRDefault="00F15386" w:rsidP="00D22F0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BB6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15386" w:rsidRDefault="00E129D4" w:rsidP="00D22F0B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(Customs) Charges Amendment Act 2013</w:t>
          </w:r>
        </w:p>
      </w:tc>
      <w:tc>
        <w:tcPr>
          <w:tcW w:w="1270" w:type="dxa"/>
        </w:tcPr>
        <w:p w:rsidR="00F15386" w:rsidRDefault="00E129D4" w:rsidP="00D22F0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2013</w:t>
          </w:r>
        </w:p>
      </w:tc>
    </w:tr>
  </w:tbl>
  <w:p w:rsidR="00F15386" w:rsidRPr="00A961C4" w:rsidRDefault="00F15386" w:rsidP="004C378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E2" w:rsidRDefault="005976E2" w:rsidP="0048364F">
      <w:pPr>
        <w:spacing w:line="240" w:lineRule="auto"/>
      </w:pPr>
      <w:r>
        <w:separator/>
      </w:r>
    </w:p>
  </w:footnote>
  <w:footnote w:type="continuationSeparator" w:id="0">
    <w:p w:rsidR="005976E2" w:rsidRDefault="005976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5F1388" w:rsidRDefault="004C378A" w:rsidP="004C378A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6" w:rsidRPr="00A961C4" w:rsidRDefault="00F15386" w:rsidP="004C378A">
    <w:pPr>
      <w:rPr>
        <w:b/>
        <w:sz w:val="20"/>
      </w:rPr>
    </w:pPr>
  </w:p>
  <w:p w:rsidR="00F15386" w:rsidRPr="00A961C4" w:rsidRDefault="00F15386" w:rsidP="004C378A">
    <w:pPr>
      <w:rPr>
        <w:b/>
        <w:sz w:val="20"/>
      </w:rPr>
    </w:pPr>
  </w:p>
  <w:p w:rsidR="00F15386" w:rsidRPr="00A961C4" w:rsidRDefault="00F15386" w:rsidP="004C378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6" w:rsidRPr="00A961C4" w:rsidRDefault="00F15386" w:rsidP="004C378A">
    <w:pPr>
      <w:jc w:val="right"/>
      <w:rPr>
        <w:sz w:val="20"/>
      </w:rPr>
    </w:pPr>
  </w:p>
  <w:p w:rsidR="00F15386" w:rsidRPr="00A961C4" w:rsidRDefault="00F15386" w:rsidP="004C378A">
    <w:pPr>
      <w:jc w:val="right"/>
      <w:rPr>
        <w:b/>
        <w:sz w:val="20"/>
      </w:rPr>
    </w:pPr>
  </w:p>
  <w:p w:rsidR="00F15386" w:rsidRPr="00A961C4" w:rsidRDefault="00F15386" w:rsidP="004C378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6" w:rsidRPr="00A961C4" w:rsidRDefault="00F15386" w:rsidP="004C37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5F1388" w:rsidRDefault="004C378A" w:rsidP="004C378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5F1388" w:rsidRDefault="004C378A" w:rsidP="004C378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ED79B6" w:rsidRDefault="004C378A" w:rsidP="004C378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ED79B6" w:rsidRDefault="004C378A" w:rsidP="004C378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ED79B6" w:rsidRDefault="004C378A" w:rsidP="004C378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A961C4" w:rsidRDefault="004C378A" w:rsidP="004C378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7BB6">
      <w:rPr>
        <w:b/>
        <w:sz w:val="20"/>
      </w:rPr>
      <w:fldChar w:fldCharType="separate"/>
    </w:r>
    <w:r w:rsidR="006E7BB6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7BB6">
      <w:rPr>
        <w:sz w:val="20"/>
      </w:rPr>
      <w:fldChar w:fldCharType="separate"/>
    </w:r>
    <w:r w:rsidR="006E7BB6">
      <w:rPr>
        <w:noProof/>
        <w:sz w:val="20"/>
      </w:rPr>
      <w:t>Contingent amendments relating to wine production</w:t>
    </w:r>
    <w:r>
      <w:rPr>
        <w:sz w:val="20"/>
      </w:rPr>
      <w:fldChar w:fldCharType="end"/>
    </w:r>
  </w:p>
  <w:p w:rsidR="004C378A" w:rsidRPr="00A961C4" w:rsidRDefault="004C378A" w:rsidP="004C378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6E7BB6">
      <w:rPr>
        <w:b/>
        <w:sz w:val="20"/>
      </w:rPr>
      <w:fldChar w:fldCharType="separate"/>
    </w:r>
    <w:r w:rsidR="006E7BB6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6E7BB6">
      <w:rPr>
        <w:sz w:val="20"/>
      </w:rPr>
      <w:fldChar w:fldCharType="separate"/>
    </w:r>
    <w:r w:rsidR="006E7BB6">
      <w:rPr>
        <w:noProof/>
        <w:sz w:val="20"/>
      </w:rPr>
      <w:t>Other amendments</w:t>
    </w:r>
    <w:r>
      <w:rPr>
        <w:sz w:val="20"/>
      </w:rPr>
      <w:fldChar w:fldCharType="end"/>
    </w:r>
  </w:p>
  <w:p w:rsidR="004C378A" w:rsidRPr="00A961C4" w:rsidRDefault="004C378A" w:rsidP="004C378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A961C4" w:rsidRDefault="004C378A" w:rsidP="004C378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E7BB6">
      <w:rPr>
        <w:sz w:val="20"/>
      </w:rPr>
      <w:fldChar w:fldCharType="separate"/>
    </w:r>
    <w:r w:rsidR="006E7BB6">
      <w:rPr>
        <w:noProof/>
        <w:sz w:val="20"/>
      </w:rPr>
      <w:t>Contingent amendments relating to wine production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7BB6">
      <w:rPr>
        <w:b/>
        <w:sz w:val="20"/>
      </w:rPr>
      <w:fldChar w:fldCharType="separate"/>
    </w:r>
    <w:r w:rsidR="006E7BB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C378A" w:rsidRPr="00A961C4" w:rsidRDefault="004C378A" w:rsidP="004C378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6E7BB6">
      <w:rPr>
        <w:sz w:val="20"/>
      </w:rPr>
      <w:fldChar w:fldCharType="separate"/>
    </w:r>
    <w:r w:rsidR="006E7BB6">
      <w:rPr>
        <w:noProof/>
        <w:sz w:val="20"/>
      </w:rPr>
      <w:t>Amendments relating to maximum rate of charge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E7BB6">
      <w:rPr>
        <w:b/>
        <w:sz w:val="20"/>
      </w:rPr>
      <w:fldChar w:fldCharType="separate"/>
    </w:r>
    <w:r w:rsidR="006E7BB6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C378A" w:rsidRPr="00A961C4" w:rsidRDefault="004C378A" w:rsidP="004C378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8A" w:rsidRPr="00A961C4" w:rsidRDefault="004C378A" w:rsidP="004C37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DE1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D62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B47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A87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C29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CE0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788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D82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8CF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BC2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CE"/>
    <w:rsid w:val="000113BC"/>
    <w:rsid w:val="00012594"/>
    <w:rsid w:val="000136AF"/>
    <w:rsid w:val="000417C9"/>
    <w:rsid w:val="00045450"/>
    <w:rsid w:val="000541A5"/>
    <w:rsid w:val="00055B5C"/>
    <w:rsid w:val="00060FF9"/>
    <w:rsid w:val="000614BF"/>
    <w:rsid w:val="000A0FF4"/>
    <w:rsid w:val="000B1FD2"/>
    <w:rsid w:val="000D05EF"/>
    <w:rsid w:val="000E0E03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45DE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9EE"/>
    <w:rsid w:val="00213226"/>
    <w:rsid w:val="00222EAA"/>
    <w:rsid w:val="00240749"/>
    <w:rsid w:val="00252632"/>
    <w:rsid w:val="00263820"/>
    <w:rsid w:val="002726FA"/>
    <w:rsid w:val="00297ECB"/>
    <w:rsid w:val="002B53CA"/>
    <w:rsid w:val="002B5A30"/>
    <w:rsid w:val="002D043A"/>
    <w:rsid w:val="002D395A"/>
    <w:rsid w:val="002F72FA"/>
    <w:rsid w:val="0032544F"/>
    <w:rsid w:val="003415D3"/>
    <w:rsid w:val="00350417"/>
    <w:rsid w:val="00352B0F"/>
    <w:rsid w:val="003727F8"/>
    <w:rsid w:val="00375C6C"/>
    <w:rsid w:val="003C5F2B"/>
    <w:rsid w:val="003D0BFE"/>
    <w:rsid w:val="003D5700"/>
    <w:rsid w:val="00410B8E"/>
    <w:rsid w:val="004116CD"/>
    <w:rsid w:val="004173EB"/>
    <w:rsid w:val="00421FC1"/>
    <w:rsid w:val="004229C7"/>
    <w:rsid w:val="004244BB"/>
    <w:rsid w:val="00424C12"/>
    <w:rsid w:val="00424CA9"/>
    <w:rsid w:val="00436785"/>
    <w:rsid w:val="00436BD5"/>
    <w:rsid w:val="00437975"/>
    <w:rsid w:val="00437E4B"/>
    <w:rsid w:val="0044291A"/>
    <w:rsid w:val="0048196B"/>
    <w:rsid w:val="0048364F"/>
    <w:rsid w:val="00496F97"/>
    <w:rsid w:val="004C378A"/>
    <w:rsid w:val="004C7C8C"/>
    <w:rsid w:val="004E2A4A"/>
    <w:rsid w:val="004E6556"/>
    <w:rsid w:val="004F0D23"/>
    <w:rsid w:val="004F1FAC"/>
    <w:rsid w:val="004F322E"/>
    <w:rsid w:val="00515E2B"/>
    <w:rsid w:val="00516B8D"/>
    <w:rsid w:val="00537FBC"/>
    <w:rsid w:val="00543469"/>
    <w:rsid w:val="00551B54"/>
    <w:rsid w:val="005579FA"/>
    <w:rsid w:val="00584811"/>
    <w:rsid w:val="00586B8E"/>
    <w:rsid w:val="00593AA6"/>
    <w:rsid w:val="00594161"/>
    <w:rsid w:val="00594749"/>
    <w:rsid w:val="005976E2"/>
    <w:rsid w:val="005A0D92"/>
    <w:rsid w:val="005B4067"/>
    <w:rsid w:val="005C3F41"/>
    <w:rsid w:val="00600219"/>
    <w:rsid w:val="00601EE3"/>
    <w:rsid w:val="00604FCE"/>
    <w:rsid w:val="00641DE5"/>
    <w:rsid w:val="0065501F"/>
    <w:rsid w:val="00656F0C"/>
    <w:rsid w:val="00677CC2"/>
    <w:rsid w:val="00681F92"/>
    <w:rsid w:val="006842C2"/>
    <w:rsid w:val="00685F42"/>
    <w:rsid w:val="0069207B"/>
    <w:rsid w:val="006A23AC"/>
    <w:rsid w:val="006A2CD7"/>
    <w:rsid w:val="006C2874"/>
    <w:rsid w:val="006C7F8C"/>
    <w:rsid w:val="006D380D"/>
    <w:rsid w:val="006E0135"/>
    <w:rsid w:val="006E303A"/>
    <w:rsid w:val="006E7BB6"/>
    <w:rsid w:val="006F7E19"/>
    <w:rsid w:val="00700B2C"/>
    <w:rsid w:val="00712D8D"/>
    <w:rsid w:val="00713084"/>
    <w:rsid w:val="00714B26"/>
    <w:rsid w:val="00731E00"/>
    <w:rsid w:val="0074218B"/>
    <w:rsid w:val="007440B7"/>
    <w:rsid w:val="007634AD"/>
    <w:rsid w:val="007715C9"/>
    <w:rsid w:val="00774EDD"/>
    <w:rsid w:val="007757EC"/>
    <w:rsid w:val="00776921"/>
    <w:rsid w:val="007968D6"/>
    <w:rsid w:val="007C629F"/>
    <w:rsid w:val="007D59F5"/>
    <w:rsid w:val="007E7D4A"/>
    <w:rsid w:val="007F6A93"/>
    <w:rsid w:val="008006CC"/>
    <w:rsid w:val="0080606D"/>
    <w:rsid w:val="00807F18"/>
    <w:rsid w:val="00856A31"/>
    <w:rsid w:val="00857D6B"/>
    <w:rsid w:val="008754D0"/>
    <w:rsid w:val="00877D48"/>
    <w:rsid w:val="00883781"/>
    <w:rsid w:val="00885570"/>
    <w:rsid w:val="00893958"/>
    <w:rsid w:val="008A2E77"/>
    <w:rsid w:val="008C34AA"/>
    <w:rsid w:val="008C6F6F"/>
    <w:rsid w:val="008D0EE0"/>
    <w:rsid w:val="008F4F1C"/>
    <w:rsid w:val="008F77C4"/>
    <w:rsid w:val="0090151A"/>
    <w:rsid w:val="009103F3"/>
    <w:rsid w:val="00932377"/>
    <w:rsid w:val="00967042"/>
    <w:rsid w:val="0098255A"/>
    <w:rsid w:val="00983C11"/>
    <w:rsid w:val="009845BE"/>
    <w:rsid w:val="009969C9"/>
    <w:rsid w:val="009E34A3"/>
    <w:rsid w:val="009F0AFA"/>
    <w:rsid w:val="00A07167"/>
    <w:rsid w:val="00A10775"/>
    <w:rsid w:val="00A231E2"/>
    <w:rsid w:val="00A33AF2"/>
    <w:rsid w:val="00A36C48"/>
    <w:rsid w:val="00A64912"/>
    <w:rsid w:val="00A70A74"/>
    <w:rsid w:val="00A86773"/>
    <w:rsid w:val="00AA3795"/>
    <w:rsid w:val="00AB4673"/>
    <w:rsid w:val="00AC1E75"/>
    <w:rsid w:val="00AD5641"/>
    <w:rsid w:val="00AE1088"/>
    <w:rsid w:val="00B032D8"/>
    <w:rsid w:val="00B33B3C"/>
    <w:rsid w:val="00B6382D"/>
    <w:rsid w:val="00B901F7"/>
    <w:rsid w:val="00BA5026"/>
    <w:rsid w:val="00BB40BF"/>
    <w:rsid w:val="00BE719A"/>
    <w:rsid w:val="00BE720A"/>
    <w:rsid w:val="00BF0461"/>
    <w:rsid w:val="00BF4944"/>
    <w:rsid w:val="00C04409"/>
    <w:rsid w:val="00C067E5"/>
    <w:rsid w:val="00C15AD1"/>
    <w:rsid w:val="00C164CA"/>
    <w:rsid w:val="00C176CF"/>
    <w:rsid w:val="00C25742"/>
    <w:rsid w:val="00C33395"/>
    <w:rsid w:val="00C42BF8"/>
    <w:rsid w:val="00C460AE"/>
    <w:rsid w:val="00C50043"/>
    <w:rsid w:val="00C54E84"/>
    <w:rsid w:val="00C7573B"/>
    <w:rsid w:val="00C76CF3"/>
    <w:rsid w:val="00C80639"/>
    <w:rsid w:val="00CB0E52"/>
    <w:rsid w:val="00CB11CD"/>
    <w:rsid w:val="00CE1E31"/>
    <w:rsid w:val="00CF0BB2"/>
    <w:rsid w:val="00CF1EFB"/>
    <w:rsid w:val="00D00EAA"/>
    <w:rsid w:val="00D13441"/>
    <w:rsid w:val="00D165BB"/>
    <w:rsid w:val="00D243A3"/>
    <w:rsid w:val="00D477C3"/>
    <w:rsid w:val="00D52EFE"/>
    <w:rsid w:val="00D52FCC"/>
    <w:rsid w:val="00D63EF6"/>
    <w:rsid w:val="00D70DFB"/>
    <w:rsid w:val="00D73029"/>
    <w:rsid w:val="00D766DF"/>
    <w:rsid w:val="00DA3628"/>
    <w:rsid w:val="00DB69E5"/>
    <w:rsid w:val="00DF7AE9"/>
    <w:rsid w:val="00E05704"/>
    <w:rsid w:val="00E129D4"/>
    <w:rsid w:val="00E15607"/>
    <w:rsid w:val="00E24D66"/>
    <w:rsid w:val="00E54292"/>
    <w:rsid w:val="00E74DC7"/>
    <w:rsid w:val="00E87699"/>
    <w:rsid w:val="00ED492F"/>
    <w:rsid w:val="00EF2E3A"/>
    <w:rsid w:val="00EF458C"/>
    <w:rsid w:val="00F047E2"/>
    <w:rsid w:val="00F078DC"/>
    <w:rsid w:val="00F13E86"/>
    <w:rsid w:val="00F15386"/>
    <w:rsid w:val="00F17B00"/>
    <w:rsid w:val="00F677A9"/>
    <w:rsid w:val="00F82FC6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1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2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2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2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01F7"/>
  </w:style>
  <w:style w:type="paragraph" w:customStyle="1" w:styleId="OPCParaBase">
    <w:name w:val="OPCParaBase"/>
    <w:link w:val="OPCParaBaseChar"/>
    <w:qFormat/>
    <w:rsid w:val="00B901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901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01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01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01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01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01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01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01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01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01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901F7"/>
  </w:style>
  <w:style w:type="paragraph" w:customStyle="1" w:styleId="Blocks">
    <w:name w:val="Blocks"/>
    <w:aliases w:val="bb"/>
    <w:basedOn w:val="OPCParaBase"/>
    <w:qFormat/>
    <w:rsid w:val="00B901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0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01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01F7"/>
    <w:rPr>
      <w:i/>
    </w:rPr>
  </w:style>
  <w:style w:type="paragraph" w:customStyle="1" w:styleId="BoxList">
    <w:name w:val="BoxList"/>
    <w:aliases w:val="bl"/>
    <w:basedOn w:val="BoxText"/>
    <w:qFormat/>
    <w:rsid w:val="00B901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01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01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01F7"/>
    <w:pPr>
      <w:ind w:left="1985" w:hanging="851"/>
    </w:pPr>
  </w:style>
  <w:style w:type="character" w:customStyle="1" w:styleId="CharAmPartNo">
    <w:name w:val="CharAmPartNo"/>
    <w:basedOn w:val="OPCCharBase"/>
    <w:qFormat/>
    <w:rsid w:val="00B901F7"/>
  </w:style>
  <w:style w:type="character" w:customStyle="1" w:styleId="CharAmPartText">
    <w:name w:val="CharAmPartText"/>
    <w:basedOn w:val="OPCCharBase"/>
    <w:qFormat/>
    <w:rsid w:val="00B901F7"/>
  </w:style>
  <w:style w:type="character" w:customStyle="1" w:styleId="CharAmSchNo">
    <w:name w:val="CharAmSchNo"/>
    <w:basedOn w:val="OPCCharBase"/>
    <w:qFormat/>
    <w:rsid w:val="00B901F7"/>
  </w:style>
  <w:style w:type="character" w:customStyle="1" w:styleId="CharAmSchText">
    <w:name w:val="CharAmSchText"/>
    <w:basedOn w:val="OPCCharBase"/>
    <w:qFormat/>
    <w:rsid w:val="00B901F7"/>
  </w:style>
  <w:style w:type="character" w:customStyle="1" w:styleId="CharBoldItalic">
    <w:name w:val="CharBoldItalic"/>
    <w:basedOn w:val="OPCCharBase"/>
    <w:uiPriority w:val="1"/>
    <w:qFormat/>
    <w:rsid w:val="00B901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01F7"/>
  </w:style>
  <w:style w:type="character" w:customStyle="1" w:styleId="CharChapText">
    <w:name w:val="CharChapText"/>
    <w:basedOn w:val="OPCCharBase"/>
    <w:uiPriority w:val="1"/>
    <w:qFormat/>
    <w:rsid w:val="00B901F7"/>
  </w:style>
  <w:style w:type="character" w:customStyle="1" w:styleId="CharDivNo">
    <w:name w:val="CharDivNo"/>
    <w:basedOn w:val="OPCCharBase"/>
    <w:uiPriority w:val="1"/>
    <w:qFormat/>
    <w:rsid w:val="00B901F7"/>
  </w:style>
  <w:style w:type="character" w:customStyle="1" w:styleId="CharDivText">
    <w:name w:val="CharDivText"/>
    <w:basedOn w:val="OPCCharBase"/>
    <w:uiPriority w:val="1"/>
    <w:qFormat/>
    <w:rsid w:val="00B901F7"/>
  </w:style>
  <w:style w:type="character" w:customStyle="1" w:styleId="CharItalic">
    <w:name w:val="CharItalic"/>
    <w:basedOn w:val="OPCCharBase"/>
    <w:uiPriority w:val="1"/>
    <w:qFormat/>
    <w:rsid w:val="00B901F7"/>
    <w:rPr>
      <w:i/>
    </w:rPr>
  </w:style>
  <w:style w:type="character" w:customStyle="1" w:styleId="CharPartNo">
    <w:name w:val="CharPartNo"/>
    <w:basedOn w:val="OPCCharBase"/>
    <w:uiPriority w:val="1"/>
    <w:qFormat/>
    <w:rsid w:val="00B901F7"/>
  </w:style>
  <w:style w:type="character" w:customStyle="1" w:styleId="CharPartText">
    <w:name w:val="CharPartText"/>
    <w:basedOn w:val="OPCCharBase"/>
    <w:uiPriority w:val="1"/>
    <w:qFormat/>
    <w:rsid w:val="00B901F7"/>
  </w:style>
  <w:style w:type="character" w:customStyle="1" w:styleId="CharSectno">
    <w:name w:val="CharSectno"/>
    <w:basedOn w:val="OPCCharBase"/>
    <w:qFormat/>
    <w:rsid w:val="00B901F7"/>
  </w:style>
  <w:style w:type="character" w:customStyle="1" w:styleId="CharSubdNo">
    <w:name w:val="CharSubdNo"/>
    <w:basedOn w:val="OPCCharBase"/>
    <w:uiPriority w:val="1"/>
    <w:qFormat/>
    <w:rsid w:val="00B901F7"/>
  </w:style>
  <w:style w:type="character" w:customStyle="1" w:styleId="CharSubdText">
    <w:name w:val="CharSubdText"/>
    <w:basedOn w:val="OPCCharBase"/>
    <w:uiPriority w:val="1"/>
    <w:qFormat/>
    <w:rsid w:val="00B901F7"/>
  </w:style>
  <w:style w:type="paragraph" w:customStyle="1" w:styleId="CTA--">
    <w:name w:val="CTA --"/>
    <w:basedOn w:val="OPCParaBase"/>
    <w:next w:val="Normal"/>
    <w:rsid w:val="00B901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01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01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01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01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01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01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01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01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01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01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01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01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01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01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01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0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01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0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0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01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01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01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01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901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901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01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01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01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01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01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01F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01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01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01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901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01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01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01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01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01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B901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01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01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01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01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01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01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01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01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01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0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01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01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01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01F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01F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901F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01F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01F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01F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901F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01F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01F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01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01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01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01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01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01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01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01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01F7"/>
    <w:rPr>
      <w:sz w:val="16"/>
    </w:rPr>
  </w:style>
  <w:style w:type="table" w:customStyle="1" w:styleId="CFlag">
    <w:name w:val="CFlag"/>
    <w:basedOn w:val="TableNormal"/>
    <w:uiPriority w:val="99"/>
    <w:rsid w:val="00B901F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901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01F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901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01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901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01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0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0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0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901F7"/>
    <w:pPr>
      <w:spacing w:before="120"/>
    </w:pPr>
  </w:style>
  <w:style w:type="paragraph" w:customStyle="1" w:styleId="TableTextEndNotes">
    <w:name w:val="TableTextEndNotes"/>
    <w:aliases w:val="Tten"/>
    <w:basedOn w:val="Normal"/>
    <w:rsid w:val="00B901F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901F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901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01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01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01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01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01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01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01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01F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901F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901F7"/>
  </w:style>
  <w:style w:type="character" w:customStyle="1" w:styleId="CharSubPartNoCASA">
    <w:name w:val="CharSubPartNo(CASA)"/>
    <w:basedOn w:val="OPCCharBase"/>
    <w:uiPriority w:val="1"/>
    <w:rsid w:val="00B901F7"/>
  </w:style>
  <w:style w:type="paragraph" w:customStyle="1" w:styleId="ENoteTTIndentHeadingSub">
    <w:name w:val="ENoteTTIndentHeadingSub"/>
    <w:aliases w:val="enTTHis"/>
    <w:basedOn w:val="OPCParaBase"/>
    <w:rsid w:val="00B901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01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01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01F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90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901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0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01F7"/>
    <w:rPr>
      <w:sz w:val="22"/>
    </w:rPr>
  </w:style>
  <w:style w:type="paragraph" w:customStyle="1" w:styleId="SOTextNote">
    <w:name w:val="SO TextNote"/>
    <w:aliases w:val="sont"/>
    <w:basedOn w:val="SOText"/>
    <w:qFormat/>
    <w:rsid w:val="00B901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01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01F7"/>
    <w:rPr>
      <w:sz w:val="22"/>
    </w:rPr>
  </w:style>
  <w:style w:type="paragraph" w:customStyle="1" w:styleId="FileName">
    <w:name w:val="FileName"/>
    <w:basedOn w:val="Normal"/>
    <w:rsid w:val="00B901F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01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01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01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01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01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01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01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01F7"/>
    <w:rPr>
      <w:sz w:val="18"/>
    </w:rPr>
  </w:style>
  <w:style w:type="character" w:customStyle="1" w:styleId="paragraphChar">
    <w:name w:val="paragraph Char"/>
    <w:aliases w:val="a Char"/>
    <w:link w:val="paragraph"/>
    <w:rsid w:val="00604FCE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604FC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04FC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604FCE"/>
    <w:rPr>
      <w:rFonts w:eastAsia="Times New Roman" w:cs="Times New Roman"/>
      <w:sz w:val="22"/>
      <w:lang w:eastAsia="en-AU"/>
    </w:rPr>
  </w:style>
  <w:style w:type="character" w:customStyle="1" w:styleId="SessionChar">
    <w:name w:val="Session Char"/>
    <w:basedOn w:val="DefaultParagraphFont"/>
    <w:link w:val="Session"/>
    <w:rsid w:val="00604FCE"/>
    <w:rPr>
      <w:rFonts w:eastAsia="Times New Roman" w:cs="Times New Roman"/>
      <w:sz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2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2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2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2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2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2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2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1538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538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538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538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538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538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5386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15386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15386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15386"/>
  </w:style>
  <w:style w:type="character" w:customStyle="1" w:styleId="ShortTCPChar">
    <w:name w:val="ShortTCP Char"/>
    <w:basedOn w:val="ShortTChar"/>
    <w:link w:val="ShortTCP"/>
    <w:rsid w:val="00F1538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5386"/>
    <w:pPr>
      <w:spacing w:before="400"/>
    </w:pPr>
  </w:style>
  <w:style w:type="character" w:customStyle="1" w:styleId="ActNoCPChar">
    <w:name w:val="ActNoCP Char"/>
    <w:basedOn w:val="ActnoChar"/>
    <w:link w:val="ActNoCP"/>
    <w:rsid w:val="00F1538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538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D59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D59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D59F5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1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2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2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2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01F7"/>
  </w:style>
  <w:style w:type="paragraph" w:customStyle="1" w:styleId="OPCParaBase">
    <w:name w:val="OPCParaBase"/>
    <w:link w:val="OPCParaBaseChar"/>
    <w:qFormat/>
    <w:rsid w:val="00B901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901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01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01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01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01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01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01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01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01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01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901F7"/>
  </w:style>
  <w:style w:type="paragraph" w:customStyle="1" w:styleId="Blocks">
    <w:name w:val="Blocks"/>
    <w:aliases w:val="bb"/>
    <w:basedOn w:val="OPCParaBase"/>
    <w:qFormat/>
    <w:rsid w:val="00B901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0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01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01F7"/>
    <w:rPr>
      <w:i/>
    </w:rPr>
  </w:style>
  <w:style w:type="paragraph" w:customStyle="1" w:styleId="BoxList">
    <w:name w:val="BoxList"/>
    <w:aliases w:val="bl"/>
    <w:basedOn w:val="BoxText"/>
    <w:qFormat/>
    <w:rsid w:val="00B901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01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01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01F7"/>
    <w:pPr>
      <w:ind w:left="1985" w:hanging="851"/>
    </w:pPr>
  </w:style>
  <w:style w:type="character" w:customStyle="1" w:styleId="CharAmPartNo">
    <w:name w:val="CharAmPartNo"/>
    <w:basedOn w:val="OPCCharBase"/>
    <w:qFormat/>
    <w:rsid w:val="00B901F7"/>
  </w:style>
  <w:style w:type="character" w:customStyle="1" w:styleId="CharAmPartText">
    <w:name w:val="CharAmPartText"/>
    <w:basedOn w:val="OPCCharBase"/>
    <w:qFormat/>
    <w:rsid w:val="00B901F7"/>
  </w:style>
  <w:style w:type="character" w:customStyle="1" w:styleId="CharAmSchNo">
    <w:name w:val="CharAmSchNo"/>
    <w:basedOn w:val="OPCCharBase"/>
    <w:qFormat/>
    <w:rsid w:val="00B901F7"/>
  </w:style>
  <w:style w:type="character" w:customStyle="1" w:styleId="CharAmSchText">
    <w:name w:val="CharAmSchText"/>
    <w:basedOn w:val="OPCCharBase"/>
    <w:qFormat/>
    <w:rsid w:val="00B901F7"/>
  </w:style>
  <w:style w:type="character" w:customStyle="1" w:styleId="CharBoldItalic">
    <w:name w:val="CharBoldItalic"/>
    <w:basedOn w:val="OPCCharBase"/>
    <w:uiPriority w:val="1"/>
    <w:qFormat/>
    <w:rsid w:val="00B901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01F7"/>
  </w:style>
  <w:style w:type="character" w:customStyle="1" w:styleId="CharChapText">
    <w:name w:val="CharChapText"/>
    <w:basedOn w:val="OPCCharBase"/>
    <w:uiPriority w:val="1"/>
    <w:qFormat/>
    <w:rsid w:val="00B901F7"/>
  </w:style>
  <w:style w:type="character" w:customStyle="1" w:styleId="CharDivNo">
    <w:name w:val="CharDivNo"/>
    <w:basedOn w:val="OPCCharBase"/>
    <w:uiPriority w:val="1"/>
    <w:qFormat/>
    <w:rsid w:val="00B901F7"/>
  </w:style>
  <w:style w:type="character" w:customStyle="1" w:styleId="CharDivText">
    <w:name w:val="CharDivText"/>
    <w:basedOn w:val="OPCCharBase"/>
    <w:uiPriority w:val="1"/>
    <w:qFormat/>
    <w:rsid w:val="00B901F7"/>
  </w:style>
  <w:style w:type="character" w:customStyle="1" w:styleId="CharItalic">
    <w:name w:val="CharItalic"/>
    <w:basedOn w:val="OPCCharBase"/>
    <w:uiPriority w:val="1"/>
    <w:qFormat/>
    <w:rsid w:val="00B901F7"/>
    <w:rPr>
      <w:i/>
    </w:rPr>
  </w:style>
  <w:style w:type="character" w:customStyle="1" w:styleId="CharPartNo">
    <w:name w:val="CharPartNo"/>
    <w:basedOn w:val="OPCCharBase"/>
    <w:uiPriority w:val="1"/>
    <w:qFormat/>
    <w:rsid w:val="00B901F7"/>
  </w:style>
  <w:style w:type="character" w:customStyle="1" w:styleId="CharPartText">
    <w:name w:val="CharPartText"/>
    <w:basedOn w:val="OPCCharBase"/>
    <w:uiPriority w:val="1"/>
    <w:qFormat/>
    <w:rsid w:val="00B901F7"/>
  </w:style>
  <w:style w:type="character" w:customStyle="1" w:styleId="CharSectno">
    <w:name w:val="CharSectno"/>
    <w:basedOn w:val="OPCCharBase"/>
    <w:qFormat/>
    <w:rsid w:val="00B901F7"/>
  </w:style>
  <w:style w:type="character" w:customStyle="1" w:styleId="CharSubdNo">
    <w:name w:val="CharSubdNo"/>
    <w:basedOn w:val="OPCCharBase"/>
    <w:uiPriority w:val="1"/>
    <w:qFormat/>
    <w:rsid w:val="00B901F7"/>
  </w:style>
  <w:style w:type="character" w:customStyle="1" w:styleId="CharSubdText">
    <w:name w:val="CharSubdText"/>
    <w:basedOn w:val="OPCCharBase"/>
    <w:uiPriority w:val="1"/>
    <w:qFormat/>
    <w:rsid w:val="00B901F7"/>
  </w:style>
  <w:style w:type="paragraph" w:customStyle="1" w:styleId="CTA--">
    <w:name w:val="CTA --"/>
    <w:basedOn w:val="OPCParaBase"/>
    <w:next w:val="Normal"/>
    <w:rsid w:val="00B901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01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01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01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01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01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01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01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01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01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01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01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01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01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01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01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0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01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0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0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01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01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01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01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901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901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01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01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01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01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01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01F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01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01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01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901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01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01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01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01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01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B901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01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01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01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01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01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01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01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01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01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0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01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01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01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01F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01F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901F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01F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01F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01F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901F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01F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01F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01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01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01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01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01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01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01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01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01F7"/>
    <w:rPr>
      <w:sz w:val="16"/>
    </w:rPr>
  </w:style>
  <w:style w:type="table" w:customStyle="1" w:styleId="CFlag">
    <w:name w:val="CFlag"/>
    <w:basedOn w:val="TableNormal"/>
    <w:uiPriority w:val="99"/>
    <w:rsid w:val="00B901F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901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01F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901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01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901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01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0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0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0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901F7"/>
    <w:pPr>
      <w:spacing w:before="120"/>
    </w:pPr>
  </w:style>
  <w:style w:type="paragraph" w:customStyle="1" w:styleId="TableTextEndNotes">
    <w:name w:val="TableTextEndNotes"/>
    <w:aliases w:val="Tten"/>
    <w:basedOn w:val="Normal"/>
    <w:rsid w:val="00B901F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901F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901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01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01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01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01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01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01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01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01F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901F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901F7"/>
  </w:style>
  <w:style w:type="character" w:customStyle="1" w:styleId="CharSubPartNoCASA">
    <w:name w:val="CharSubPartNo(CASA)"/>
    <w:basedOn w:val="OPCCharBase"/>
    <w:uiPriority w:val="1"/>
    <w:rsid w:val="00B901F7"/>
  </w:style>
  <w:style w:type="paragraph" w:customStyle="1" w:styleId="ENoteTTIndentHeadingSub">
    <w:name w:val="ENoteTTIndentHeadingSub"/>
    <w:aliases w:val="enTTHis"/>
    <w:basedOn w:val="OPCParaBase"/>
    <w:rsid w:val="00B901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01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01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01F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90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901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0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01F7"/>
    <w:rPr>
      <w:sz w:val="22"/>
    </w:rPr>
  </w:style>
  <w:style w:type="paragraph" w:customStyle="1" w:styleId="SOTextNote">
    <w:name w:val="SO TextNote"/>
    <w:aliases w:val="sont"/>
    <w:basedOn w:val="SOText"/>
    <w:qFormat/>
    <w:rsid w:val="00B901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01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01F7"/>
    <w:rPr>
      <w:sz w:val="22"/>
    </w:rPr>
  </w:style>
  <w:style w:type="paragraph" w:customStyle="1" w:styleId="FileName">
    <w:name w:val="FileName"/>
    <w:basedOn w:val="Normal"/>
    <w:rsid w:val="00B901F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01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01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01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01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01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01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01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01F7"/>
    <w:rPr>
      <w:sz w:val="18"/>
    </w:rPr>
  </w:style>
  <w:style w:type="character" w:customStyle="1" w:styleId="paragraphChar">
    <w:name w:val="paragraph Char"/>
    <w:aliases w:val="a Char"/>
    <w:link w:val="paragraph"/>
    <w:rsid w:val="00604FCE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604FC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04FC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604FCE"/>
    <w:rPr>
      <w:rFonts w:eastAsia="Times New Roman" w:cs="Times New Roman"/>
      <w:sz w:val="22"/>
      <w:lang w:eastAsia="en-AU"/>
    </w:rPr>
  </w:style>
  <w:style w:type="character" w:customStyle="1" w:styleId="SessionChar">
    <w:name w:val="Session Char"/>
    <w:basedOn w:val="DefaultParagraphFont"/>
    <w:link w:val="Session"/>
    <w:rsid w:val="00604FCE"/>
    <w:rPr>
      <w:rFonts w:eastAsia="Times New Roman" w:cs="Times New Roman"/>
      <w:sz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2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2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2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2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2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2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2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1538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538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538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538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538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538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5386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15386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15386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15386"/>
  </w:style>
  <w:style w:type="character" w:customStyle="1" w:styleId="ShortTCPChar">
    <w:name w:val="ShortTCP Char"/>
    <w:basedOn w:val="ShortTChar"/>
    <w:link w:val="ShortTCP"/>
    <w:rsid w:val="00F1538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5386"/>
    <w:pPr>
      <w:spacing w:before="400"/>
    </w:pPr>
  </w:style>
  <w:style w:type="character" w:customStyle="1" w:styleId="ActNoCPChar">
    <w:name w:val="ActNoCP Char"/>
    <w:basedOn w:val="ActnoChar"/>
    <w:link w:val="ActNoCP"/>
    <w:rsid w:val="00F1538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538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D59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D59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D59F5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2406</Words>
  <Characters>13718</Characters>
  <Application>Microsoft Office Word</Application>
  <DocSecurity>0</DocSecurity>
  <PresentationFormat/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2013-12-19T23:02:00Z</dcterms:created>
  <dcterms:modified xsi:type="dcterms:W3CDTF">2013-12-22T20:58:00Z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Primary Industries (Customs) Charges Amendment Act 2013</vt:lpwstr>
  </property>
  <property fmtid="{D5CDD505-2E9C-101B-9397-08002B2CF9AE}" pid="3" name="Actno">
    <vt:lpwstr>No. 144, 2013</vt:lpwstr>
  </property>
</Properties>
</file>