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E2E59" w:rsidRDefault="00BE2E59">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15pt;height:77.75pt" o:ole="" fillcolor="window">
            <v:imagedata r:id="rId8" o:title=""/>
          </v:shape>
          <o:OLEObject Type="Embed" ProgID="Word.Picture.8" ShapeID="_x0000_i1025" DrawAspect="Content" ObjectID="_1434882096" r:id="rId9"/>
        </w:object>
      </w:r>
    </w:p>
    <w:p w:rsidR="00BE2E59" w:rsidRDefault="00BE2E59"/>
    <w:p w:rsidR="00BE2E59" w:rsidRDefault="00BE2E59" w:rsidP="00BE2E59">
      <w:pPr>
        <w:spacing w:line="240" w:lineRule="auto"/>
      </w:pPr>
    </w:p>
    <w:p w:rsidR="00BE2E59" w:rsidRDefault="00BE2E59" w:rsidP="00BE2E59"/>
    <w:p w:rsidR="00BE2E59" w:rsidRDefault="00BE2E59" w:rsidP="00BE2E59"/>
    <w:p w:rsidR="00BE2E59" w:rsidRDefault="00BE2E59" w:rsidP="00BE2E59"/>
    <w:p w:rsidR="00BE2E59" w:rsidRDefault="00BE2E59" w:rsidP="00BE2E59"/>
    <w:p w:rsidR="0048364F" w:rsidRPr="00C74590" w:rsidRDefault="00F10780" w:rsidP="0048364F">
      <w:pPr>
        <w:pStyle w:val="ShortT"/>
      </w:pPr>
      <w:r w:rsidRPr="00C74590">
        <w:t xml:space="preserve">Australian Aged Care Quality Agency (Transitional Provisions) </w:t>
      </w:r>
      <w:r w:rsidR="00BE2E59">
        <w:t>Act</w:t>
      </w:r>
      <w:r w:rsidRPr="00C74590">
        <w:t xml:space="preserve"> 2013</w:t>
      </w:r>
    </w:p>
    <w:p w:rsidR="0048364F" w:rsidRPr="00C74590" w:rsidRDefault="0048364F" w:rsidP="0048364F"/>
    <w:p w:rsidR="0048364F" w:rsidRPr="00C74590" w:rsidRDefault="00C164CA" w:rsidP="00BE2E59">
      <w:pPr>
        <w:pStyle w:val="Actno"/>
        <w:spacing w:before="400"/>
      </w:pPr>
      <w:r w:rsidRPr="00C74590">
        <w:t>No.</w:t>
      </w:r>
      <w:r w:rsidR="007429EE">
        <w:t xml:space="preserve"> 78</w:t>
      </w:r>
      <w:r w:rsidRPr="00C74590">
        <w:t>, 201</w:t>
      </w:r>
      <w:r w:rsidR="00641DE5" w:rsidRPr="00C74590">
        <w:t>3</w:t>
      </w:r>
    </w:p>
    <w:p w:rsidR="0048364F" w:rsidRPr="00C74590" w:rsidRDefault="0048364F" w:rsidP="0048364F"/>
    <w:p w:rsidR="00BE2E59" w:rsidRDefault="00BE2E59" w:rsidP="00BE2E59"/>
    <w:p w:rsidR="00BE2E59" w:rsidRDefault="00BE2E59" w:rsidP="00BE2E59"/>
    <w:p w:rsidR="00BE2E59" w:rsidRDefault="00BE2E59" w:rsidP="00BE2E59"/>
    <w:p w:rsidR="00BE2E59" w:rsidRDefault="00BE2E59" w:rsidP="00BE2E59"/>
    <w:p w:rsidR="0048364F" w:rsidRPr="00C74590" w:rsidRDefault="00BE2E59" w:rsidP="0048364F">
      <w:pPr>
        <w:pStyle w:val="LongT"/>
      </w:pPr>
      <w:r>
        <w:t>An Act</w:t>
      </w:r>
      <w:r w:rsidR="00F10780" w:rsidRPr="00C74590">
        <w:t xml:space="preserve"> to deal with transitional matters in connection with the </w:t>
      </w:r>
      <w:r w:rsidR="00F10780" w:rsidRPr="00C74590">
        <w:rPr>
          <w:i/>
        </w:rPr>
        <w:t>Australian Aged Care Quality Agency Act 2013</w:t>
      </w:r>
      <w:r w:rsidR="00F10780" w:rsidRPr="00C74590">
        <w:t>, and for related purposes</w:t>
      </w:r>
    </w:p>
    <w:p w:rsidR="0048364F" w:rsidRPr="00C74590" w:rsidRDefault="0048364F" w:rsidP="0048364F">
      <w:pPr>
        <w:pStyle w:val="Header"/>
        <w:tabs>
          <w:tab w:val="clear" w:pos="4150"/>
          <w:tab w:val="clear" w:pos="8307"/>
        </w:tabs>
      </w:pPr>
      <w:r w:rsidRPr="00C74590">
        <w:rPr>
          <w:rStyle w:val="CharAmSchNo"/>
        </w:rPr>
        <w:t xml:space="preserve"> </w:t>
      </w:r>
      <w:r w:rsidRPr="00C74590">
        <w:rPr>
          <w:rStyle w:val="CharAmSchText"/>
        </w:rPr>
        <w:t xml:space="preserve"> </w:t>
      </w:r>
    </w:p>
    <w:p w:rsidR="0048364F" w:rsidRPr="00C74590" w:rsidRDefault="0048364F" w:rsidP="0048364F">
      <w:pPr>
        <w:pStyle w:val="Header"/>
        <w:tabs>
          <w:tab w:val="clear" w:pos="4150"/>
          <w:tab w:val="clear" w:pos="8307"/>
        </w:tabs>
      </w:pPr>
      <w:r w:rsidRPr="00C74590">
        <w:rPr>
          <w:rStyle w:val="CharAmPartNo"/>
        </w:rPr>
        <w:t xml:space="preserve"> </w:t>
      </w:r>
      <w:r w:rsidRPr="00C74590">
        <w:rPr>
          <w:rStyle w:val="CharAmPartText"/>
        </w:rPr>
        <w:t xml:space="preserve"> </w:t>
      </w:r>
    </w:p>
    <w:p w:rsidR="0048364F" w:rsidRPr="00C74590" w:rsidRDefault="0048364F" w:rsidP="0048364F">
      <w:pPr>
        <w:sectPr w:rsidR="0048364F" w:rsidRPr="00C74590" w:rsidSect="00BE2E59">
          <w:headerReference w:type="even" r:id="rId10"/>
          <w:headerReference w:type="default" r:id="rId11"/>
          <w:footerReference w:type="even" r:id="rId12"/>
          <w:footerReference w:type="default" r:id="rId13"/>
          <w:headerReference w:type="first" r:id="rId14"/>
          <w:footerReference w:type="first" r:id="rId15"/>
          <w:pgSz w:w="11907" w:h="16839"/>
          <w:pgMar w:top="1418" w:right="2409" w:bottom="4252" w:left="2409" w:header="720" w:footer="3402" w:gutter="0"/>
          <w:cols w:space="708"/>
          <w:docGrid w:linePitch="360"/>
        </w:sectPr>
      </w:pPr>
    </w:p>
    <w:p w:rsidR="0048364F" w:rsidRPr="00C74590" w:rsidRDefault="0048364F" w:rsidP="00F10780">
      <w:pPr>
        <w:rPr>
          <w:sz w:val="36"/>
        </w:rPr>
      </w:pPr>
      <w:r w:rsidRPr="00C74590">
        <w:rPr>
          <w:sz w:val="36"/>
        </w:rPr>
        <w:lastRenderedPageBreak/>
        <w:t>Contents</w:t>
      </w:r>
    </w:p>
    <w:bookmarkStart w:id="1" w:name="BKCheck15B_1"/>
    <w:bookmarkEnd w:id="1"/>
    <w:p w:rsidR="007429EE" w:rsidRDefault="007429EE">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7429EE">
        <w:rPr>
          <w:noProof/>
        </w:rPr>
        <w:tab/>
      </w:r>
      <w:r w:rsidRPr="007429EE">
        <w:rPr>
          <w:noProof/>
        </w:rPr>
        <w:fldChar w:fldCharType="begin"/>
      </w:r>
      <w:r w:rsidRPr="007429EE">
        <w:rPr>
          <w:noProof/>
        </w:rPr>
        <w:instrText xml:space="preserve"> PAGEREF _Toc361130693 \h </w:instrText>
      </w:r>
      <w:r w:rsidRPr="007429EE">
        <w:rPr>
          <w:noProof/>
        </w:rPr>
      </w:r>
      <w:r w:rsidRPr="007429EE">
        <w:rPr>
          <w:noProof/>
        </w:rPr>
        <w:fldChar w:fldCharType="separate"/>
      </w:r>
      <w:r w:rsidR="00FF206D">
        <w:rPr>
          <w:noProof/>
        </w:rPr>
        <w:t>1</w:t>
      </w:r>
      <w:r w:rsidRPr="007429EE">
        <w:rPr>
          <w:noProof/>
        </w:rPr>
        <w:fldChar w:fldCharType="end"/>
      </w:r>
    </w:p>
    <w:p w:rsidR="007429EE" w:rsidRDefault="007429EE">
      <w:pPr>
        <w:pStyle w:val="TOC5"/>
        <w:rPr>
          <w:rFonts w:asciiTheme="minorHAnsi" w:eastAsiaTheme="minorEastAsia" w:hAnsiTheme="minorHAnsi" w:cstheme="minorBidi"/>
          <w:noProof/>
          <w:kern w:val="0"/>
          <w:sz w:val="22"/>
          <w:szCs w:val="22"/>
        </w:rPr>
      </w:pPr>
      <w:r>
        <w:rPr>
          <w:noProof/>
        </w:rPr>
        <w:t>2</w:t>
      </w:r>
      <w:r>
        <w:rPr>
          <w:noProof/>
        </w:rPr>
        <w:tab/>
        <w:t>Commencement</w:t>
      </w:r>
      <w:r w:rsidRPr="007429EE">
        <w:rPr>
          <w:noProof/>
        </w:rPr>
        <w:tab/>
      </w:r>
      <w:r w:rsidRPr="007429EE">
        <w:rPr>
          <w:noProof/>
        </w:rPr>
        <w:fldChar w:fldCharType="begin"/>
      </w:r>
      <w:r w:rsidRPr="007429EE">
        <w:rPr>
          <w:noProof/>
        </w:rPr>
        <w:instrText xml:space="preserve"> PAGEREF _Toc361130694 \h </w:instrText>
      </w:r>
      <w:r w:rsidRPr="007429EE">
        <w:rPr>
          <w:noProof/>
        </w:rPr>
      </w:r>
      <w:r w:rsidRPr="007429EE">
        <w:rPr>
          <w:noProof/>
        </w:rPr>
        <w:fldChar w:fldCharType="separate"/>
      </w:r>
      <w:r w:rsidR="00FF206D">
        <w:rPr>
          <w:noProof/>
        </w:rPr>
        <w:t>2</w:t>
      </w:r>
      <w:r w:rsidRPr="007429EE">
        <w:rPr>
          <w:noProof/>
        </w:rPr>
        <w:fldChar w:fldCharType="end"/>
      </w:r>
    </w:p>
    <w:p w:rsidR="007429EE" w:rsidRDefault="007429EE">
      <w:pPr>
        <w:pStyle w:val="TOC5"/>
        <w:rPr>
          <w:rFonts w:asciiTheme="minorHAnsi" w:eastAsiaTheme="minorEastAsia" w:hAnsiTheme="minorHAnsi" w:cstheme="minorBidi"/>
          <w:noProof/>
          <w:kern w:val="0"/>
          <w:sz w:val="22"/>
          <w:szCs w:val="22"/>
        </w:rPr>
      </w:pPr>
      <w:r>
        <w:rPr>
          <w:noProof/>
        </w:rPr>
        <w:t>3</w:t>
      </w:r>
      <w:r>
        <w:rPr>
          <w:noProof/>
        </w:rPr>
        <w:tab/>
        <w:t>Schedule(s)</w:t>
      </w:r>
      <w:r w:rsidRPr="007429EE">
        <w:rPr>
          <w:noProof/>
        </w:rPr>
        <w:tab/>
      </w:r>
      <w:r w:rsidRPr="007429EE">
        <w:rPr>
          <w:noProof/>
        </w:rPr>
        <w:fldChar w:fldCharType="begin"/>
      </w:r>
      <w:r w:rsidRPr="007429EE">
        <w:rPr>
          <w:noProof/>
        </w:rPr>
        <w:instrText xml:space="preserve"> PAGEREF _Toc361130695 \h </w:instrText>
      </w:r>
      <w:r w:rsidRPr="007429EE">
        <w:rPr>
          <w:noProof/>
        </w:rPr>
      </w:r>
      <w:r w:rsidRPr="007429EE">
        <w:rPr>
          <w:noProof/>
        </w:rPr>
        <w:fldChar w:fldCharType="separate"/>
      </w:r>
      <w:r w:rsidR="00FF206D">
        <w:rPr>
          <w:noProof/>
        </w:rPr>
        <w:t>2</w:t>
      </w:r>
      <w:r w:rsidRPr="007429EE">
        <w:rPr>
          <w:noProof/>
        </w:rPr>
        <w:fldChar w:fldCharType="end"/>
      </w:r>
    </w:p>
    <w:p w:rsidR="007429EE" w:rsidRDefault="007429EE">
      <w:pPr>
        <w:pStyle w:val="TOC6"/>
        <w:rPr>
          <w:rFonts w:asciiTheme="minorHAnsi" w:eastAsiaTheme="minorEastAsia" w:hAnsiTheme="minorHAnsi" w:cstheme="minorBidi"/>
          <w:b w:val="0"/>
          <w:noProof/>
          <w:kern w:val="0"/>
          <w:sz w:val="22"/>
          <w:szCs w:val="22"/>
        </w:rPr>
      </w:pPr>
      <w:r>
        <w:rPr>
          <w:noProof/>
        </w:rPr>
        <w:t>Schedule 1—Transitional provisions</w:t>
      </w:r>
      <w:r w:rsidRPr="007429EE">
        <w:rPr>
          <w:b w:val="0"/>
          <w:noProof/>
          <w:sz w:val="18"/>
        </w:rPr>
        <w:tab/>
      </w:r>
      <w:r w:rsidRPr="007429EE">
        <w:rPr>
          <w:b w:val="0"/>
          <w:noProof/>
          <w:sz w:val="18"/>
        </w:rPr>
        <w:fldChar w:fldCharType="begin"/>
      </w:r>
      <w:r w:rsidRPr="007429EE">
        <w:rPr>
          <w:b w:val="0"/>
          <w:noProof/>
          <w:sz w:val="18"/>
        </w:rPr>
        <w:instrText xml:space="preserve"> PAGEREF _Toc361130696 \h </w:instrText>
      </w:r>
      <w:r w:rsidRPr="007429EE">
        <w:rPr>
          <w:b w:val="0"/>
          <w:noProof/>
          <w:sz w:val="18"/>
        </w:rPr>
      </w:r>
      <w:r w:rsidRPr="007429EE">
        <w:rPr>
          <w:b w:val="0"/>
          <w:noProof/>
          <w:sz w:val="18"/>
        </w:rPr>
        <w:fldChar w:fldCharType="separate"/>
      </w:r>
      <w:r w:rsidR="00FF206D">
        <w:rPr>
          <w:b w:val="0"/>
          <w:noProof/>
          <w:sz w:val="18"/>
        </w:rPr>
        <w:t>3</w:t>
      </w:r>
      <w:r w:rsidRPr="007429EE">
        <w:rPr>
          <w:b w:val="0"/>
          <w:noProof/>
          <w:sz w:val="18"/>
        </w:rPr>
        <w:fldChar w:fldCharType="end"/>
      </w:r>
    </w:p>
    <w:p w:rsidR="007429EE" w:rsidRDefault="007429EE">
      <w:pPr>
        <w:pStyle w:val="TOC7"/>
        <w:rPr>
          <w:rFonts w:asciiTheme="minorHAnsi" w:eastAsiaTheme="minorEastAsia" w:hAnsiTheme="minorHAnsi" w:cstheme="minorBidi"/>
          <w:noProof/>
          <w:kern w:val="0"/>
          <w:sz w:val="22"/>
          <w:szCs w:val="22"/>
        </w:rPr>
      </w:pPr>
      <w:r>
        <w:rPr>
          <w:noProof/>
        </w:rPr>
        <w:t>Part 1—Preliminary</w:t>
      </w:r>
      <w:r w:rsidRPr="007429EE">
        <w:rPr>
          <w:noProof/>
          <w:sz w:val="18"/>
        </w:rPr>
        <w:tab/>
      </w:r>
      <w:r w:rsidRPr="007429EE">
        <w:rPr>
          <w:noProof/>
          <w:sz w:val="18"/>
        </w:rPr>
        <w:fldChar w:fldCharType="begin"/>
      </w:r>
      <w:r w:rsidRPr="007429EE">
        <w:rPr>
          <w:noProof/>
          <w:sz w:val="18"/>
        </w:rPr>
        <w:instrText xml:space="preserve"> PAGEREF _Toc361130697 \h </w:instrText>
      </w:r>
      <w:r w:rsidRPr="007429EE">
        <w:rPr>
          <w:noProof/>
          <w:sz w:val="18"/>
        </w:rPr>
      </w:r>
      <w:r w:rsidRPr="007429EE">
        <w:rPr>
          <w:noProof/>
          <w:sz w:val="18"/>
        </w:rPr>
        <w:fldChar w:fldCharType="separate"/>
      </w:r>
      <w:r w:rsidR="00FF206D">
        <w:rPr>
          <w:noProof/>
          <w:sz w:val="18"/>
        </w:rPr>
        <w:t>3</w:t>
      </w:r>
      <w:r w:rsidRPr="007429EE">
        <w:rPr>
          <w:noProof/>
          <w:sz w:val="18"/>
        </w:rPr>
        <w:fldChar w:fldCharType="end"/>
      </w:r>
    </w:p>
    <w:p w:rsidR="007429EE" w:rsidRDefault="007429EE">
      <w:pPr>
        <w:pStyle w:val="TOC7"/>
        <w:rPr>
          <w:rFonts w:asciiTheme="minorHAnsi" w:eastAsiaTheme="minorEastAsia" w:hAnsiTheme="minorHAnsi" w:cstheme="minorBidi"/>
          <w:noProof/>
          <w:kern w:val="0"/>
          <w:sz w:val="22"/>
          <w:szCs w:val="22"/>
        </w:rPr>
      </w:pPr>
      <w:r>
        <w:rPr>
          <w:noProof/>
        </w:rPr>
        <w:t>Part 2—Transfer of assets and liabilities</w:t>
      </w:r>
      <w:r w:rsidRPr="007429EE">
        <w:rPr>
          <w:noProof/>
          <w:sz w:val="18"/>
        </w:rPr>
        <w:tab/>
      </w:r>
      <w:r w:rsidRPr="007429EE">
        <w:rPr>
          <w:noProof/>
          <w:sz w:val="18"/>
        </w:rPr>
        <w:fldChar w:fldCharType="begin"/>
      </w:r>
      <w:r w:rsidRPr="007429EE">
        <w:rPr>
          <w:noProof/>
          <w:sz w:val="18"/>
        </w:rPr>
        <w:instrText xml:space="preserve"> PAGEREF _Toc361130698 \h </w:instrText>
      </w:r>
      <w:r w:rsidRPr="007429EE">
        <w:rPr>
          <w:noProof/>
          <w:sz w:val="18"/>
        </w:rPr>
      </w:r>
      <w:r w:rsidRPr="007429EE">
        <w:rPr>
          <w:noProof/>
          <w:sz w:val="18"/>
        </w:rPr>
        <w:fldChar w:fldCharType="separate"/>
      </w:r>
      <w:r w:rsidR="00FF206D">
        <w:rPr>
          <w:noProof/>
          <w:sz w:val="18"/>
        </w:rPr>
        <w:t>5</w:t>
      </w:r>
      <w:r w:rsidRPr="007429EE">
        <w:rPr>
          <w:noProof/>
          <w:sz w:val="18"/>
        </w:rPr>
        <w:fldChar w:fldCharType="end"/>
      </w:r>
    </w:p>
    <w:p w:rsidR="007429EE" w:rsidRDefault="007429EE">
      <w:pPr>
        <w:pStyle w:val="TOC8"/>
        <w:rPr>
          <w:rFonts w:asciiTheme="minorHAnsi" w:eastAsiaTheme="minorEastAsia" w:hAnsiTheme="minorHAnsi" w:cstheme="minorBidi"/>
          <w:noProof/>
          <w:kern w:val="0"/>
          <w:sz w:val="22"/>
          <w:szCs w:val="22"/>
        </w:rPr>
      </w:pPr>
      <w:r>
        <w:rPr>
          <w:noProof/>
        </w:rPr>
        <w:t>Division 1—Transfer from ACSAA Limited to the Commonwealth</w:t>
      </w:r>
      <w:r w:rsidRPr="007429EE">
        <w:rPr>
          <w:noProof/>
          <w:sz w:val="18"/>
        </w:rPr>
        <w:tab/>
      </w:r>
      <w:r w:rsidRPr="007429EE">
        <w:rPr>
          <w:noProof/>
          <w:sz w:val="18"/>
        </w:rPr>
        <w:fldChar w:fldCharType="begin"/>
      </w:r>
      <w:r w:rsidRPr="007429EE">
        <w:rPr>
          <w:noProof/>
          <w:sz w:val="18"/>
        </w:rPr>
        <w:instrText xml:space="preserve"> PAGEREF _Toc361130699 \h </w:instrText>
      </w:r>
      <w:r w:rsidRPr="007429EE">
        <w:rPr>
          <w:noProof/>
          <w:sz w:val="18"/>
        </w:rPr>
      </w:r>
      <w:r w:rsidRPr="007429EE">
        <w:rPr>
          <w:noProof/>
          <w:sz w:val="18"/>
        </w:rPr>
        <w:fldChar w:fldCharType="separate"/>
      </w:r>
      <w:r w:rsidR="00FF206D">
        <w:rPr>
          <w:noProof/>
          <w:sz w:val="18"/>
        </w:rPr>
        <w:t>5</w:t>
      </w:r>
      <w:r w:rsidRPr="007429EE">
        <w:rPr>
          <w:noProof/>
          <w:sz w:val="18"/>
        </w:rPr>
        <w:fldChar w:fldCharType="end"/>
      </w:r>
    </w:p>
    <w:p w:rsidR="007429EE" w:rsidRDefault="007429EE">
      <w:pPr>
        <w:pStyle w:val="TOC8"/>
        <w:rPr>
          <w:rFonts w:asciiTheme="minorHAnsi" w:eastAsiaTheme="minorEastAsia" w:hAnsiTheme="minorHAnsi" w:cstheme="minorBidi"/>
          <w:noProof/>
          <w:kern w:val="0"/>
          <w:sz w:val="22"/>
          <w:szCs w:val="22"/>
        </w:rPr>
      </w:pPr>
      <w:r>
        <w:rPr>
          <w:noProof/>
        </w:rPr>
        <w:t>Division 2—Instruments, legal proceedings and records</w:t>
      </w:r>
      <w:r w:rsidRPr="007429EE">
        <w:rPr>
          <w:noProof/>
          <w:sz w:val="18"/>
        </w:rPr>
        <w:tab/>
      </w:r>
      <w:r w:rsidRPr="007429EE">
        <w:rPr>
          <w:noProof/>
          <w:sz w:val="18"/>
        </w:rPr>
        <w:fldChar w:fldCharType="begin"/>
      </w:r>
      <w:r w:rsidRPr="007429EE">
        <w:rPr>
          <w:noProof/>
          <w:sz w:val="18"/>
        </w:rPr>
        <w:instrText xml:space="preserve"> PAGEREF _Toc361130700 \h </w:instrText>
      </w:r>
      <w:r w:rsidRPr="007429EE">
        <w:rPr>
          <w:noProof/>
          <w:sz w:val="18"/>
        </w:rPr>
      </w:r>
      <w:r w:rsidRPr="007429EE">
        <w:rPr>
          <w:noProof/>
          <w:sz w:val="18"/>
        </w:rPr>
        <w:fldChar w:fldCharType="separate"/>
      </w:r>
      <w:r w:rsidR="00FF206D">
        <w:rPr>
          <w:noProof/>
          <w:sz w:val="18"/>
        </w:rPr>
        <w:t>5</w:t>
      </w:r>
      <w:r w:rsidRPr="007429EE">
        <w:rPr>
          <w:noProof/>
          <w:sz w:val="18"/>
        </w:rPr>
        <w:fldChar w:fldCharType="end"/>
      </w:r>
    </w:p>
    <w:p w:rsidR="007429EE" w:rsidRDefault="007429EE">
      <w:pPr>
        <w:pStyle w:val="TOC8"/>
        <w:rPr>
          <w:rFonts w:asciiTheme="minorHAnsi" w:eastAsiaTheme="minorEastAsia" w:hAnsiTheme="minorHAnsi" w:cstheme="minorBidi"/>
          <w:noProof/>
          <w:kern w:val="0"/>
          <w:sz w:val="22"/>
          <w:szCs w:val="22"/>
        </w:rPr>
      </w:pPr>
      <w:r>
        <w:rPr>
          <w:noProof/>
        </w:rPr>
        <w:t>Division 3—General provisions</w:t>
      </w:r>
      <w:r w:rsidRPr="007429EE">
        <w:rPr>
          <w:noProof/>
          <w:sz w:val="18"/>
        </w:rPr>
        <w:tab/>
      </w:r>
      <w:r w:rsidRPr="007429EE">
        <w:rPr>
          <w:noProof/>
          <w:sz w:val="18"/>
        </w:rPr>
        <w:fldChar w:fldCharType="begin"/>
      </w:r>
      <w:r w:rsidRPr="007429EE">
        <w:rPr>
          <w:noProof/>
          <w:sz w:val="18"/>
        </w:rPr>
        <w:instrText xml:space="preserve"> PAGEREF _Toc361130701 \h </w:instrText>
      </w:r>
      <w:r w:rsidRPr="007429EE">
        <w:rPr>
          <w:noProof/>
          <w:sz w:val="18"/>
        </w:rPr>
      </w:r>
      <w:r w:rsidRPr="007429EE">
        <w:rPr>
          <w:noProof/>
          <w:sz w:val="18"/>
        </w:rPr>
        <w:fldChar w:fldCharType="separate"/>
      </w:r>
      <w:r w:rsidR="00FF206D">
        <w:rPr>
          <w:noProof/>
          <w:sz w:val="18"/>
        </w:rPr>
        <w:t>6</w:t>
      </w:r>
      <w:r w:rsidRPr="007429EE">
        <w:rPr>
          <w:noProof/>
          <w:sz w:val="18"/>
        </w:rPr>
        <w:fldChar w:fldCharType="end"/>
      </w:r>
    </w:p>
    <w:p w:rsidR="007429EE" w:rsidRDefault="007429EE">
      <w:pPr>
        <w:pStyle w:val="TOC8"/>
        <w:rPr>
          <w:rFonts w:asciiTheme="minorHAnsi" w:eastAsiaTheme="minorEastAsia" w:hAnsiTheme="minorHAnsi" w:cstheme="minorBidi"/>
          <w:noProof/>
          <w:kern w:val="0"/>
          <w:sz w:val="22"/>
          <w:szCs w:val="22"/>
        </w:rPr>
      </w:pPr>
      <w:r>
        <w:rPr>
          <w:noProof/>
        </w:rPr>
        <w:t>Division 4—Applications and requests for reconsideration</w:t>
      </w:r>
      <w:r w:rsidRPr="007429EE">
        <w:rPr>
          <w:noProof/>
          <w:sz w:val="18"/>
        </w:rPr>
        <w:tab/>
      </w:r>
      <w:r w:rsidRPr="007429EE">
        <w:rPr>
          <w:noProof/>
          <w:sz w:val="18"/>
        </w:rPr>
        <w:fldChar w:fldCharType="begin"/>
      </w:r>
      <w:r w:rsidRPr="007429EE">
        <w:rPr>
          <w:noProof/>
          <w:sz w:val="18"/>
        </w:rPr>
        <w:instrText xml:space="preserve"> PAGEREF _Toc361130702 \h </w:instrText>
      </w:r>
      <w:r w:rsidRPr="007429EE">
        <w:rPr>
          <w:noProof/>
          <w:sz w:val="18"/>
        </w:rPr>
      </w:r>
      <w:r w:rsidRPr="007429EE">
        <w:rPr>
          <w:noProof/>
          <w:sz w:val="18"/>
        </w:rPr>
        <w:fldChar w:fldCharType="separate"/>
      </w:r>
      <w:r w:rsidR="00FF206D">
        <w:rPr>
          <w:noProof/>
          <w:sz w:val="18"/>
        </w:rPr>
        <w:t>8</w:t>
      </w:r>
      <w:r w:rsidRPr="007429EE">
        <w:rPr>
          <w:noProof/>
          <w:sz w:val="18"/>
        </w:rPr>
        <w:fldChar w:fldCharType="end"/>
      </w:r>
    </w:p>
    <w:p w:rsidR="007429EE" w:rsidRDefault="007429EE">
      <w:pPr>
        <w:pStyle w:val="TOC7"/>
        <w:rPr>
          <w:rFonts w:asciiTheme="minorHAnsi" w:eastAsiaTheme="minorEastAsia" w:hAnsiTheme="minorHAnsi" w:cstheme="minorBidi"/>
          <w:noProof/>
          <w:kern w:val="0"/>
          <w:sz w:val="22"/>
          <w:szCs w:val="22"/>
        </w:rPr>
      </w:pPr>
      <w:r>
        <w:rPr>
          <w:noProof/>
        </w:rPr>
        <w:t>Part 3—Books, reports, returns etc.</w:t>
      </w:r>
      <w:r w:rsidRPr="007429EE">
        <w:rPr>
          <w:noProof/>
          <w:sz w:val="18"/>
        </w:rPr>
        <w:tab/>
      </w:r>
      <w:r w:rsidRPr="007429EE">
        <w:rPr>
          <w:noProof/>
          <w:sz w:val="18"/>
        </w:rPr>
        <w:fldChar w:fldCharType="begin"/>
      </w:r>
      <w:r w:rsidRPr="007429EE">
        <w:rPr>
          <w:noProof/>
          <w:sz w:val="18"/>
        </w:rPr>
        <w:instrText xml:space="preserve"> PAGEREF _Toc361130703 \h </w:instrText>
      </w:r>
      <w:r w:rsidRPr="007429EE">
        <w:rPr>
          <w:noProof/>
          <w:sz w:val="18"/>
        </w:rPr>
      </w:r>
      <w:r w:rsidRPr="007429EE">
        <w:rPr>
          <w:noProof/>
          <w:sz w:val="18"/>
        </w:rPr>
        <w:fldChar w:fldCharType="separate"/>
      </w:r>
      <w:r w:rsidR="00FF206D">
        <w:rPr>
          <w:noProof/>
          <w:sz w:val="18"/>
        </w:rPr>
        <w:t>10</w:t>
      </w:r>
      <w:r w:rsidRPr="007429EE">
        <w:rPr>
          <w:noProof/>
          <w:sz w:val="18"/>
        </w:rPr>
        <w:fldChar w:fldCharType="end"/>
      </w:r>
    </w:p>
    <w:p w:rsidR="007429EE" w:rsidRDefault="007429EE">
      <w:pPr>
        <w:pStyle w:val="TOC7"/>
        <w:rPr>
          <w:rFonts w:asciiTheme="minorHAnsi" w:eastAsiaTheme="minorEastAsia" w:hAnsiTheme="minorHAnsi" w:cstheme="minorBidi"/>
          <w:noProof/>
          <w:kern w:val="0"/>
          <w:sz w:val="22"/>
          <w:szCs w:val="22"/>
        </w:rPr>
      </w:pPr>
      <w:r>
        <w:rPr>
          <w:noProof/>
        </w:rPr>
        <w:t>Part 4—Office holders and staff</w:t>
      </w:r>
      <w:r w:rsidRPr="007429EE">
        <w:rPr>
          <w:noProof/>
          <w:sz w:val="18"/>
        </w:rPr>
        <w:tab/>
      </w:r>
      <w:r w:rsidRPr="007429EE">
        <w:rPr>
          <w:noProof/>
          <w:sz w:val="18"/>
        </w:rPr>
        <w:fldChar w:fldCharType="begin"/>
      </w:r>
      <w:r w:rsidRPr="007429EE">
        <w:rPr>
          <w:noProof/>
          <w:sz w:val="18"/>
        </w:rPr>
        <w:instrText xml:space="preserve"> PAGEREF _Toc361130704 \h </w:instrText>
      </w:r>
      <w:r w:rsidRPr="007429EE">
        <w:rPr>
          <w:noProof/>
          <w:sz w:val="18"/>
        </w:rPr>
      </w:r>
      <w:r w:rsidRPr="007429EE">
        <w:rPr>
          <w:noProof/>
          <w:sz w:val="18"/>
        </w:rPr>
        <w:fldChar w:fldCharType="separate"/>
      </w:r>
      <w:r w:rsidR="00FF206D">
        <w:rPr>
          <w:noProof/>
          <w:sz w:val="18"/>
        </w:rPr>
        <w:t>11</w:t>
      </w:r>
      <w:r w:rsidRPr="007429EE">
        <w:rPr>
          <w:noProof/>
          <w:sz w:val="18"/>
        </w:rPr>
        <w:fldChar w:fldCharType="end"/>
      </w:r>
    </w:p>
    <w:p w:rsidR="007429EE" w:rsidRDefault="007429EE">
      <w:pPr>
        <w:pStyle w:val="TOC7"/>
        <w:rPr>
          <w:rFonts w:asciiTheme="minorHAnsi" w:eastAsiaTheme="minorEastAsia" w:hAnsiTheme="minorHAnsi" w:cstheme="minorBidi"/>
          <w:noProof/>
          <w:kern w:val="0"/>
          <w:sz w:val="22"/>
          <w:szCs w:val="22"/>
        </w:rPr>
      </w:pPr>
      <w:r>
        <w:rPr>
          <w:noProof/>
        </w:rPr>
        <w:t>Part 5—Other transitional matters</w:t>
      </w:r>
      <w:r w:rsidRPr="007429EE">
        <w:rPr>
          <w:noProof/>
          <w:sz w:val="18"/>
        </w:rPr>
        <w:tab/>
      </w:r>
      <w:r w:rsidRPr="007429EE">
        <w:rPr>
          <w:noProof/>
          <w:sz w:val="18"/>
        </w:rPr>
        <w:fldChar w:fldCharType="begin"/>
      </w:r>
      <w:r w:rsidRPr="007429EE">
        <w:rPr>
          <w:noProof/>
          <w:sz w:val="18"/>
        </w:rPr>
        <w:instrText xml:space="preserve"> PAGEREF _Toc361130705 \h </w:instrText>
      </w:r>
      <w:r w:rsidRPr="007429EE">
        <w:rPr>
          <w:noProof/>
          <w:sz w:val="18"/>
        </w:rPr>
      </w:r>
      <w:r w:rsidRPr="007429EE">
        <w:rPr>
          <w:noProof/>
          <w:sz w:val="18"/>
        </w:rPr>
        <w:fldChar w:fldCharType="separate"/>
      </w:r>
      <w:r w:rsidR="00FF206D">
        <w:rPr>
          <w:noProof/>
          <w:sz w:val="18"/>
        </w:rPr>
        <w:t>13</w:t>
      </w:r>
      <w:r w:rsidRPr="007429EE">
        <w:rPr>
          <w:noProof/>
          <w:sz w:val="18"/>
        </w:rPr>
        <w:fldChar w:fldCharType="end"/>
      </w:r>
    </w:p>
    <w:p w:rsidR="0048364F" w:rsidRPr="00C74590" w:rsidRDefault="007429EE" w:rsidP="0048364F">
      <w:r>
        <w:fldChar w:fldCharType="end"/>
      </w:r>
    </w:p>
    <w:p w:rsidR="0048364F" w:rsidRPr="00C74590" w:rsidRDefault="0048364F" w:rsidP="0048364F">
      <w:pPr>
        <w:sectPr w:rsidR="0048364F" w:rsidRPr="00C74590" w:rsidSect="00BE2E59">
          <w:headerReference w:type="even" r:id="rId16"/>
          <w:headerReference w:type="default" r:id="rId17"/>
          <w:footerReference w:type="even" r:id="rId18"/>
          <w:footerReference w:type="default" r:id="rId19"/>
          <w:headerReference w:type="first" r:id="rId20"/>
          <w:pgSz w:w="11907" w:h="16839"/>
          <w:pgMar w:top="2381" w:right="2409" w:bottom="4252" w:left="2409" w:header="720" w:footer="3402" w:gutter="0"/>
          <w:pgNumType w:fmt="lowerRoman" w:start="1"/>
          <w:cols w:space="708"/>
          <w:docGrid w:linePitch="360"/>
        </w:sectPr>
      </w:pPr>
    </w:p>
    <w:p w:rsidR="00BE2E59" w:rsidRDefault="00BE2E59">
      <w:r>
        <w:object w:dxaOrig="2146" w:dyaOrig="1561">
          <v:shape id="_x0000_i1026" type="#_x0000_t75" style="width:107.15pt;height:77.75pt" o:ole="" fillcolor="window">
            <v:imagedata r:id="rId8" o:title=""/>
          </v:shape>
          <o:OLEObject Type="Embed" ProgID="Word.Picture.8" ShapeID="_x0000_i1026" DrawAspect="Content" ObjectID="_1434882097" r:id="rId21"/>
        </w:object>
      </w:r>
    </w:p>
    <w:p w:rsidR="00BE2E59" w:rsidRDefault="00BE2E59"/>
    <w:p w:rsidR="00BE2E59" w:rsidRDefault="00BE2E59" w:rsidP="00BE2E59">
      <w:pPr>
        <w:spacing w:line="240" w:lineRule="auto"/>
      </w:pPr>
    </w:p>
    <w:p w:rsidR="00BE2E59" w:rsidRDefault="007429EE" w:rsidP="00BE2E59">
      <w:pPr>
        <w:pStyle w:val="ShortTP1"/>
      </w:pPr>
      <w:fldSimple w:instr=" STYLEREF ShortT ">
        <w:r w:rsidR="00FF206D">
          <w:rPr>
            <w:noProof/>
          </w:rPr>
          <w:t>Australian Aged Care Quality Agency (Transitional Provisions) Act 2013</w:t>
        </w:r>
      </w:fldSimple>
    </w:p>
    <w:p w:rsidR="00BE2E59" w:rsidRDefault="007429EE" w:rsidP="00BE2E59">
      <w:pPr>
        <w:pStyle w:val="ActNoP1"/>
      </w:pPr>
      <w:fldSimple w:instr=" STYLEREF Actno ">
        <w:r w:rsidR="00FF206D">
          <w:rPr>
            <w:noProof/>
          </w:rPr>
          <w:t>No. 78, 2013</w:t>
        </w:r>
      </w:fldSimple>
    </w:p>
    <w:p w:rsidR="00BE2E59" w:rsidRDefault="00BE2E59">
      <w:pPr>
        <w:pStyle w:val="p1LinesBef"/>
      </w:pPr>
    </w:p>
    <w:p w:rsidR="00BE2E59" w:rsidRDefault="00BE2E59">
      <w:pPr>
        <w:spacing w:line="40" w:lineRule="exact"/>
        <w:rPr>
          <w:b/>
          <w:sz w:val="28"/>
        </w:rPr>
      </w:pPr>
    </w:p>
    <w:p w:rsidR="00BE2E59" w:rsidRDefault="00BE2E59">
      <w:pPr>
        <w:pStyle w:val="p1LinesAfter"/>
      </w:pPr>
    </w:p>
    <w:p w:rsidR="0048364F" w:rsidRPr="00C74590" w:rsidRDefault="00BE2E59" w:rsidP="00C74590">
      <w:pPr>
        <w:pStyle w:val="Page1"/>
      </w:pPr>
      <w:r>
        <w:t>An Act</w:t>
      </w:r>
      <w:r w:rsidR="00F10780" w:rsidRPr="00C74590">
        <w:t xml:space="preserve"> to deal with transitional matters in connection with the </w:t>
      </w:r>
      <w:r w:rsidR="00F10780" w:rsidRPr="00C74590">
        <w:rPr>
          <w:i/>
        </w:rPr>
        <w:t>Australian Aged Care Quality Agency Act 2013</w:t>
      </w:r>
      <w:r w:rsidR="00F10780" w:rsidRPr="00C74590">
        <w:t>, and for related purposes</w:t>
      </w:r>
    </w:p>
    <w:p w:rsidR="007429EE" w:rsidRDefault="007429EE">
      <w:pPr>
        <w:pStyle w:val="AssentDt"/>
        <w:spacing w:before="240"/>
        <w:rPr>
          <w:sz w:val="24"/>
        </w:rPr>
      </w:pPr>
      <w:r>
        <w:rPr>
          <w:sz w:val="24"/>
        </w:rPr>
        <w:t>[</w:t>
      </w:r>
      <w:r>
        <w:rPr>
          <w:i/>
          <w:sz w:val="24"/>
        </w:rPr>
        <w:t>Assented to 28 June 2013</w:t>
      </w:r>
      <w:r>
        <w:rPr>
          <w:sz w:val="24"/>
        </w:rPr>
        <w:t>]</w:t>
      </w:r>
    </w:p>
    <w:p w:rsidR="007429EE" w:rsidRDefault="007429EE"/>
    <w:p w:rsidR="0048364F" w:rsidRPr="00C74590" w:rsidRDefault="0048364F" w:rsidP="00C74590">
      <w:pPr>
        <w:spacing w:before="240" w:line="240" w:lineRule="auto"/>
        <w:rPr>
          <w:sz w:val="32"/>
        </w:rPr>
      </w:pPr>
      <w:r w:rsidRPr="00C74590">
        <w:rPr>
          <w:sz w:val="32"/>
        </w:rPr>
        <w:t>The Parliament of Australia enacts:</w:t>
      </w:r>
    </w:p>
    <w:p w:rsidR="0048364F" w:rsidRPr="00C74590" w:rsidRDefault="0048364F" w:rsidP="00C74590">
      <w:pPr>
        <w:pStyle w:val="ActHead5"/>
      </w:pPr>
      <w:bookmarkStart w:id="2" w:name="_Toc361130693"/>
      <w:r w:rsidRPr="00C74590">
        <w:rPr>
          <w:rStyle w:val="CharSectno"/>
        </w:rPr>
        <w:t>1</w:t>
      </w:r>
      <w:r w:rsidRPr="00C74590">
        <w:t xml:space="preserve">  Short title</w:t>
      </w:r>
      <w:bookmarkEnd w:id="2"/>
    </w:p>
    <w:p w:rsidR="0048364F" w:rsidRPr="00C74590" w:rsidRDefault="0048364F" w:rsidP="00C74590">
      <w:pPr>
        <w:pStyle w:val="subsection"/>
      </w:pPr>
      <w:r w:rsidRPr="00C74590">
        <w:tab/>
      </w:r>
      <w:r w:rsidRPr="00C74590">
        <w:tab/>
      </w:r>
      <w:r w:rsidR="00F10780" w:rsidRPr="00C74590">
        <w:t xml:space="preserve">This Act may be cited as the </w:t>
      </w:r>
      <w:r w:rsidR="00F10780" w:rsidRPr="00C74590">
        <w:rPr>
          <w:i/>
        </w:rPr>
        <w:t>Australian Aged Care Quality Agency (Transitional Provisions) Act 2013</w:t>
      </w:r>
      <w:r w:rsidR="00F10780" w:rsidRPr="00C74590">
        <w:t>.</w:t>
      </w:r>
    </w:p>
    <w:p w:rsidR="0048364F" w:rsidRPr="00C74590" w:rsidRDefault="0048364F" w:rsidP="00C74590">
      <w:pPr>
        <w:pStyle w:val="ActHead5"/>
      </w:pPr>
      <w:bookmarkStart w:id="3" w:name="_Toc361130694"/>
      <w:r w:rsidRPr="00C74590">
        <w:rPr>
          <w:rStyle w:val="CharSectno"/>
        </w:rPr>
        <w:lastRenderedPageBreak/>
        <w:t>2</w:t>
      </w:r>
      <w:r w:rsidRPr="00C74590">
        <w:t xml:space="preserve">  Commencement</w:t>
      </w:r>
      <w:bookmarkEnd w:id="3"/>
    </w:p>
    <w:p w:rsidR="0048364F" w:rsidRPr="00C74590" w:rsidRDefault="0048364F" w:rsidP="00C74590">
      <w:pPr>
        <w:pStyle w:val="subsection"/>
      </w:pPr>
      <w:r w:rsidRPr="00C74590">
        <w:tab/>
      </w:r>
      <w:r w:rsidR="00F10780" w:rsidRPr="00C74590">
        <w:tab/>
        <w:t xml:space="preserve">This Act commences at the same time as the </w:t>
      </w:r>
      <w:r w:rsidR="00F10780" w:rsidRPr="00C74590">
        <w:rPr>
          <w:i/>
        </w:rPr>
        <w:t xml:space="preserve">Australian Aged Care Quality Agency Act 2013 </w:t>
      </w:r>
      <w:r w:rsidR="00F10780" w:rsidRPr="00C74590">
        <w:t>commences.</w:t>
      </w:r>
    </w:p>
    <w:p w:rsidR="0048364F" w:rsidRPr="00C74590" w:rsidRDefault="0048364F" w:rsidP="00C74590">
      <w:pPr>
        <w:pStyle w:val="ActHead5"/>
      </w:pPr>
      <w:bookmarkStart w:id="4" w:name="_Toc361130695"/>
      <w:r w:rsidRPr="00C74590">
        <w:rPr>
          <w:rStyle w:val="CharSectno"/>
        </w:rPr>
        <w:t>3</w:t>
      </w:r>
      <w:r w:rsidRPr="00C74590">
        <w:t xml:space="preserve">  Schedule(s)</w:t>
      </w:r>
      <w:bookmarkEnd w:id="4"/>
    </w:p>
    <w:p w:rsidR="0048364F" w:rsidRPr="00C74590" w:rsidRDefault="0048364F" w:rsidP="00C74590">
      <w:pPr>
        <w:pStyle w:val="subsection"/>
      </w:pPr>
      <w:r w:rsidRPr="00C74590">
        <w:tab/>
      </w:r>
      <w:r w:rsidRPr="00C74590">
        <w:tab/>
      </w:r>
      <w:r w:rsidR="00C923BA" w:rsidRPr="00C74590">
        <w:t>Every</w:t>
      </w:r>
      <w:r w:rsidRPr="00C74590">
        <w:t xml:space="preserve"> item in a Schedule to this Act has effect according to its terms.</w:t>
      </w:r>
    </w:p>
    <w:p w:rsidR="0048364F" w:rsidRPr="00C74590" w:rsidRDefault="0048364F" w:rsidP="00C74590">
      <w:pPr>
        <w:pStyle w:val="ActHead6"/>
        <w:pageBreakBefore/>
      </w:pPr>
      <w:bookmarkStart w:id="5" w:name="_Toc361130696"/>
      <w:bookmarkStart w:id="6" w:name="opcAmSched"/>
      <w:bookmarkStart w:id="7" w:name="opcCurrentFind"/>
      <w:r w:rsidRPr="00C74590">
        <w:rPr>
          <w:rStyle w:val="CharAmSchNo"/>
        </w:rPr>
        <w:lastRenderedPageBreak/>
        <w:t>Schedule</w:t>
      </w:r>
      <w:r w:rsidR="00C74590" w:rsidRPr="00C74590">
        <w:rPr>
          <w:rStyle w:val="CharAmSchNo"/>
        </w:rPr>
        <w:t> </w:t>
      </w:r>
      <w:r w:rsidRPr="00C74590">
        <w:rPr>
          <w:rStyle w:val="CharAmSchNo"/>
        </w:rPr>
        <w:t>1</w:t>
      </w:r>
      <w:r w:rsidRPr="00C74590">
        <w:t>—</w:t>
      </w:r>
      <w:r w:rsidR="00717105" w:rsidRPr="00C74590">
        <w:rPr>
          <w:rStyle w:val="CharAmSchText"/>
        </w:rPr>
        <w:t>T</w:t>
      </w:r>
      <w:r w:rsidR="00F10780" w:rsidRPr="00C74590">
        <w:rPr>
          <w:rStyle w:val="CharAmSchText"/>
        </w:rPr>
        <w:t>ransitional provisions</w:t>
      </w:r>
      <w:bookmarkEnd w:id="5"/>
    </w:p>
    <w:p w:rsidR="00F10780" w:rsidRPr="00C74590" w:rsidRDefault="00F10780" w:rsidP="00C74590">
      <w:pPr>
        <w:pStyle w:val="ActHead7"/>
      </w:pPr>
      <w:bookmarkStart w:id="8" w:name="_Toc361130697"/>
      <w:bookmarkEnd w:id="6"/>
      <w:bookmarkEnd w:id="7"/>
      <w:r w:rsidRPr="00C74590">
        <w:rPr>
          <w:rStyle w:val="CharAmPartNo"/>
        </w:rPr>
        <w:t>Part</w:t>
      </w:r>
      <w:r w:rsidR="00C74590" w:rsidRPr="00C74590">
        <w:rPr>
          <w:rStyle w:val="CharAmPartNo"/>
        </w:rPr>
        <w:t> </w:t>
      </w:r>
      <w:r w:rsidRPr="00C74590">
        <w:rPr>
          <w:rStyle w:val="CharAmPartNo"/>
        </w:rPr>
        <w:t>1</w:t>
      </w:r>
      <w:r w:rsidRPr="00C74590">
        <w:t>—</w:t>
      </w:r>
      <w:r w:rsidRPr="00C74590">
        <w:rPr>
          <w:rStyle w:val="CharAmPartText"/>
        </w:rPr>
        <w:t>Preliminary</w:t>
      </w:r>
      <w:bookmarkEnd w:id="8"/>
    </w:p>
    <w:p w:rsidR="00F10780" w:rsidRPr="00C74590" w:rsidRDefault="00F10780" w:rsidP="00C74590">
      <w:pPr>
        <w:pStyle w:val="ItemHead"/>
      </w:pPr>
      <w:r w:rsidRPr="00C74590">
        <w:t>1  Definitions</w:t>
      </w:r>
    </w:p>
    <w:p w:rsidR="00F10780" w:rsidRPr="00C74590" w:rsidRDefault="00F10780" w:rsidP="00C74590">
      <w:pPr>
        <w:pStyle w:val="Item"/>
      </w:pPr>
      <w:r w:rsidRPr="00C74590">
        <w:t xml:space="preserve">In this </w:t>
      </w:r>
      <w:r w:rsidR="00F36164" w:rsidRPr="00C74590">
        <w:t>Schedule</w:t>
      </w:r>
      <w:r w:rsidRPr="00C74590">
        <w:t>:</w:t>
      </w:r>
    </w:p>
    <w:p w:rsidR="00F10780" w:rsidRPr="00C74590" w:rsidRDefault="00F10780" w:rsidP="00C74590">
      <w:pPr>
        <w:pStyle w:val="Item"/>
      </w:pPr>
      <w:r w:rsidRPr="00C74590">
        <w:rPr>
          <w:b/>
          <w:i/>
        </w:rPr>
        <w:t>accreditation body</w:t>
      </w:r>
      <w:r w:rsidRPr="00C74590">
        <w:t xml:space="preserve"> has the same meaning as in the old Act.</w:t>
      </w:r>
    </w:p>
    <w:p w:rsidR="00F10780" w:rsidRPr="00C74590" w:rsidRDefault="00F10780" w:rsidP="00C74590">
      <w:pPr>
        <w:pStyle w:val="Item"/>
        <w:rPr>
          <w:b/>
          <w:i/>
        </w:rPr>
      </w:pPr>
      <w:r w:rsidRPr="00C74590">
        <w:rPr>
          <w:b/>
          <w:i/>
        </w:rPr>
        <w:t>Accreditation Grant Principles</w:t>
      </w:r>
      <w:r w:rsidRPr="00C74590">
        <w:t xml:space="preserve"> means the Accreditation Grant Principles made under section</w:t>
      </w:r>
      <w:r w:rsidR="00C74590" w:rsidRPr="00C74590">
        <w:t> </w:t>
      </w:r>
      <w:r w:rsidRPr="00C74590">
        <w:t>96</w:t>
      </w:r>
      <w:r w:rsidR="00CB2894">
        <w:noBreakHyphen/>
      </w:r>
      <w:r w:rsidRPr="00C74590">
        <w:t>1 of the old Act.</w:t>
      </w:r>
    </w:p>
    <w:p w:rsidR="00F10780" w:rsidRPr="00C74590" w:rsidRDefault="00F10780" w:rsidP="00C74590">
      <w:pPr>
        <w:pStyle w:val="Item"/>
      </w:pPr>
      <w:proofErr w:type="spellStart"/>
      <w:r w:rsidRPr="00C74590">
        <w:rPr>
          <w:b/>
          <w:i/>
        </w:rPr>
        <w:t>ACSAA</w:t>
      </w:r>
      <w:proofErr w:type="spellEnd"/>
      <w:r w:rsidRPr="00C74590">
        <w:t xml:space="preserve"> </w:t>
      </w:r>
      <w:r w:rsidRPr="00C74590">
        <w:rPr>
          <w:b/>
          <w:i/>
        </w:rPr>
        <w:t>Limited</w:t>
      </w:r>
      <w:r w:rsidRPr="00C74590">
        <w:t xml:space="preserve"> means Aged Care Standards and Accreditation Agency Limited (</w:t>
      </w:r>
      <w:proofErr w:type="spellStart"/>
      <w:r w:rsidRPr="00C74590">
        <w:t>ACN</w:t>
      </w:r>
      <w:proofErr w:type="spellEnd"/>
      <w:r w:rsidRPr="00C74590">
        <w:t xml:space="preserve"> 079 618 652).</w:t>
      </w:r>
    </w:p>
    <w:p w:rsidR="00F10780" w:rsidRPr="00C74590" w:rsidRDefault="00F10780" w:rsidP="00C74590">
      <w:pPr>
        <w:pStyle w:val="Item"/>
      </w:pPr>
      <w:r w:rsidRPr="00C74590">
        <w:rPr>
          <w:b/>
          <w:i/>
        </w:rPr>
        <w:t>asset</w:t>
      </w:r>
      <w:r w:rsidRPr="00C74590">
        <w:t xml:space="preserve"> means:</w:t>
      </w:r>
    </w:p>
    <w:p w:rsidR="00F10780" w:rsidRPr="00C74590" w:rsidRDefault="00F10780" w:rsidP="00C74590">
      <w:pPr>
        <w:pStyle w:val="paragraph"/>
      </w:pPr>
      <w:r w:rsidRPr="00C74590">
        <w:tab/>
        <w:t>(a)</w:t>
      </w:r>
      <w:r w:rsidRPr="00C74590">
        <w:tab/>
        <w:t>any legal or equitable estate or interest in real or personal property, whether actual, contingent or prospective; and</w:t>
      </w:r>
    </w:p>
    <w:p w:rsidR="00F10780" w:rsidRPr="00C74590" w:rsidRDefault="00F10780" w:rsidP="00C74590">
      <w:pPr>
        <w:pStyle w:val="paragraph"/>
      </w:pPr>
      <w:r w:rsidRPr="00C74590">
        <w:tab/>
        <w:t>(b)</w:t>
      </w:r>
      <w:r w:rsidRPr="00C74590">
        <w:tab/>
        <w:t>any right, power, privilege or immunity, whether actual, contingent or prospective.</w:t>
      </w:r>
    </w:p>
    <w:p w:rsidR="00F10780" w:rsidRPr="00C74590" w:rsidRDefault="00F10780" w:rsidP="00C74590">
      <w:pPr>
        <w:pStyle w:val="Item"/>
        <w:rPr>
          <w:b/>
          <w:i/>
        </w:rPr>
      </w:pPr>
      <w:r w:rsidRPr="00C74590">
        <w:rPr>
          <w:b/>
          <w:i/>
        </w:rPr>
        <w:t>assets official</w:t>
      </w:r>
      <w:r w:rsidRPr="00C74590">
        <w:t>, in relation to an asset other than land, means the person or authority who, under a law of the Commonwealth, a State or a Territory, under a trust instrument or otherwise, has responsibility for keeping a register in relation to assets of the kind concerned.</w:t>
      </w:r>
    </w:p>
    <w:p w:rsidR="00F10780" w:rsidRPr="00C74590" w:rsidRDefault="00F10780" w:rsidP="00C74590">
      <w:pPr>
        <w:pStyle w:val="Item"/>
        <w:rPr>
          <w:b/>
          <w:i/>
        </w:rPr>
      </w:pPr>
      <w:proofErr w:type="spellStart"/>
      <w:r w:rsidRPr="00C74590">
        <w:rPr>
          <w:b/>
          <w:i/>
        </w:rPr>
        <w:t>CEO</w:t>
      </w:r>
      <w:proofErr w:type="spellEnd"/>
      <w:r w:rsidRPr="00C74590">
        <w:rPr>
          <w:b/>
          <w:i/>
        </w:rPr>
        <w:t xml:space="preserve"> of the Quality Agency</w:t>
      </w:r>
      <w:r w:rsidRPr="00C74590">
        <w:t xml:space="preserve"> means the Chief Executive Officer of the Quality Agency appointed under the Quality Agency Act.</w:t>
      </w:r>
    </w:p>
    <w:p w:rsidR="00F10780" w:rsidRPr="00C74590" w:rsidRDefault="00F10780" w:rsidP="00C74590">
      <w:pPr>
        <w:pStyle w:val="Item"/>
      </w:pPr>
      <w:r w:rsidRPr="00C74590">
        <w:rPr>
          <w:b/>
          <w:i/>
        </w:rPr>
        <w:t xml:space="preserve">commencement day </w:t>
      </w:r>
      <w:r w:rsidRPr="00C74590">
        <w:t>means the day on which the Quality Agency Act commences.</w:t>
      </w:r>
    </w:p>
    <w:p w:rsidR="00F10780" w:rsidRPr="00C74590" w:rsidRDefault="00F10780" w:rsidP="00C74590">
      <w:pPr>
        <w:pStyle w:val="Item"/>
      </w:pPr>
      <w:r w:rsidRPr="00C74590">
        <w:rPr>
          <w:b/>
          <w:i/>
        </w:rPr>
        <w:t>exempt matter</w:t>
      </w:r>
      <w:r w:rsidRPr="00C74590">
        <w:t>: see item</w:t>
      </w:r>
      <w:r w:rsidR="00C74590" w:rsidRPr="00C74590">
        <w:t> </w:t>
      </w:r>
      <w:r w:rsidRPr="00C74590">
        <w:t>8.</w:t>
      </w:r>
    </w:p>
    <w:p w:rsidR="00F10780" w:rsidRPr="00C74590" w:rsidRDefault="00F10780" w:rsidP="00C74590">
      <w:pPr>
        <w:pStyle w:val="Item"/>
      </w:pPr>
      <w:r w:rsidRPr="00C74590">
        <w:rPr>
          <w:b/>
          <w:i/>
        </w:rPr>
        <w:t>instrument</w:t>
      </w:r>
      <w:r w:rsidRPr="00C74590">
        <w:t>:</w:t>
      </w:r>
    </w:p>
    <w:p w:rsidR="00F10780" w:rsidRPr="00C74590" w:rsidRDefault="00F10780" w:rsidP="00C74590">
      <w:pPr>
        <w:pStyle w:val="paragraph"/>
      </w:pPr>
      <w:r w:rsidRPr="00C74590">
        <w:tab/>
        <w:t>(a)</w:t>
      </w:r>
      <w:r w:rsidRPr="00C74590">
        <w:tab/>
        <w:t>includes:</w:t>
      </w:r>
    </w:p>
    <w:p w:rsidR="00F10780" w:rsidRPr="00C74590" w:rsidRDefault="00F10780" w:rsidP="00C74590">
      <w:pPr>
        <w:pStyle w:val="paragraphsub"/>
      </w:pPr>
      <w:r w:rsidRPr="00C74590">
        <w:tab/>
        <w:t>(</w:t>
      </w:r>
      <w:proofErr w:type="spellStart"/>
      <w:r w:rsidRPr="00C74590">
        <w:t>i</w:t>
      </w:r>
      <w:proofErr w:type="spellEnd"/>
      <w:r w:rsidRPr="00C74590">
        <w:t>)</w:t>
      </w:r>
      <w:r w:rsidRPr="00C74590">
        <w:tab/>
        <w:t>an agreement or undertaking; and</w:t>
      </w:r>
    </w:p>
    <w:p w:rsidR="00F10780" w:rsidRPr="00C74590" w:rsidRDefault="00F10780" w:rsidP="00C74590">
      <w:pPr>
        <w:pStyle w:val="paragraphsub"/>
      </w:pPr>
      <w:r w:rsidRPr="00C74590">
        <w:tab/>
        <w:t>(ii)</w:t>
      </w:r>
      <w:r w:rsidRPr="00C74590">
        <w:tab/>
        <w:t>a notice, authority, order or instruction; and</w:t>
      </w:r>
    </w:p>
    <w:p w:rsidR="00F10780" w:rsidRPr="00C74590" w:rsidRDefault="00F10780" w:rsidP="00C74590">
      <w:pPr>
        <w:pStyle w:val="paragraphsub"/>
      </w:pPr>
      <w:r w:rsidRPr="00C74590">
        <w:tab/>
        <w:t>(iii)</w:t>
      </w:r>
      <w:r w:rsidRPr="00C74590">
        <w:tab/>
        <w:t>an instrument made under an Act or regulations; but</w:t>
      </w:r>
    </w:p>
    <w:p w:rsidR="00F10780" w:rsidRPr="00C74590" w:rsidRDefault="00F10780" w:rsidP="00C74590">
      <w:pPr>
        <w:pStyle w:val="paragraph"/>
      </w:pPr>
      <w:r w:rsidRPr="00C74590">
        <w:tab/>
        <w:t>(b)</w:t>
      </w:r>
      <w:r w:rsidRPr="00C74590">
        <w:tab/>
        <w:t>does not include:</w:t>
      </w:r>
    </w:p>
    <w:p w:rsidR="00F10780" w:rsidRPr="00C74590" w:rsidRDefault="00F10780" w:rsidP="00C74590">
      <w:pPr>
        <w:pStyle w:val="paragraphsub"/>
      </w:pPr>
      <w:r w:rsidRPr="00C74590">
        <w:tab/>
        <w:t>(</w:t>
      </w:r>
      <w:proofErr w:type="spellStart"/>
      <w:r w:rsidRPr="00C74590">
        <w:t>i</w:t>
      </w:r>
      <w:proofErr w:type="spellEnd"/>
      <w:r w:rsidRPr="00C74590">
        <w:t>)</w:t>
      </w:r>
      <w:r w:rsidRPr="00C74590">
        <w:tab/>
        <w:t>an Act; or</w:t>
      </w:r>
    </w:p>
    <w:p w:rsidR="00F10780" w:rsidRPr="00C74590" w:rsidRDefault="00F10780" w:rsidP="00C74590">
      <w:pPr>
        <w:pStyle w:val="paragraphsub"/>
      </w:pPr>
      <w:r w:rsidRPr="00C74590">
        <w:tab/>
        <w:t>(ii)</w:t>
      </w:r>
      <w:r w:rsidRPr="00C74590">
        <w:tab/>
        <w:t>instruments made under this Act.</w:t>
      </w:r>
    </w:p>
    <w:p w:rsidR="00F10780" w:rsidRPr="00C74590" w:rsidRDefault="00F10780" w:rsidP="00C74590">
      <w:pPr>
        <w:pStyle w:val="Item"/>
      </w:pPr>
      <w:r w:rsidRPr="00C74590">
        <w:rPr>
          <w:b/>
          <w:i/>
        </w:rPr>
        <w:t xml:space="preserve">land </w:t>
      </w:r>
      <w:r w:rsidRPr="00C74590">
        <w:t>means any legal or equitable estate or interest in real property, whether actual, contingent or prospective.</w:t>
      </w:r>
    </w:p>
    <w:p w:rsidR="00F10780" w:rsidRPr="00C74590" w:rsidRDefault="00F10780" w:rsidP="00C74590">
      <w:pPr>
        <w:pStyle w:val="Item"/>
      </w:pPr>
      <w:r w:rsidRPr="00C74590">
        <w:rPr>
          <w:b/>
          <w:i/>
        </w:rPr>
        <w:lastRenderedPageBreak/>
        <w:t>land registration official</w:t>
      </w:r>
      <w:r w:rsidRPr="00C74590">
        <w:t>, in relation to land, means the Registrar of Titles or other proper officer of the State or Territory in which the land is situated.</w:t>
      </w:r>
    </w:p>
    <w:p w:rsidR="00F10780" w:rsidRPr="00C74590" w:rsidRDefault="00F10780" w:rsidP="00C74590">
      <w:pPr>
        <w:pStyle w:val="Item"/>
      </w:pPr>
      <w:r w:rsidRPr="00C74590">
        <w:rPr>
          <w:b/>
          <w:i/>
        </w:rPr>
        <w:t>liability</w:t>
      </w:r>
      <w:r w:rsidRPr="00C74590">
        <w:t xml:space="preserve"> means any liability, duty or obligation, whether actual, contingent or prospective.</w:t>
      </w:r>
    </w:p>
    <w:p w:rsidR="00F10780" w:rsidRPr="00C74590" w:rsidRDefault="00F10780" w:rsidP="00C74590">
      <w:pPr>
        <w:pStyle w:val="Item"/>
      </w:pPr>
      <w:r w:rsidRPr="00C74590">
        <w:rPr>
          <w:b/>
          <w:i/>
        </w:rPr>
        <w:t>old Act</w:t>
      </w:r>
      <w:r w:rsidRPr="00C74590">
        <w:t xml:space="preserve"> means the </w:t>
      </w:r>
      <w:r w:rsidRPr="00C74590">
        <w:rPr>
          <w:i/>
        </w:rPr>
        <w:t>Aged Care Act 1997</w:t>
      </w:r>
      <w:r w:rsidRPr="00C74590">
        <w:t xml:space="preserve"> as in force immediately before the commencement day.</w:t>
      </w:r>
    </w:p>
    <w:p w:rsidR="00F10780" w:rsidRPr="00C74590" w:rsidRDefault="00F10780" w:rsidP="00C74590">
      <w:pPr>
        <w:pStyle w:val="Item"/>
      </w:pPr>
      <w:r w:rsidRPr="00C74590">
        <w:rPr>
          <w:b/>
          <w:i/>
        </w:rPr>
        <w:t>Quality Agency</w:t>
      </w:r>
      <w:r w:rsidRPr="00C74590">
        <w:t xml:space="preserve"> means the Australian Aged Care Quality Agency established by section</w:t>
      </w:r>
      <w:r w:rsidR="00C74590" w:rsidRPr="00C74590">
        <w:t> </w:t>
      </w:r>
      <w:r w:rsidRPr="00C74590">
        <w:t>7 of the Quality Agency Act.</w:t>
      </w:r>
    </w:p>
    <w:p w:rsidR="00F10780" w:rsidRPr="00C74590" w:rsidRDefault="00F10780" w:rsidP="00C74590">
      <w:pPr>
        <w:pStyle w:val="Item"/>
      </w:pPr>
      <w:r w:rsidRPr="00C74590">
        <w:rPr>
          <w:b/>
          <w:i/>
        </w:rPr>
        <w:t>Quality Agency Act</w:t>
      </w:r>
      <w:r w:rsidRPr="00C74590">
        <w:t xml:space="preserve"> means the </w:t>
      </w:r>
      <w:r w:rsidRPr="00C74590">
        <w:rPr>
          <w:i/>
        </w:rPr>
        <w:t>Australian Aged Care Quality Agency Act 2013.</w:t>
      </w:r>
    </w:p>
    <w:p w:rsidR="00F10780" w:rsidRPr="00C74590" w:rsidRDefault="00F10780" w:rsidP="00C74590">
      <w:pPr>
        <w:pStyle w:val="Item"/>
      </w:pPr>
      <w:r w:rsidRPr="00C74590">
        <w:rPr>
          <w:b/>
          <w:i/>
        </w:rPr>
        <w:t>Quality Agency Principles</w:t>
      </w:r>
      <w:r w:rsidRPr="00C74590">
        <w:t xml:space="preserve"> means the Quality Agency Principles made under section</w:t>
      </w:r>
      <w:r w:rsidR="00C74590" w:rsidRPr="00C74590">
        <w:t> </w:t>
      </w:r>
      <w:r w:rsidRPr="00C74590">
        <w:t>5</w:t>
      </w:r>
      <w:r w:rsidR="007E3B9F" w:rsidRPr="00C74590">
        <w:t>3</w:t>
      </w:r>
      <w:r w:rsidRPr="00C74590">
        <w:t xml:space="preserve"> of the Quality Agency Act</w:t>
      </w:r>
      <w:r w:rsidRPr="00C74590">
        <w:rPr>
          <w:i/>
        </w:rPr>
        <w:t>.</w:t>
      </w:r>
    </w:p>
    <w:p w:rsidR="00F10780" w:rsidRPr="00C74590" w:rsidRDefault="00F10780" w:rsidP="00C74590">
      <w:pPr>
        <w:pStyle w:val="Item"/>
      </w:pPr>
      <w:r w:rsidRPr="00C74590">
        <w:rPr>
          <w:b/>
          <w:i/>
        </w:rPr>
        <w:t>residential care service</w:t>
      </w:r>
      <w:r w:rsidRPr="00C74590">
        <w:t xml:space="preserve"> has the same meaning as in the old Act.</w:t>
      </w:r>
    </w:p>
    <w:p w:rsidR="00F10780" w:rsidRPr="00C74590" w:rsidRDefault="00F10780" w:rsidP="00C74590">
      <w:pPr>
        <w:pStyle w:val="ActHead7"/>
        <w:pageBreakBefore/>
      </w:pPr>
      <w:bookmarkStart w:id="9" w:name="_Toc361130698"/>
      <w:r w:rsidRPr="00C74590">
        <w:rPr>
          <w:rStyle w:val="CharAmPartNo"/>
        </w:rPr>
        <w:lastRenderedPageBreak/>
        <w:t>Part</w:t>
      </w:r>
      <w:r w:rsidR="00C74590" w:rsidRPr="00C74590">
        <w:rPr>
          <w:rStyle w:val="CharAmPartNo"/>
        </w:rPr>
        <w:t> </w:t>
      </w:r>
      <w:r w:rsidRPr="00C74590">
        <w:rPr>
          <w:rStyle w:val="CharAmPartNo"/>
        </w:rPr>
        <w:t>2</w:t>
      </w:r>
      <w:r w:rsidRPr="00C74590">
        <w:t>—</w:t>
      </w:r>
      <w:r w:rsidRPr="00C74590">
        <w:rPr>
          <w:rStyle w:val="CharAmPartText"/>
        </w:rPr>
        <w:t>Transfer of assets and liabilities</w:t>
      </w:r>
      <w:bookmarkEnd w:id="9"/>
    </w:p>
    <w:p w:rsidR="00F10780" w:rsidRPr="00C74590" w:rsidRDefault="00F10780" w:rsidP="00C74590">
      <w:pPr>
        <w:pStyle w:val="ActHead8"/>
      </w:pPr>
      <w:bookmarkStart w:id="10" w:name="_Toc361130699"/>
      <w:r w:rsidRPr="00C74590">
        <w:t>Division</w:t>
      </w:r>
      <w:r w:rsidR="00C74590" w:rsidRPr="00C74590">
        <w:t> </w:t>
      </w:r>
      <w:r w:rsidRPr="00C74590">
        <w:t xml:space="preserve">1—Transfer from </w:t>
      </w:r>
      <w:proofErr w:type="spellStart"/>
      <w:r w:rsidRPr="00C74590">
        <w:t>ACSAA</w:t>
      </w:r>
      <w:proofErr w:type="spellEnd"/>
      <w:r w:rsidRPr="00C74590">
        <w:t xml:space="preserve"> Limited to the Commonwealth</w:t>
      </w:r>
      <w:bookmarkEnd w:id="10"/>
    </w:p>
    <w:p w:rsidR="00F10780" w:rsidRPr="00C74590" w:rsidRDefault="00F10780" w:rsidP="00C74590">
      <w:pPr>
        <w:pStyle w:val="ItemHead"/>
      </w:pPr>
      <w:r w:rsidRPr="00C74590">
        <w:t xml:space="preserve">2  </w:t>
      </w:r>
      <w:proofErr w:type="spellStart"/>
      <w:r w:rsidRPr="00C74590">
        <w:t>ACSAA</w:t>
      </w:r>
      <w:proofErr w:type="spellEnd"/>
      <w:r w:rsidRPr="00C74590">
        <w:t xml:space="preserve"> Limited assets and liabilities</w:t>
      </w:r>
    </w:p>
    <w:p w:rsidR="00F10780" w:rsidRPr="00C74590" w:rsidRDefault="00F10780" w:rsidP="00C74590">
      <w:pPr>
        <w:pStyle w:val="Item"/>
      </w:pPr>
      <w:r w:rsidRPr="00C74590">
        <w:t xml:space="preserve">On the commencement day, the assets and liabilities of </w:t>
      </w:r>
      <w:proofErr w:type="spellStart"/>
      <w:r w:rsidRPr="00C74590">
        <w:t>ACSAA</w:t>
      </w:r>
      <w:proofErr w:type="spellEnd"/>
      <w:r w:rsidRPr="00C74590">
        <w:t xml:space="preserve"> Limited cease to be assets and liabilities of </w:t>
      </w:r>
      <w:proofErr w:type="spellStart"/>
      <w:r w:rsidRPr="00C74590">
        <w:t>ACSAA</w:t>
      </w:r>
      <w:proofErr w:type="spellEnd"/>
      <w:r w:rsidRPr="00C74590">
        <w:t xml:space="preserve"> Limited and become assets and liabilities of the Commonwealth, without any conveyance, transfer or assignment. The Commonwealth becomes the successor in law in relation to those assets and liabilities.</w:t>
      </w:r>
    </w:p>
    <w:p w:rsidR="00F10780" w:rsidRPr="00C74590" w:rsidRDefault="00F10780" w:rsidP="00C74590">
      <w:pPr>
        <w:pStyle w:val="ActHead8"/>
      </w:pPr>
      <w:bookmarkStart w:id="11" w:name="_Toc361130700"/>
      <w:r w:rsidRPr="00C74590">
        <w:t>Division</w:t>
      </w:r>
      <w:r w:rsidR="00C74590" w:rsidRPr="00C74590">
        <w:t> </w:t>
      </w:r>
      <w:r w:rsidRPr="00C74590">
        <w:t>2—Instruments, legal proceedings and records</w:t>
      </w:r>
      <w:bookmarkEnd w:id="11"/>
    </w:p>
    <w:p w:rsidR="00F10780" w:rsidRPr="00C74590" w:rsidRDefault="00F10780" w:rsidP="00C74590">
      <w:pPr>
        <w:pStyle w:val="ItemHead"/>
        <w:rPr>
          <w:i/>
        </w:rPr>
      </w:pPr>
      <w:r w:rsidRPr="00C74590">
        <w:t xml:space="preserve">3  References in instruments to </w:t>
      </w:r>
      <w:proofErr w:type="spellStart"/>
      <w:r w:rsidRPr="00C74590">
        <w:t>ACSAA</w:t>
      </w:r>
      <w:proofErr w:type="spellEnd"/>
      <w:r w:rsidRPr="00C74590">
        <w:t xml:space="preserve"> Limited</w:t>
      </w:r>
    </w:p>
    <w:p w:rsidR="00F10780" w:rsidRPr="00C74590" w:rsidRDefault="00F10780" w:rsidP="00C74590">
      <w:pPr>
        <w:pStyle w:val="Subitem"/>
      </w:pPr>
      <w:r w:rsidRPr="00C74590">
        <w:t>(1)</w:t>
      </w:r>
      <w:r w:rsidRPr="00C74590">
        <w:tab/>
        <w:t>This item applies to an instrument that:</w:t>
      </w:r>
    </w:p>
    <w:p w:rsidR="00F10780" w:rsidRPr="00C74590" w:rsidRDefault="00F10780" w:rsidP="00C74590">
      <w:pPr>
        <w:pStyle w:val="paragraph"/>
      </w:pPr>
      <w:r w:rsidRPr="00C74590">
        <w:tab/>
        <w:t>(a)</w:t>
      </w:r>
      <w:r w:rsidRPr="00C74590">
        <w:tab/>
        <w:t>is in force immediately before the commencement day; and</w:t>
      </w:r>
    </w:p>
    <w:p w:rsidR="00F10780" w:rsidRPr="00C74590" w:rsidRDefault="00F10780" w:rsidP="00C74590">
      <w:pPr>
        <w:pStyle w:val="paragraph"/>
      </w:pPr>
      <w:r w:rsidRPr="00C74590">
        <w:tab/>
        <w:t>(b)</w:t>
      </w:r>
      <w:r w:rsidRPr="00C74590">
        <w:tab/>
        <w:t xml:space="preserve">contains a reference to </w:t>
      </w:r>
      <w:proofErr w:type="spellStart"/>
      <w:r w:rsidRPr="00C74590">
        <w:t>ACSAA</w:t>
      </w:r>
      <w:proofErr w:type="spellEnd"/>
      <w:r w:rsidRPr="00C74590">
        <w:t xml:space="preserve"> Limited.</w:t>
      </w:r>
    </w:p>
    <w:p w:rsidR="00F10780" w:rsidRPr="00C74590" w:rsidRDefault="00F10780" w:rsidP="00C74590">
      <w:pPr>
        <w:pStyle w:val="Subitem"/>
      </w:pPr>
      <w:r w:rsidRPr="00C74590">
        <w:t>(2)</w:t>
      </w:r>
      <w:r w:rsidRPr="00C74590">
        <w:tab/>
        <w:t>If the instrument relates to an asset or liability that, as a result of the operation of item</w:t>
      </w:r>
      <w:r w:rsidR="00C74590" w:rsidRPr="00C74590">
        <w:t> </w:t>
      </w:r>
      <w:r w:rsidRPr="00C74590">
        <w:t xml:space="preserve">2, becomes an asset or liability of the Commonwealth, then the reference to </w:t>
      </w:r>
      <w:proofErr w:type="spellStart"/>
      <w:r w:rsidRPr="00C74590">
        <w:t>ACSAA</w:t>
      </w:r>
      <w:proofErr w:type="spellEnd"/>
      <w:r w:rsidRPr="00C74590">
        <w:t xml:space="preserve"> Limited has effect, at and after the commencement day, as if it were a reference to the Commonwealth.</w:t>
      </w:r>
    </w:p>
    <w:p w:rsidR="00F10780" w:rsidRPr="00C74590" w:rsidRDefault="00F10780" w:rsidP="00C74590">
      <w:pPr>
        <w:pStyle w:val="Subitem"/>
      </w:pPr>
      <w:r w:rsidRPr="00C74590">
        <w:t>(3)</w:t>
      </w:r>
      <w:r w:rsidRPr="00C74590">
        <w:tab/>
        <w:t>This item does not, by implication, prevent the instrument from being varied or terminated after the commencement day.</w:t>
      </w:r>
    </w:p>
    <w:p w:rsidR="00F10780" w:rsidRPr="00C74590" w:rsidRDefault="00F10780" w:rsidP="00C74590">
      <w:pPr>
        <w:pStyle w:val="ItemHead"/>
      </w:pPr>
      <w:r w:rsidRPr="00C74590">
        <w:t xml:space="preserve">4  Legal proceedings of </w:t>
      </w:r>
      <w:proofErr w:type="spellStart"/>
      <w:r w:rsidRPr="00C74590">
        <w:t>ACSAA</w:t>
      </w:r>
      <w:proofErr w:type="spellEnd"/>
      <w:r w:rsidRPr="00C74590">
        <w:t xml:space="preserve"> Limited</w:t>
      </w:r>
    </w:p>
    <w:p w:rsidR="00F10780" w:rsidRPr="00C74590" w:rsidRDefault="00F10780" w:rsidP="00C74590">
      <w:pPr>
        <w:pStyle w:val="Subitem"/>
      </w:pPr>
      <w:r w:rsidRPr="00C74590">
        <w:t>(1)</w:t>
      </w:r>
      <w:r w:rsidRPr="00C74590">
        <w:tab/>
        <w:t>This item applies to any proceedings:</w:t>
      </w:r>
    </w:p>
    <w:p w:rsidR="00F10780" w:rsidRPr="00C74590" w:rsidRDefault="00F10780" w:rsidP="00C74590">
      <w:pPr>
        <w:pStyle w:val="paragraph"/>
      </w:pPr>
      <w:r w:rsidRPr="00C74590">
        <w:tab/>
        <w:t>(a)</w:t>
      </w:r>
      <w:r w:rsidRPr="00C74590">
        <w:tab/>
        <w:t>that were pending in any court or tribunal immediately before the commencement day; and</w:t>
      </w:r>
    </w:p>
    <w:p w:rsidR="00F10780" w:rsidRPr="00C74590" w:rsidRDefault="00F10780" w:rsidP="00C74590">
      <w:pPr>
        <w:pStyle w:val="paragraph"/>
      </w:pPr>
      <w:r w:rsidRPr="00C74590">
        <w:tab/>
        <w:t>(b)</w:t>
      </w:r>
      <w:r w:rsidRPr="00C74590">
        <w:tab/>
        <w:t xml:space="preserve">to which </w:t>
      </w:r>
      <w:proofErr w:type="spellStart"/>
      <w:r w:rsidRPr="00C74590">
        <w:t>ACSAA</w:t>
      </w:r>
      <w:proofErr w:type="spellEnd"/>
      <w:r w:rsidRPr="00C74590">
        <w:t xml:space="preserve"> Limited</w:t>
      </w:r>
      <w:r w:rsidRPr="00C74590">
        <w:rPr>
          <w:i/>
        </w:rPr>
        <w:t xml:space="preserve"> </w:t>
      </w:r>
      <w:r w:rsidRPr="00C74590">
        <w:t>was a party.</w:t>
      </w:r>
    </w:p>
    <w:p w:rsidR="00F10780" w:rsidRPr="00C74590" w:rsidRDefault="00F10780" w:rsidP="00C74590">
      <w:pPr>
        <w:pStyle w:val="Subitem"/>
      </w:pPr>
      <w:r w:rsidRPr="00C74590">
        <w:t>(2)</w:t>
      </w:r>
      <w:r w:rsidRPr="00C74590">
        <w:tab/>
        <w:t xml:space="preserve">On and after the commencement day, the Commonwealth is substituted for </w:t>
      </w:r>
      <w:proofErr w:type="spellStart"/>
      <w:r w:rsidRPr="00C74590">
        <w:t>ACSAA</w:t>
      </w:r>
      <w:proofErr w:type="spellEnd"/>
      <w:r w:rsidRPr="00C74590">
        <w:t xml:space="preserve"> Limited as a party to the proceedings.</w:t>
      </w:r>
    </w:p>
    <w:p w:rsidR="00F10780" w:rsidRPr="00C74590" w:rsidRDefault="00F10780" w:rsidP="00C74590">
      <w:pPr>
        <w:pStyle w:val="ItemHead"/>
        <w:rPr>
          <w:i/>
        </w:rPr>
      </w:pPr>
      <w:r w:rsidRPr="00C74590">
        <w:lastRenderedPageBreak/>
        <w:t xml:space="preserve">5  Transfer of custody of records or documents of </w:t>
      </w:r>
      <w:proofErr w:type="spellStart"/>
      <w:r w:rsidRPr="00C74590">
        <w:t>ACSAA</w:t>
      </w:r>
      <w:proofErr w:type="spellEnd"/>
      <w:r w:rsidRPr="00C74590">
        <w:t xml:space="preserve"> Limited</w:t>
      </w:r>
    </w:p>
    <w:p w:rsidR="00F10780" w:rsidRPr="00C74590" w:rsidRDefault="00F10780" w:rsidP="00C74590">
      <w:pPr>
        <w:pStyle w:val="Subitem"/>
      </w:pPr>
      <w:r w:rsidRPr="00C74590">
        <w:t>(1)</w:t>
      </w:r>
      <w:r w:rsidRPr="00C74590">
        <w:tab/>
        <w:t xml:space="preserve">This item applies to a record or document that, immediately before the commencement day, was in the custody of </w:t>
      </w:r>
      <w:proofErr w:type="spellStart"/>
      <w:r w:rsidRPr="00C74590">
        <w:t>ACSAA</w:t>
      </w:r>
      <w:proofErr w:type="spellEnd"/>
      <w:r w:rsidRPr="00C74590">
        <w:t xml:space="preserve"> Limited.</w:t>
      </w:r>
    </w:p>
    <w:p w:rsidR="00F10780" w:rsidRPr="00C74590" w:rsidRDefault="00F10780" w:rsidP="00C74590">
      <w:pPr>
        <w:pStyle w:val="Subitem"/>
      </w:pPr>
      <w:r w:rsidRPr="00C74590">
        <w:t>(2)</w:t>
      </w:r>
      <w:r w:rsidRPr="00C74590">
        <w:tab/>
        <w:t>If the record or document relates to an asset or liability that, as a result of the operation of item</w:t>
      </w:r>
      <w:r w:rsidR="00C74590" w:rsidRPr="00C74590">
        <w:t> </w:t>
      </w:r>
      <w:r w:rsidRPr="00C74590">
        <w:t>2, becomes an asset or liability of the Commonwealth, then, after the commencement day, the record or document is to be transferred into the custody of the Commonwealth.</w:t>
      </w:r>
    </w:p>
    <w:p w:rsidR="00F10780" w:rsidRPr="00C74590" w:rsidRDefault="00F10780" w:rsidP="00C74590">
      <w:pPr>
        <w:pStyle w:val="ActHead8"/>
      </w:pPr>
      <w:bookmarkStart w:id="12" w:name="_Toc361130701"/>
      <w:r w:rsidRPr="00C74590">
        <w:t>Division</w:t>
      </w:r>
      <w:r w:rsidR="00C74590" w:rsidRPr="00C74590">
        <w:t> </w:t>
      </w:r>
      <w:r w:rsidRPr="00C74590">
        <w:t>3—General provisions</w:t>
      </w:r>
      <w:bookmarkEnd w:id="12"/>
    </w:p>
    <w:p w:rsidR="00F10780" w:rsidRPr="00C74590" w:rsidRDefault="00F10780" w:rsidP="00C74590">
      <w:pPr>
        <w:pStyle w:val="ItemHead"/>
      </w:pPr>
      <w:r w:rsidRPr="00C74590">
        <w:t>6  Certificates relating to vesting of land</w:t>
      </w:r>
    </w:p>
    <w:p w:rsidR="00F10780" w:rsidRPr="00C74590" w:rsidRDefault="00F10780" w:rsidP="00C74590">
      <w:pPr>
        <w:pStyle w:val="Subitem"/>
      </w:pPr>
      <w:r w:rsidRPr="00C74590">
        <w:t>(1)</w:t>
      </w:r>
      <w:r w:rsidRPr="00C74590">
        <w:tab/>
        <w:t>This item applies if:</w:t>
      </w:r>
    </w:p>
    <w:p w:rsidR="00F10780" w:rsidRPr="00C74590" w:rsidRDefault="00F10780" w:rsidP="00C74590">
      <w:pPr>
        <w:pStyle w:val="paragraph"/>
      </w:pPr>
      <w:r w:rsidRPr="00C74590">
        <w:tab/>
        <w:t>(a)</w:t>
      </w:r>
      <w:r w:rsidRPr="00C74590">
        <w:tab/>
        <w:t>any land vests in the Commonwealth under this Part; and</w:t>
      </w:r>
    </w:p>
    <w:p w:rsidR="00F10780" w:rsidRPr="00C74590" w:rsidRDefault="00F10780" w:rsidP="00C74590">
      <w:pPr>
        <w:pStyle w:val="paragraph"/>
      </w:pPr>
      <w:r w:rsidRPr="00C74590">
        <w:tab/>
        <w:t>(b)</w:t>
      </w:r>
      <w:r w:rsidRPr="00C74590">
        <w:tab/>
        <w:t>there is lodged with a land registration official a certificate that:</w:t>
      </w:r>
    </w:p>
    <w:p w:rsidR="00F10780" w:rsidRPr="00C74590" w:rsidRDefault="00F10780" w:rsidP="00C74590">
      <w:pPr>
        <w:pStyle w:val="paragraphsub"/>
      </w:pPr>
      <w:r w:rsidRPr="00C74590">
        <w:tab/>
        <w:t>(</w:t>
      </w:r>
      <w:proofErr w:type="spellStart"/>
      <w:r w:rsidRPr="00C74590">
        <w:t>i</w:t>
      </w:r>
      <w:proofErr w:type="spellEnd"/>
      <w:r w:rsidRPr="00C74590">
        <w:t>)</w:t>
      </w:r>
      <w:r w:rsidRPr="00C74590">
        <w:tab/>
        <w:t>is signed by the Minister; and</w:t>
      </w:r>
    </w:p>
    <w:p w:rsidR="00F10780" w:rsidRPr="00C74590" w:rsidRDefault="00F10780" w:rsidP="00C74590">
      <w:pPr>
        <w:pStyle w:val="paragraphsub"/>
      </w:pPr>
      <w:r w:rsidRPr="00C74590">
        <w:tab/>
        <w:t>(ii)</w:t>
      </w:r>
      <w:r w:rsidRPr="00C74590">
        <w:tab/>
        <w:t>identifies the land, whether by reference to a map or otherwise; and</w:t>
      </w:r>
    </w:p>
    <w:p w:rsidR="00F10780" w:rsidRPr="00C74590" w:rsidRDefault="00F10780" w:rsidP="00C74590">
      <w:pPr>
        <w:pStyle w:val="paragraphsub"/>
      </w:pPr>
      <w:r w:rsidRPr="00C74590">
        <w:tab/>
        <w:t>(iii)</w:t>
      </w:r>
      <w:r w:rsidRPr="00C74590">
        <w:tab/>
        <w:t>states that the land has become vested in the Commonwealth under this Part.</w:t>
      </w:r>
    </w:p>
    <w:p w:rsidR="00F10780" w:rsidRPr="00C74590" w:rsidRDefault="00F10780" w:rsidP="00C74590">
      <w:pPr>
        <w:pStyle w:val="Subitem"/>
      </w:pPr>
      <w:r w:rsidRPr="00C74590">
        <w:t>(2)</w:t>
      </w:r>
      <w:r w:rsidRPr="00C74590">
        <w:tab/>
        <w:t>The land registration official may:</w:t>
      </w:r>
    </w:p>
    <w:p w:rsidR="00F10780" w:rsidRPr="00C74590" w:rsidRDefault="00F10780" w:rsidP="00C74590">
      <w:pPr>
        <w:pStyle w:val="paragraph"/>
      </w:pPr>
      <w:r w:rsidRPr="00C74590">
        <w:tab/>
        <w:t>(a)</w:t>
      </w:r>
      <w:r w:rsidRPr="00C74590">
        <w:tab/>
        <w:t>register the matter in a way that is the same as, or similar to, the way in which dealings in land of that kind are registered; and</w:t>
      </w:r>
    </w:p>
    <w:p w:rsidR="00F10780" w:rsidRPr="00C74590" w:rsidRDefault="00F10780" w:rsidP="00C74590">
      <w:pPr>
        <w:pStyle w:val="paragraph"/>
      </w:pPr>
      <w:r w:rsidRPr="00C74590">
        <w:tab/>
        <w:t>(b)</w:t>
      </w:r>
      <w:r w:rsidRPr="00C74590">
        <w:tab/>
        <w:t>deal with, and give effect to, the certificate.</w:t>
      </w:r>
    </w:p>
    <w:p w:rsidR="00F10780" w:rsidRPr="00C74590" w:rsidRDefault="00F10780" w:rsidP="00C74590">
      <w:pPr>
        <w:pStyle w:val="Subitem"/>
      </w:pPr>
      <w:r w:rsidRPr="00C74590">
        <w:t>(3)</w:t>
      </w:r>
      <w:r w:rsidRPr="00C74590">
        <w:tab/>
        <w:t xml:space="preserve">A certificate made under </w:t>
      </w:r>
      <w:proofErr w:type="spellStart"/>
      <w:r w:rsidR="00C74590" w:rsidRPr="00C74590">
        <w:t>subitem</w:t>
      </w:r>
      <w:proofErr w:type="spellEnd"/>
      <w:r w:rsidR="00C74590" w:rsidRPr="00C74590">
        <w:t> (</w:t>
      </w:r>
      <w:r w:rsidRPr="00C74590">
        <w:t>1) is not a legislative instrument.</w:t>
      </w:r>
    </w:p>
    <w:p w:rsidR="00F10780" w:rsidRPr="00C74590" w:rsidRDefault="00F10780" w:rsidP="00C74590">
      <w:pPr>
        <w:pStyle w:val="ItemHead"/>
      </w:pPr>
      <w:r w:rsidRPr="00C74590">
        <w:t>7  Certificates for vesting of assets other than land</w:t>
      </w:r>
    </w:p>
    <w:p w:rsidR="00F10780" w:rsidRPr="00C74590" w:rsidRDefault="00F10780" w:rsidP="00C74590">
      <w:pPr>
        <w:pStyle w:val="Subitem"/>
      </w:pPr>
      <w:r w:rsidRPr="00C74590">
        <w:t>(1)</w:t>
      </w:r>
      <w:r w:rsidRPr="00C74590">
        <w:tab/>
        <w:t>This item applies if:</w:t>
      </w:r>
    </w:p>
    <w:p w:rsidR="00F10780" w:rsidRPr="00C74590" w:rsidRDefault="00F10780" w:rsidP="00C74590">
      <w:pPr>
        <w:pStyle w:val="paragraph"/>
      </w:pPr>
      <w:r w:rsidRPr="00C74590">
        <w:tab/>
        <w:t>(a)</w:t>
      </w:r>
      <w:r w:rsidRPr="00C74590">
        <w:tab/>
        <w:t>an asset other than land vests in the Commonwealth under this Part; and</w:t>
      </w:r>
    </w:p>
    <w:p w:rsidR="00F10780" w:rsidRPr="00C74590" w:rsidRDefault="00F10780" w:rsidP="00C74590">
      <w:pPr>
        <w:pStyle w:val="paragraph"/>
      </w:pPr>
      <w:r w:rsidRPr="00C74590">
        <w:tab/>
        <w:t>(b)</w:t>
      </w:r>
      <w:r w:rsidRPr="00C74590">
        <w:tab/>
        <w:t>there is lodged with an assets official a certificate that:</w:t>
      </w:r>
    </w:p>
    <w:p w:rsidR="00F10780" w:rsidRPr="00C74590" w:rsidRDefault="00F10780" w:rsidP="00C74590">
      <w:pPr>
        <w:pStyle w:val="paragraphsub"/>
      </w:pPr>
      <w:r w:rsidRPr="00C74590">
        <w:tab/>
        <w:t>(</w:t>
      </w:r>
      <w:proofErr w:type="spellStart"/>
      <w:r w:rsidRPr="00C74590">
        <w:t>i</w:t>
      </w:r>
      <w:proofErr w:type="spellEnd"/>
      <w:r w:rsidRPr="00C74590">
        <w:t>)</w:t>
      </w:r>
      <w:r w:rsidRPr="00C74590">
        <w:tab/>
        <w:t>is signed by the Minister; and</w:t>
      </w:r>
    </w:p>
    <w:p w:rsidR="00F10780" w:rsidRPr="00C74590" w:rsidRDefault="00F10780" w:rsidP="00C74590">
      <w:pPr>
        <w:pStyle w:val="paragraphsub"/>
      </w:pPr>
      <w:r w:rsidRPr="00C74590">
        <w:tab/>
        <w:t>(ii)</w:t>
      </w:r>
      <w:r w:rsidRPr="00C74590">
        <w:tab/>
        <w:t>identifies the asset; and</w:t>
      </w:r>
    </w:p>
    <w:p w:rsidR="00F10780" w:rsidRPr="00C74590" w:rsidRDefault="00F10780" w:rsidP="00C74590">
      <w:pPr>
        <w:pStyle w:val="paragraphsub"/>
      </w:pPr>
      <w:r w:rsidRPr="00C74590">
        <w:lastRenderedPageBreak/>
        <w:tab/>
        <w:t>(iii)</w:t>
      </w:r>
      <w:r w:rsidRPr="00C74590">
        <w:tab/>
        <w:t>states that the asset has become vested in the Commonwealth under this Part.</w:t>
      </w:r>
    </w:p>
    <w:p w:rsidR="00F10780" w:rsidRPr="00C74590" w:rsidRDefault="00F10780" w:rsidP="00C74590">
      <w:pPr>
        <w:pStyle w:val="Subitem"/>
      </w:pPr>
      <w:r w:rsidRPr="00C74590">
        <w:t>(2)</w:t>
      </w:r>
      <w:r w:rsidRPr="00C74590">
        <w:tab/>
        <w:t>The assets official may:</w:t>
      </w:r>
    </w:p>
    <w:p w:rsidR="00F10780" w:rsidRPr="00C74590" w:rsidRDefault="00F10780" w:rsidP="00C74590">
      <w:pPr>
        <w:pStyle w:val="paragraph"/>
      </w:pPr>
      <w:r w:rsidRPr="00C74590">
        <w:tab/>
        <w:t>(a)</w:t>
      </w:r>
      <w:r w:rsidRPr="00C74590">
        <w:tab/>
        <w:t>deal with, and give effect to, the certificate as if it were a proper and appropriate instrument for transactions in relation to assets of that kind; and</w:t>
      </w:r>
    </w:p>
    <w:p w:rsidR="00F10780" w:rsidRPr="00C74590" w:rsidRDefault="00F10780" w:rsidP="00C74590">
      <w:pPr>
        <w:pStyle w:val="paragraph"/>
      </w:pPr>
      <w:r w:rsidRPr="00C74590">
        <w:tab/>
        <w:t>(b)</w:t>
      </w:r>
      <w:r w:rsidRPr="00C74590">
        <w:tab/>
        <w:t>make such entries in the register in relation to assets of that kind as are necessary, having regard to the effect of this Part.</w:t>
      </w:r>
    </w:p>
    <w:p w:rsidR="00F10780" w:rsidRPr="00C74590" w:rsidRDefault="00F10780" w:rsidP="00C74590">
      <w:pPr>
        <w:pStyle w:val="Subitem"/>
      </w:pPr>
      <w:r w:rsidRPr="00C74590">
        <w:t>(3)</w:t>
      </w:r>
      <w:r w:rsidRPr="00C74590">
        <w:tab/>
        <w:t xml:space="preserve">A certificate made under </w:t>
      </w:r>
      <w:proofErr w:type="spellStart"/>
      <w:r w:rsidR="00C74590" w:rsidRPr="00C74590">
        <w:t>subitem</w:t>
      </w:r>
      <w:proofErr w:type="spellEnd"/>
      <w:r w:rsidR="00C74590" w:rsidRPr="00C74590">
        <w:t> (</w:t>
      </w:r>
      <w:r w:rsidRPr="00C74590">
        <w:t>1) is not a legislative instrument.</w:t>
      </w:r>
    </w:p>
    <w:p w:rsidR="00F10780" w:rsidRPr="00C74590" w:rsidRDefault="00F10780" w:rsidP="00C74590">
      <w:pPr>
        <w:pStyle w:val="ItemHead"/>
      </w:pPr>
      <w:r w:rsidRPr="00C74590">
        <w:t>8  Exemption from stamp duty and other State or Territory taxes</w:t>
      </w:r>
    </w:p>
    <w:p w:rsidR="00F10780" w:rsidRPr="00C74590" w:rsidRDefault="00F10780" w:rsidP="00C74590">
      <w:pPr>
        <w:pStyle w:val="Subitem"/>
      </w:pPr>
      <w:r w:rsidRPr="00C74590">
        <w:t>(1)</w:t>
      </w:r>
      <w:r w:rsidRPr="00C74590">
        <w:tab/>
        <w:t>No stamp duty or other tax is payable under a law of a State or a Territory in respect of an exempt matter, or anything connected with an exempt matter.</w:t>
      </w:r>
    </w:p>
    <w:p w:rsidR="00F10780" w:rsidRPr="00C74590" w:rsidRDefault="00F10780" w:rsidP="00C74590">
      <w:pPr>
        <w:pStyle w:val="Subitem"/>
      </w:pPr>
      <w:r w:rsidRPr="00C74590">
        <w:t>(2)</w:t>
      </w:r>
      <w:r w:rsidRPr="00C74590">
        <w:tab/>
        <w:t xml:space="preserve">An </w:t>
      </w:r>
      <w:r w:rsidRPr="00C74590">
        <w:rPr>
          <w:b/>
          <w:i/>
        </w:rPr>
        <w:t>exempt matter</w:t>
      </w:r>
      <w:r w:rsidRPr="00C74590">
        <w:t xml:space="preserve"> is:</w:t>
      </w:r>
    </w:p>
    <w:p w:rsidR="00F10780" w:rsidRPr="00C74590" w:rsidRDefault="00F10780" w:rsidP="00C74590">
      <w:pPr>
        <w:pStyle w:val="paragraph"/>
      </w:pPr>
      <w:r w:rsidRPr="00C74590">
        <w:tab/>
        <w:t>(a)</w:t>
      </w:r>
      <w:r w:rsidRPr="00C74590">
        <w:tab/>
        <w:t>the vesting of an asset or liability under this Part; or</w:t>
      </w:r>
    </w:p>
    <w:p w:rsidR="00F10780" w:rsidRPr="00C74590" w:rsidRDefault="00F10780" w:rsidP="00C74590">
      <w:pPr>
        <w:pStyle w:val="paragraph"/>
      </w:pPr>
      <w:r w:rsidRPr="00C74590">
        <w:tab/>
        <w:t>(b)</w:t>
      </w:r>
      <w:r w:rsidRPr="00C74590">
        <w:tab/>
        <w:t>the operation of this Act (including regulations made for the purpose of this Schedule) in any other respect.</w:t>
      </w:r>
    </w:p>
    <w:p w:rsidR="00F10780" w:rsidRPr="00C74590" w:rsidRDefault="00F10780" w:rsidP="00C74590">
      <w:pPr>
        <w:pStyle w:val="Subitem"/>
      </w:pPr>
      <w:r w:rsidRPr="00C74590">
        <w:t>(3)</w:t>
      </w:r>
      <w:r w:rsidRPr="00C74590">
        <w:tab/>
        <w:t>The Minister may certify in writing:</w:t>
      </w:r>
    </w:p>
    <w:p w:rsidR="00F10780" w:rsidRPr="00C74590" w:rsidRDefault="00F10780" w:rsidP="00C74590">
      <w:pPr>
        <w:pStyle w:val="paragraph"/>
      </w:pPr>
      <w:r w:rsidRPr="00C74590">
        <w:tab/>
        <w:t>(a)</w:t>
      </w:r>
      <w:r w:rsidRPr="00C74590">
        <w:tab/>
        <w:t>that a specified matter is an exempt matter; or</w:t>
      </w:r>
    </w:p>
    <w:p w:rsidR="00F10780" w:rsidRPr="00C74590" w:rsidRDefault="00F10780" w:rsidP="00C74590">
      <w:pPr>
        <w:pStyle w:val="paragraph"/>
      </w:pPr>
      <w:r w:rsidRPr="00C74590">
        <w:tab/>
        <w:t>(b)</w:t>
      </w:r>
      <w:r w:rsidRPr="00C74590">
        <w:tab/>
        <w:t>that a specified thing was connected with a specified exempt matter.</w:t>
      </w:r>
    </w:p>
    <w:p w:rsidR="00F10780" w:rsidRPr="00C74590" w:rsidRDefault="00F10780" w:rsidP="00C74590">
      <w:pPr>
        <w:pStyle w:val="Subitem"/>
      </w:pPr>
      <w:r w:rsidRPr="00C74590">
        <w:t>(4)</w:t>
      </w:r>
      <w:r w:rsidRPr="00C74590">
        <w:tab/>
        <w:t xml:space="preserve">A certificate made under </w:t>
      </w:r>
      <w:proofErr w:type="spellStart"/>
      <w:r w:rsidR="00C74590" w:rsidRPr="00C74590">
        <w:t>subitem</w:t>
      </w:r>
      <w:proofErr w:type="spellEnd"/>
      <w:r w:rsidR="00C74590" w:rsidRPr="00C74590">
        <w:t> (</w:t>
      </w:r>
      <w:r w:rsidRPr="00C74590">
        <w:t>3) is not a legislative instrument.</w:t>
      </w:r>
    </w:p>
    <w:p w:rsidR="00F10780" w:rsidRPr="00C74590" w:rsidRDefault="00F10780" w:rsidP="00C74590">
      <w:pPr>
        <w:pStyle w:val="ItemHead"/>
      </w:pPr>
      <w:r w:rsidRPr="00C74590">
        <w:t>9  Certificates taken to be authentic</w:t>
      </w:r>
    </w:p>
    <w:p w:rsidR="00F10780" w:rsidRPr="00C74590" w:rsidRDefault="00F10780" w:rsidP="00C74590">
      <w:pPr>
        <w:pStyle w:val="Item"/>
      </w:pPr>
      <w:r w:rsidRPr="00C74590">
        <w:t>A document that appears to be a certificate made or issued under item</w:t>
      </w:r>
      <w:r w:rsidR="00C74590" w:rsidRPr="00C74590">
        <w:t> </w:t>
      </w:r>
      <w:r w:rsidRPr="00C74590">
        <w:t>6, 7 or 8:</w:t>
      </w:r>
    </w:p>
    <w:p w:rsidR="00F10780" w:rsidRPr="00C74590" w:rsidRDefault="00F10780" w:rsidP="00C74590">
      <w:pPr>
        <w:pStyle w:val="paragraph"/>
      </w:pPr>
      <w:r w:rsidRPr="00C74590">
        <w:tab/>
        <w:t>(a)</w:t>
      </w:r>
      <w:r w:rsidRPr="00C74590">
        <w:tab/>
        <w:t>is taken to be such a certificate; and</w:t>
      </w:r>
    </w:p>
    <w:p w:rsidR="00F10780" w:rsidRPr="00C74590" w:rsidRDefault="00F10780" w:rsidP="00C74590">
      <w:pPr>
        <w:pStyle w:val="paragraph"/>
      </w:pPr>
      <w:r w:rsidRPr="00C74590">
        <w:tab/>
        <w:t>(b)</w:t>
      </w:r>
      <w:r w:rsidRPr="00C74590">
        <w:tab/>
        <w:t>is taken to have been properly given;</w:t>
      </w:r>
    </w:p>
    <w:p w:rsidR="00F10780" w:rsidRPr="00C74590" w:rsidRDefault="00F10780" w:rsidP="00C74590">
      <w:pPr>
        <w:pStyle w:val="Item"/>
      </w:pPr>
      <w:r w:rsidRPr="00C74590">
        <w:t>unless the contrary is established.</w:t>
      </w:r>
    </w:p>
    <w:p w:rsidR="00F10780" w:rsidRPr="00C74590" w:rsidRDefault="00F10780" w:rsidP="00C74590">
      <w:pPr>
        <w:pStyle w:val="ActHead8"/>
      </w:pPr>
      <w:bookmarkStart w:id="13" w:name="_Toc361130702"/>
      <w:r w:rsidRPr="00C74590">
        <w:lastRenderedPageBreak/>
        <w:t>Division</w:t>
      </w:r>
      <w:r w:rsidR="00C74590" w:rsidRPr="00C74590">
        <w:t> </w:t>
      </w:r>
      <w:r w:rsidRPr="00C74590">
        <w:t>4—Applications</w:t>
      </w:r>
      <w:r w:rsidR="00B00DE7" w:rsidRPr="00C74590">
        <w:t xml:space="preserve"> and requests for reconsideration</w:t>
      </w:r>
      <w:bookmarkEnd w:id="13"/>
    </w:p>
    <w:p w:rsidR="00F10780" w:rsidRPr="00C74590" w:rsidRDefault="00F10780" w:rsidP="00C74590">
      <w:pPr>
        <w:pStyle w:val="ItemHead"/>
      </w:pPr>
      <w:r w:rsidRPr="00C74590">
        <w:t>10  Dealing with undecided applications</w:t>
      </w:r>
      <w:r w:rsidR="00B00DE7" w:rsidRPr="00C74590">
        <w:t xml:space="preserve"> and requests for reconsideration</w:t>
      </w:r>
    </w:p>
    <w:p w:rsidR="00F10780" w:rsidRPr="00C74590" w:rsidRDefault="00F10780" w:rsidP="00C74590">
      <w:pPr>
        <w:pStyle w:val="SubitemHead"/>
      </w:pPr>
      <w:r w:rsidRPr="00C74590">
        <w:t>Applications for accreditation and re</w:t>
      </w:r>
      <w:r w:rsidR="00CB2894">
        <w:noBreakHyphen/>
      </w:r>
      <w:r w:rsidRPr="00C74590">
        <w:t>accreditation</w:t>
      </w:r>
    </w:p>
    <w:p w:rsidR="00F10780" w:rsidRPr="00C74590" w:rsidRDefault="00F10780" w:rsidP="00C74590">
      <w:pPr>
        <w:pStyle w:val="Subitem"/>
      </w:pPr>
      <w:r w:rsidRPr="00C74590">
        <w:t>(1)</w:t>
      </w:r>
      <w:r w:rsidRPr="00C74590">
        <w:tab/>
        <w:t>If:</w:t>
      </w:r>
    </w:p>
    <w:p w:rsidR="00F10780" w:rsidRPr="00C74590" w:rsidRDefault="00F10780" w:rsidP="00C74590">
      <w:pPr>
        <w:pStyle w:val="paragraph"/>
      </w:pPr>
      <w:r w:rsidRPr="00C74590">
        <w:tab/>
        <w:t>(a)</w:t>
      </w:r>
      <w:r w:rsidRPr="00C74590">
        <w:tab/>
        <w:t>before the commencement day, an approved provider of a residential care service had, in accordance with Part</w:t>
      </w:r>
      <w:r w:rsidR="00C74590" w:rsidRPr="00C74590">
        <w:t> </w:t>
      </w:r>
      <w:r w:rsidRPr="00C74590">
        <w:t>2 of the Accreditation Grant Principles, applied to the accreditation body for accreditation or re</w:t>
      </w:r>
      <w:r w:rsidR="00CB2894">
        <w:noBreakHyphen/>
      </w:r>
      <w:r w:rsidRPr="00C74590">
        <w:t>accreditation of the service; and</w:t>
      </w:r>
    </w:p>
    <w:p w:rsidR="00F10780" w:rsidRPr="00C74590" w:rsidRDefault="00F10780" w:rsidP="00C74590">
      <w:pPr>
        <w:pStyle w:val="paragraph"/>
      </w:pPr>
      <w:r w:rsidRPr="00C74590">
        <w:tab/>
        <w:t>(b)</w:t>
      </w:r>
      <w:r w:rsidRPr="00C74590">
        <w:tab/>
        <w:t>as at the commencement day, the application had not been decided;</w:t>
      </w:r>
    </w:p>
    <w:p w:rsidR="00F10780" w:rsidRPr="00C74590" w:rsidRDefault="00F10780" w:rsidP="00C74590">
      <w:pPr>
        <w:pStyle w:val="Subitem"/>
      </w:pPr>
      <w:r w:rsidRPr="00C74590">
        <w:tab/>
        <w:t>the application is taken, for the purposes of the Quality Agency Act, to be an application made to the Quality Agency by the approved provider, on the commencement day, under the Quality Agency Principles.</w:t>
      </w:r>
    </w:p>
    <w:p w:rsidR="00B00DE7" w:rsidRPr="00C74590" w:rsidRDefault="00B00DE7" w:rsidP="00C74590">
      <w:pPr>
        <w:pStyle w:val="SubitemHead"/>
      </w:pPr>
      <w:r w:rsidRPr="00C74590">
        <w:t>Applications to be registered as quality assessor</w:t>
      </w:r>
    </w:p>
    <w:p w:rsidR="00B00DE7" w:rsidRPr="00C74590" w:rsidRDefault="00B00DE7" w:rsidP="00C74590">
      <w:pPr>
        <w:pStyle w:val="Subitem"/>
      </w:pPr>
      <w:r w:rsidRPr="00C74590">
        <w:t>(2)</w:t>
      </w:r>
      <w:r w:rsidRPr="00C74590">
        <w:tab/>
        <w:t>If:</w:t>
      </w:r>
    </w:p>
    <w:p w:rsidR="00B00DE7" w:rsidRPr="00C74590" w:rsidRDefault="00B00DE7" w:rsidP="00C74590">
      <w:pPr>
        <w:pStyle w:val="paragraph"/>
      </w:pPr>
      <w:r w:rsidRPr="00C74590">
        <w:tab/>
        <w:t>(a)</w:t>
      </w:r>
      <w:r w:rsidRPr="00C74590">
        <w:tab/>
        <w:t>before the commencement day, a person had, in accordance with Part</w:t>
      </w:r>
      <w:r w:rsidR="00C74590" w:rsidRPr="00C74590">
        <w:t> </w:t>
      </w:r>
      <w:r w:rsidRPr="00C74590">
        <w:t>12 of the Accreditation Grant Principles, applied to be registered as a quality assessor or applied to be registered for a further period; and</w:t>
      </w:r>
    </w:p>
    <w:p w:rsidR="00B00DE7" w:rsidRPr="00C74590" w:rsidRDefault="00B00DE7" w:rsidP="00C74590">
      <w:pPr>
        <w:pStyle w:val="paragraph"/>
      </w:pPr>
      <w:r w:rsidRPr="00C74590">
        <w:tab/>
        <w:t>(b)</w:t>
      </w:r>
      <w:r w:rsidRPr="00C74590">
        <w:tab/>
        <w:t>as at the commencement day, the application had not been decided;</w:t>
      </w:r>
    </w:p>
    <w:p w:rsidR="00B00DE7" w:rsidRPr="00C74590" w:rsidRDefault="00B00DE7" w:rsidP="00C74590">
      <w:pPr>
        <w:pStyle w:val="Subitem"/>
      </w:pPr>
      <w:r w:rsidRPr="00C74590">
        <w:tab/>
        <w:t>the application is taken, for the purposes of the Quality Agency Act, to be an application made by the person, on the commencement day, under the Quality Agency Principles to be registered as a quality assessor or to be registered for a further period.</w:t>
      </w:r>
    </w:p>
    <w:p w:rsidR="00F10780" w:rsidRPr="00C74590" w:rsidRDefault="00F10780" w:rsidP="00C74590">
      <w:pPr>
        <w:pStyle w:val="SubitemHead"/>
      </w:pPr>
      <w:r w:rsidRPr="00C74590">
        <w:t>Requests for reconsideration of decisions</w:t>
      </w:r>
    </w:p>
    <w:p w:rsidR="00F10780" w:rsidRPr="00C74590" w:rsidRDefault="00F10780" w:rsidP="00C74590">
      <w:pPr>
        <w:pStyle w:val="Subitem"/>
      </w:pPr>
      <w:r w:rsidRPr="00C74590">
        <w:t>(</w:t>
      </w:r>
      <w:r w:rsidR="00B00DE7" w:rsidRPr="00C74590">
        <w:t>3</w:t>
      </w:r>
      <w:r w:rsidRPr="00C74590">
        <w:t>)</w:t>
      </w:r>
      <w:r w:rsidRPr="00C74590">
        <w:tab/>
        <w:t>If:</w:t>
      </w:r>
    </w:p>
    <w:p w:rsidR="00F10780" w:rsidRPr="00C74590" w:rsidRDefault="00F10780" w:rsidP="00C74590">
      <w:pPr>
        <w:pStyle w:val="paragraph"/>
      </w:pPr>
      <w:r w:rsidRPr="00C74590">
        <w:tab/>
        <w:t>(a)</w:t>
      </w:r>
      <w:r w:rsidRPr="00C74590">
        <w:tab/>
        <w:t>before the commencement day, a person had, in accordance with Part</w:t>
      </w:r>
      <w:r w:rsidR="00C74590" w:rsidRPr="00C74590">
        <w:t> </w:t>
      </w:r>
      <w:r w:rsidRPr="00C74590">
        <w:t xml:space="preserve">9 of the Accreditation Grant Principles, requested the accreditation body to reconsider a decision </w:t>
      </w:r>
      <w:r w:rsidR="00DC67A0" w:rsidRPr="00C74590">
        <w:t>covered by</w:t>
      </w:r>
      <w:r w:rsidRPr="00C74590">
        <w:t xml:space="preserve"> that Part; and</w:t>
      </w:r>
    </w:p>
    <w:p w:rsidR="00F10780" w:rsidRPr="00C74590" w:rsidRDefault="00F10780" w:rsidP="00C74590">
      <w:pPr>
        <w:pStyle w:val="paragraph"/>
      </w:pPr>
      <w:r w:rsidRPr="00C74590">
        <w:lastRenderedPageBreak/>
        <w:tab/>
        <w:t>(b)</w:t>
      </w:r>
      <w:r w:rsidRPr="00C74590">
        <w:tab/>
        <w:t>as at the commencement day, the accreditation body had not reconsidered the decision as requested;</w:t>
      </w:r>
    </w:p>
    <w:p w:rsidR="00F10780" w:rsidRPr="00C74590" w:rsidRDefault="00F10780" w:rsidP="00C74590">
      <w:pPr>
        <w:pStyle w:val="Subitem"/>
      </w:pPr>
      <w:r w:rsidRPr="00C74590">
        <w:tab/>
        <w:t>the request is taken, for the purposes of the Quality Agency Act, to be a request made by the person to the Quality Agency for reconsideration of the decision, on the commencement day, under the Quality Agency Principles.</w:t>
      </w:r>
    </w:p>
    <w:p w:rsidR="00DC67A0" w:rsidRPr="00C74590" w:rsidRDefault="00DC67A0" w:rsidP="00C74590">
      <w:pPr>
        <w:pStyle w:val="SubitemHead"/>
      </w:pPr>
      <w:r w:rsidRPr="00C74590">
        <w:t>Reconsideration and review where no request made</w:t>
      </w:r>
    </w:p>
    <w:p w:rsidR="00945A3F" w:rsidRPr="00C74590" w:rsidRDefault="00945A3F" w:rsidP="00C74590">
      <w:pPr>
        <w:pStyle w:val="Subitem"/>
      </w:pPr>
      <w:r w:rsidRPr="00C74590">
        <w:t>(4)</w:t>
      </w:r>
      <w:r w:rsidRPr="00C74590">
        <w:tab/>
        <w:t>If:</w:t>
      </w:r>
    </w:p>
    <w:p w:rsidR="00945A3F" w:rsidRPr="00C74590" w:rsidRDefault="00945A3F" w:rsidP="00C74590">
      <w:pPr>
        <w:pStyle w:val="paragraph"/>
      </w:pPr>
      <w:r w:rsidRPr="00C74590">
        <w:tab/>
        <w:t>(a)</w:t>
      </w:r>
      <w:r w:rsidRPr="00C74590">
        <w:tab/>
        <w:t>before the commencement day</w:t>
      </w:r>
      <w:r w:rsidR="00795760" w:rsidRPr="00C74590">
        <w:t>,</w:t>
      </w:r>
      <w:r w:rsidRPr="00C74590">
        <w:t xml:space="preserve"> the accreditation body had made a decision </w:t>
      </w:r>
      <w:r w:rsidR="00DC67A0" w:rsidRPr="00C74590">
        <w:t>covered by</w:t>
      </w:r>
      <w:r w:rsidRPr="00C74590">
        <w:t xml:space="preserve"> column 2 of the table in section</w:t>
      </w:r>
      <w:r w:rsidR="00C74590" w:rsidRPr="00C74590">
        <w:t> </w:t>
      </w:r>
      <w:r w:rsidRPr="00C74590">
        <w:t xml:space="preserve">2.67 of the Accreditation Grant Principles that could have been reconsidered </w:t>
      </w:r>
      <w:r w:rsidR="001A6190" w:rsidRPr="00C74590">
        <w:t xml:space="preserve">and reviewed </w:t>
      </w:r>
      <w:r w:rsidRPr="00C74590">
        <w:t>under Part</w:t>
      </w:r>
      <w:r w:rsidR="00C74590" w:rsidRPr="00C74590">
        <w:t> </w:t>
      </w:r>
      <w:r w:rsidRPr="00C74590">
        <w:t>9 of those Principles; and</w:t>
      </w:r>
    </w:p>
    <w:p w:rsidR="00945A3F" w:rsidRPr="00C74590" w:rsidRDefault="00945A3F" w:rsidP="00C74590">
      <w:pPr>
        <w:pStyle w:val="paragraph"/>
      </w:pPr>
      <w:r w:rsidRPr="00C74590">
        <w:tab/>
        <w:t>(b)</w:t>
      </w:r>
      <w:r w:rsidRPr="00C74590">
        <w:tab/>
        <w:t xml:space="preserve">as at the commencement day, a person specified in column </w:t>
      </w:r>
      <w:r w:rsidR="00073CE8" w:rsidRPr="00C74590">
        <w:t>3</w:t>
      </w:r>
      <w:r w:rsidRPr="00C74590">
        <w:t xml:space="preserve"> of </w:t>
      </w:r>
      <w:r w:rsidR="00073CE8" w:rsidRPr="00C74590">
        <w:t>that</w:t>
      </w:r>
      <w:r w:rsidRPr="00C74590">
        <w:t xml:space="preserve"> table </w:t>
      </w:r>
      <w:r w:rsidR="00073CE8" w:rsidRPr="00C74590">
        <w:t xml:space="preserve">in relation to the decision </w:t>
      </w:r>
      <w:r w:rsidRPr="00C74590">
        <w:t xml:space="preserve">could have </w:t>
      </w:r>
      <w:r w:rsidR="00073CE8" w:rsidRPr="00C74590">
        <w:t xml:space="preserve">properly </w:t>
      </w:r>
      <w:r w:rsidR="00E56E4C" w:rsidRPr="00C74590">
        <w:t>requested</w:t>
      </w:r>
      <w:r w:rsidRPr="00C74590">
        <w:t xml:space="preserve"> the accreditation body to reconsider the decision </w:t>
      </w:r>
      <w:r w:rsidR="00073CE8" w:rsidRPr="00C74590">
        <w:t xml:space="preserve">but </w:t>
      </w:r>
      <w:r w:rsidRPr="00C74590">
        <w:t>had not done so; and</w:t>
      </w:r>
    </w:p>
    <w:p w:rsidR="00945A3F" w:rsidRPr="00C74590" w:rsidRDefault="00945A3F" w:rsidP="00C74590">
      <w:pPr>
        <w:pStyle w:val="paragraph"/>
      </w:pPr>
      <w:r w:rsidRPr="00C74590">
        <w:tab/>
        <w:t>(c)</w:t>
      </w:r>
      <w:r w:rsidRPr="00C74590">
        <w:tab/>
        <w:t>as at the commencement day, the period specified in section</w:t>
      </w:r>
      <w:r w:rsidR="00C74590" w:rsidRPr="00C74590">
        <w:t> </w:t>
      </w:r>
      <w:r w:rsidRPr="00C74590">
        <w:t xml:space="preserve">2.68 of </w:t>
      </w:r>
      <w:r w:rsidR="00073CE8" w:rsidRPr="00C74590">
        <w:t>those</w:t>
      </w:r>
      <w:r w:rsidRPr="00C74590">
        <w:t xml:space="preserve"> Principles for </w:t>
      </w:r>
      <w:r w:rsidR="00073CE8" w:rsidRPr="00C74590">
        <w:t xml:space="preserve">requesting the </w:t>
      </w:r>
      <w:r w:rsidRPr="00C74590">
        <w:t>reconsideration had not expired;</w:t>
      </w:r>
    </w:p>
    <w:p w:rsidR="00945A3F" w:rsidRPr="00C74590" w:rsidRDefault="00945A3F" w:rsidP="00C74590">
      <w:pPr>
        <w:pStyle w:val="Subitem"/>
      </w:pPr>
      <w:r w:rsidRPr="00C74590">
        <w:tab/>
      </w:r>
      <w:r w:rsidR="00DC67A0" w:rsidRPr="00C74590">
        <w:t>t</w:t>
      </w:r>
      <w:r w:rsidRPr="00C74590">
        <w:t>he</w:t>
      </w:r>
      <w:r w:rsidR="00DC67A0" w:rsidRPr="00C74590">
        <w:t>n on and after the commencement day, the Quality Agency Principles</w:t>
      </w:r>
      <w:r w:rsidRPr="00C74590">
        <w:t xml:space="preserve"> </w:t>
      </w:r>
      <w:r w:rsidR="00DC67A0" w:rsidRPr="00C74590">
        <w:t>apply to the decision</w:t>
      </w:r>
      <w:r w:rsidRPr="00C74590">
        <w:t xml:space="preserve"> as if </w:t>
      </w:r>
      <w:r w:rsidR="00DC67A0" w:rsidRPr="00C74590">
        <w:t>it were a</w:t>
      </w:r>
      <w:r w:rsidRPr="00C74590">
        <w:t xml:space="preserve"> decision made by the </w:t>
      </w:r>
      <w:proofErr w:type="spellStart"/>
      <w:r w:rsidRPr="00C74590">
        <w:t>CEO</w:t>
      </w:r>
      <w:proofErr w:type="spellEnd"/>
      <w:r w:rsidRPr="00C74590">
        <w:t xml:space="preserve"> of the Quality Agency</w:t>
      </w:r>
      <w:r w:rsidR="005A2374" w:rsidRPr="00C74590">
        <w:t xml:space="preserve"> on the commencement day </w:t>
      </w:r>
      <w:r w:rsidR="00DC67A0" w:rsidRPr="00C74590">
        <w:t xml:space="preserve">that may be reconsidered and reviewed </w:t>
      </w:r>
      <w:r w:rsidRPr="00C74590">
        <w:t>under those Principles.</w:t>
      </w:r>
    </w:p>
    <w:p w:rsidR="00F10780" w:rsidRPr="00C74590" w:rsidRDefault="00F10780" w:rsidP="00C74590">
      <w:pPr>
        <w:pStyle w:val="ActHead7"/>
        <w:pageBreakBefore/>
      </w:pPr>
      <w:bookmarkStart w:id="14" w:name="_Toc361130703"/>
      <w:r w:rsidRPr="00C74590">
        <w:rPr>
          <w:rStyle w:val="CharAmPartNo"/>
        </w:rPr>
        <w:lastRenderedPageBreak/>
        <w:t>Part</w:t>
      </w:r>
      <w:r w:rsidR="00C74590" w:rsidRPr="00C74590">
        <w:rPr>
          <w:rStyle w:val="CharAmPartNo"/>
        </w:rPr>
        <w:t> </w:t>
      </w:r>
      <w:r w:rsidRPr="00C74590">
        <w:rPr>
          <w:rStyle w:val="CharAmPartNo"/>
        </w:rPr>
        <w:t>3</w:t>
      </w:r>
      <w:r w:rsidRPr="00C74590">
        <w:t>—</w:t>
      </w:r>
      <w:r w:rsidRPr="00C74590">
        <w:rPr>
          <w:rStyle w:val="CharAmPartText"/>
        </w:rPr>
        <w:t>Books, reports, returns etc.</w:t>
      </w:r>
      <w:bookmarkEnd w:id="14"/>
    </w:p>
    <w:p w:rsidR="00F10780" w:rsidRPr="00C74590" w:rsidRDefault="00F10780" w:rsidP="00C74590">
      <w:pPr>
        <w:pStyle w:val="ItemHead"/>
      </w:pPr>
      <w:r w:rsidRPr="00C74590">
        <w:t>11  Director’s obligations—</w:t>
      </w:r>
      <w:proofErr w:type="spellStart"/>
      <w:r w:rsidRPr="00C74590">
        <w:t>ACSAA</w:t>
      </w:r>
      <w:proofErr w:type="spellEnd"/>
      <w:r w:rsidRPr="00C74590">
        <w:t xml:space="preserve"> Limited’s books</w:t>
      </w:r>
    </w:p>
    <w:p w:rsidR="00F10780" w:rsidRPr="00C74590" w:rsidRDefault="00F10780" w:rsidP="00C74590">
      <w:pPr>
        <w:pStyle w:val="Item"/>
      </w:pPr>
      <w:r w:rsidRPr="00C74590">
        <w:t>Subsection</w:t>
      </w:r>
      <w:r w:rsidR="00C74590" w:rsidRPr="00C74590">
        <w:t> </w:t>
      </w:r>
      <w:r w:rsidRPr="00C74590">
        <w:t xml:space="preserve">601AD(5) of the </w:t>
      </w:r>
      <w:r w:rsidRPr="00C74590">
        <w:rPr>
          <w:i/>
        </w:rPr>
        <w:t xml:space="preserve">Corporations Act 2001 </w:t>
      </w:r>
      <w:r w:rsidRPr="00C74590">
        <w:t xml:space="preserve">has effect in relation to </w:t>
      </w:r>
      <w:proofErr w:type="spellStart"/>
      <w:r w:rsidRPr="00C74590">
        <w:t>ACSAA</w:t>
      </w:r>
      <w:proofErr w:type="spellEnd"/>
      <w:r w:rsidRPr="00C74590">
        <w:t xml:space="preserve"> Limited’s books (within the meaning of that Act), after the commencement day, as if the reference in that subsection to the directors of the company immediately before deregistration were a reference to the Commonwealth.</w:t>
      </w:r>
    </w:p>
    <w:p w:rsidR="00F10780" w:rsidRPr="00C74590" w:rsidRDefault="00F10780" w:rsidP="00C74590">
      <w:pPr>
        <w:pStyle w:val="ItemHead"/>
      </w:pPr>
      <w:r w:rsidRPr="00C74590">
        <w:t xml:space="preserve">12  Reports, returns etc. of </w:t>
      </w:r>
      <w:proofErr w:type="spellStart"/>
      <w:r w:rsidRPr="00C74590">
        <w:t>ACSAA</w:t>
      </w:r>
      <w:proofErr w:type="spellEnd"/>
      <w:r w:rsidRPr="00C74590">
        <w:t xml:space="preserve"> Limited</w:t>
      </w:r>
    </w:p>
    <w:p w:rsidR="00F10780" w:rsidRPr="00C74590" w:rsidRDefault="00F10780" w:rsidP="00C74590">
      <w:pPr>
        <w:pStyle w:val="Subitem"/>
      </w:pPr>
      <w:r w:rsidRPr="00C74590">
        <w:t>(1)</w:t>
      </w:r>
      <w:r w:rsidRPr="00C74590">
        <w:tab/>
        <w:t xml:space="preserve">This item applies to a report, return or other document if, at a time (the </w:t>
      </w:r>
      <w:r w:rsidRPr="00C74590">
        <w:rPr>
          <w:b/>
          <w:i/>
        </w:rPr>
        <w:t>relevant time</w:t>
      </w:r>
      <w:r w:rsidRPr="00C74590">
        <w:t>) that is</w:t>
      </w:r>
      <w:r w:rsidR="00E931FE" w:rsidRPr="00C74590">
        <w:t xml:space="preserve"> on</w:t>
      </w:r>
      <w:r w:rsidRPr="00C74590">
        <w:t>, or is after, the commencement day:</w:t>
      </w:r>
    </w:p>
    <w:p w:rsidR="00F10780" w:rsidRPr="00C74590" w:rsidRDefault="00F10780" w:rsidP="00C74590">
      <w:pPr>
        <w:pStyle w:val="paragraph"/>
      </w:pPr>
      <w:r w:rsidRPr="00C74590">
        <w:tab/>
        <w:t>(a)</w:t>
      </w:r>
      <w:r w:rsidRPr="00C74590">
        <w:tab/>
      </w:r>
      <w:proofErr w:type="spellStart"/>
      <w:r w:rsidRPr="00C74590">
        <w:t>ACSAA</w:t>
      </w:r>
      <w:proofErr w:type="spellEnd"/>
      <w:r w:rsidRPr="00C74590">
        <w:t xml:space="preserve"> Limited is required, by or under a law of the Commonwealth, to prepare or lodge the report, return or document; or</w:t>
      </w:r>
    </w:p>
    <w:p w:rsidR="00F10780" w:rsidRPr="00C74590" w:rsidRDefault="00F10780" w:rsidP="00C74590">
      <w:pPr>
        <w:pStyle w:val="paragraph"/>
      </w:pPr>
      <w:r w:rsidRPr="00C74590">
        <w:tab/>
        <w:t>(b)</w:t>
      </w:r>
      <w:r w:rsidRPr="00C74590">
        <w:tab/>
        <w:t xml:space="preserve">any of the following persons is required, by or under a law of the Commonwealth, to prepare or lodge the report, return or document in relation to </w:t>
      </w:r>
      <w:proofErr w:type="spellStart"/>
      <w:r w:rsidRPr="00C74590">
        <w:t>ACSAA</w:t>
      </w:r>
      <w:proofErr w:type="spellEnd"/>
      <w:r w:rsidRPr="00C74590">
        <w:t xml:space="preserve"> Limited:</w:t>
      </w:r>
    </w:p>
    <w:p w:rsidR="00F10780" w:rsidRPr="00C74590" w:rsidRDefault="00F10780" w:rsidP="00C74590">
      <w:pPr>
        <w:pStyle w:val="paragraphsub"/>
      </w:pPr>
      <w:r w:rsidRPr="00C74590">
        <w:tab/>
        <w:t>(</w:t>
      </w:r>
      <w:proofErr w:type="spellStart"/>
      <w:r w:rsidRPr="00C74590">
        <w:t>i</w:t>
      </w:r>
      <w:proofErr w:type="spellEnd"/>
      <w:r w:rsidRPr="00C74590">
        <w:t>)</w:t>
      </w:r>
      <w:r w:rsidRPr="00C74590">
        <w:tab/>
        <w:t xml:space="preserve">a director or former director of </w:t>
      </w:r>
      <w:proofErr w:type="spellStart"/>
      <w:r w:rsidRPr="00C74590">
        <w:t>ACSAA</w:t>
      </w:r>
      <w:proofErr w:type="spellEnd"/>
      <w:r w:rsidRPr="00C74590">
        <w:t xml:space="preserve"> Limited;</w:t>
      </w:r>
    </w:p>
    <w:p w:rsidR="00F10780" w:rsidRPr="00C74590" w:rsidRDefault="00F10780" w:rsidP="00C74590">
      <w:pPr>
        <w:pStyle w:val="paragraphsub"/>
      </w:pPr>
      <w:r w:rsidRPr="00C74590">
        <w:tab/>
        <w:t>(ii)</w:t>
      </w:r>
      <w:r w:rsidRPr="00C74590">
        <w:tab/>
        <w:t xml:space="preserve">any other officer or member of the staff, or former officer or member of the staff, of </w:t>
      </w:r>
      <w:proofErr w:type="spellStart"/>
      <w:r w:rsidRPr="00C74590">
        <w:t>ACSAA</w:t>
      </w:r>
      <w:proofErr w:type="spellEnd"/>
      <w:r w:rsidRPr="00C74590">
        <w:t xml:space="preserve"> Limited.</w:t>
      </w:r>
    </w:p>
    <w:p w:rsidR="00F10780" w:rsidRPr="00C74590" w:rsidRDefault="00F10780" w:rsidP="00C74590">
      <w:pPr>
        <w:pStyle w:val="Subitem"/>
      </w:pPr>
      <w:r w:rsidRPr="00C74590">
        <w:t>(2)</w:t>
      </w:r>
      <w:r w:rsidRPr="00C74590">
        <w:tab/>
        <w:t xml:space="preserve">The </w:t>
      </w:r>
      <w:proofErr w:type="spellStart"/>
      <w:r w:rsidRPr="00C74590">
        <w:t>CEO</w:t>
      </w:r>
      <w:proofErr w:type="spellEnd"/>
      <w:r w:rsidRPr="00C74590">
        <w:t xml:space="preserve"> of the Quality Agency is instead required, at the relevant time, to prepare or lodge the report, return or document.</w:t>
      </w:r>
    </w:p>
    <w:p w:rsidR="00F10780" w:rsidRPr="00C74590" w:rsidRDefault="00F10780" w:rsidP="00C74590">
      <w:pPr>
        <w:pStyle w:val="Subitem"/>
      </w:pPr>
      <w:r w:rsidRPr="00C74590">
        <w:t>(3)</w:t>
      </w:r>
      <w:r w:rsidRPr="00C74590">
        <w:tab/>
        <w:t xml:space="preserve">The Secretary must provide reasonable assistance to the </w:t>
      </w:r>
      <w:proofErr w:type="spellStart"/>
      <w:r w:rsidRPr="00C74590">
        <w:t>CEO</w:t>
      </w:r>
      <w:proofErr w:type="spellEnd"/>
      <w:r w:rsidRPr="00C74590">
        <w:t xml:space="preserve"> of the Quality Agency for the purpose of preparing the report, return or document. This may, for example, include allowing the </w:t>
      </w:r>
      <w:proofErr w:type="spellStart"/>
      <w:r w:rsidRPr="00C74590">
        <w:t>CEO</w:t>
      </w:r>
      <w:proofErr w:type="spellEnd"/>
      <w:r w:rsidRPr="00C74590">
        <w:t xml:space="preserve"> of the Quality Agency appropriate access to records, documents or information relating to the activities of </w:t>
      </w:r>
      <w:proofErr w:type="spellStart"/>
      <w:r w:rsidRPr="00C74590">
        <w:t>ACSAA</w:t>
      </w:r>
      <w:proofErr w:type="spellEnd"/>
      <w:r w:rsidRPr="00C74590">
        <w:t xml:space="preserve"> Limited.</w:t>
      </w:r>
    </w:p>
    <w:p w:rsidR="00F10780" w:rsidRPr="00C74590" w:rsidRDefault="00F10780" w:rsidP="00C74590">
      <w:pPr>
        <w:pStyle w:val="ActHead7"/>
        <w:pageBreakBefore/>
      </w:pPr>
      <w:bookmarkStart w:id="15" w:name="_Toc361130704"/>
      <w:r w:rsidRPr="00C74590">
        <w:rPr>
          <w:rStyle w:val="CharAmPartNo"/>
        </w:rPr>
        <w:lastRenderedPageBreak/>
        <w:t>Part</w:t>
      </w:r>
      <w:r w:rsidR="00C74590" w:rsidRPr="00C74590">
        <w:rPr>
          <w:rStyle w:val="CharAmPartNo"/>
        </w:rPr>
        <w:t> </w:t>
      </w:r>
      <w:r w:rsidRPr="00C74590">
        <w:rPr>
          <w:rStyle w:val="CharAmPartNo"/>
        </w:rPr>
        <w:t>4</w:t>
      </w:r>
      <w:r w:rsidRPr="00C74590">
        <w:t>—</w:t>
      </w:r>
      <w:r w:rsidRPr="00C74590">
        <w:rPr>
          <w:rStyle w:val="CharAmPartText"/>
        </w:rPr>
        <w:t>Office holders</w:t>
      </w:r>
      <w:r w:rsidR="006F47C6" w:rsidRPr="00C74590">
        <w:rPr>
          <w:rStyle w:val="CharAmPartText"/>
        </w:rPr>
        <w:t xml:space="preserve"> and staff</w:t>
      </w:r>
      <w:bookmarkEnd w:id="15"/>
    </w:p>
    <w:p w:rsidR="00F10780" w:rsidRPr="00C74590" w:rsidRDefault="00F10780" w:rsidP="00C74590">
      <w:pPr>
        <w:pStyle w:val="ItemHead"/>
      </w:pPr>
      <w:r w:rsidRPr="00C74590">
        <w:t xml:space="preserve">13  Termination of office holders of </w:t>
      </w:r>
      <w:proofErr w:type="spellStart"/>
      <w:r w:rsidRPr="00C74590">
        <w:t>ACSAA</w:t>
      </w:r>
      <w:proofErr w:type="spellEnd"/>
      <w:r w:rsidRPr="00C74590">
        <w:t xml:space="preserve"> Limited</w:t>
      </w:r>
    </w:p>
    <w:p w:rsidR="00F10780" w:rsidRPr="00C74590" w:rsidRDefault="00F10780" w:rsidP="00C74590">
      <w:pPr>
        <w:pStyle w:val="Subitem"/>
      </w:pPr>
      <w:r w:rsidRPr="00C74590">
        <w:t>(1)</w:t>
      </w:r>
      <w:r w:rsidRPr="00C74590">
        <w:tab/>
        <w:t>Before the commencement day, the Minister may, in writing:</w:t>
      </w:r>
    </w:p>
    <w:p w:rsidR="00F10780" w:rsidRPr="00C74590" w:rsidRDefault="00F10780" w:rsidP="00C74590">
      <w:pPr>
        <w:pStyle w:val="paragraph"/>
      </w:pPr>
      <w:r w:rsidRPr="00C74590">
        <w:tab/>
        <w:t>(a)</w:t>
      </w:r>
      <w:r w:rsidRPr="00C74590">
        <w:tab/>
        <w:t xml:space="preserve">terminate the appointment of any director of </w:t>
      </w:r>
      <w:proofErr w:type="spellStart"/>
      <w:r w:rsidRPr="00C74590">
        <w:t>ACSAA</w:t>
      </w:r>
      <w:proofErr w:type="spellEnd"/>
      <w:r w:rsidRPr="00C74590">
        <w:t xml:space="preserve"> Limited; and</w:t>
      </w:r>
    </w:p>
    <w:p w:rsidR="00F10780" w:rsidRPr="00C74590" w:rsidRDefault="00F10780" w:rsidP="00C74590">
      <w:pPr>
        <w:pStyle w:val="paragraph"/>
      </w:pPr>
      <w:r w:rsidRPr="00C74590">
        <w:tab/>
        <w:t>(b)</w:t>
      </w:r>
      <w:r w:rsidRPr="00C74590">
        <w:tab/>
        <w:t>terminate any agreement or other instrument relating to that appointment; and</w:t>
      </w:r>
    </w:p>
    <w:p w:rsidR="00F10780" w:rsidRPr="00C74590" w:rsidRDefault="00F10780" w:rsidP="00C74590">
      <w:pPr>
        <w:pStyle w:val="paragraph"/>
      </w:pPr>
      <w:r w:rsidRPr="00C74590">
        <w:tab/>
        <w:t>(c)</w:t>
      </w:r>
      <w:r w:rsidRPr="00C74590">
        <w:tab/>
        <w:t xml:space="preserve">make provision in relation to a termination under </w:t>
      </w:r>
      <w:r w:rsidR="00C74590" w:rsidRPr="00C74590">
        <w:t>paragraph (</w:t>
      </w:r>
      <w:r w:rsidRPr="00C74590">
        <w:t>a) or (b).</w:t>
      </w:r>
    </w:p>
    <w:p w:rsidR="00F10780" w:rsidRPr="00C74590" w:rsidRDefault="00F10780" w:rsidP="00C74590">
      <w:pPr>
        <w:pStyle w:val="Subitem"/>
      </w:pPr>
      <w:r w:rsidRPr="00C74590">
        <w:t>(2)</w:t>
      </w:r>
      <w:r w:rsidRPr="00C74590">
        <w:tab/>
        <w:t xml:space="preserve">An instrument made under </w:t>
      </w:r>
      <w:proofErr w:type="spellStart"/>
      <w:r w:rsidR="00C74590" w:rsidRPr="00C74590">
        <w:t>subitem</w:t>
      </w:r>
      <w:proofErr w:type="spellEnd"/>
      <w:r w:rsidR="00C74590" w:rsidRPr="00C74590">
        <w:t> (</w:t>
      </w:r>
      <w:r w:rsidRPr="00C74590">
        <w:t>1) has effect accordingly, and takes effect immediately before the commencement day.</w:t>
      </w:r>
    </w:p>
    <w:p w:rsidR="00F10780" w:rsidRPr="00C74590" w:rsidRDefault="00F10780" w:rsidP="00C74590">
      <w:pPr>
        <w:pStyle w:val="Subitem"/>
      </w:pPr>
      <w:r w:rsidRPr="00C74590">
        <w:t>(3)</w:t>
      </w:r>
      <w:r w:rsidRPr="00C74590">
        <w:tab/>
        <w:t xml:space="preserve">An instrument made under </w:t>
      </w:r>
      <w:proofErr w:type="spellStart"/>
      <w:r w:rsidR="00C74590" w:rsidRPr="00C74590">
        <w:t>subitem</w:t>
      </w:r>
      <w:proofErr w:type="spellEnd"/>
      <w:r w:rsidR="00C74590" w:rsidRPr="00C74590">
        <w:t> (</w:t>
      </w:r>
      <w:r w:rsidRPr="00C74590">
        <w:t>1) is not a legislative instrument.</w:t>
      </w:r>
    </w:p>
    <w:p w:rsidR="006F47C6" w:rsidRPr="00C74590" w:rsidRDefault="006F47C6" w:rsidP="00C74590">
      <w:pPr>
        <w:pStyle w:val="ItemHead"/>
      </w:pPr>
      <w:r w:rsidRPr="00C74590">
        <w:t xml:space="preserve">14  No transfer of appointment, engagement or employment of </w:t>
      </w:r>
      <w:proofErr w:type="spellStart"/>
      <w:r w:rsidRPr="00C74590">
        <w:t>ACSAA</w:t>
      </w:r>
      <w:proofErr w:type="spellEnd"/>
      <w:r w:rsidRPr="00C74590">
        <w:t xml:space="preserve"> Limited office holders or staff</w:t>
      </w:r>
    </w:p>
    <w:p w:rsidR="006F47C6" w:rsidRPr="00C74590" w:rsidRDefault="006F47C6" w:rsidP="00C74590">
      <w:pPr>
        <w:pStyle w:val="Subitem"/>
      </w:pPr>
      <w:r w:rsidRPr="00C74590">
        <w:t>(1)</w:t>
      </w:r>
      <w:r w:rsidRPr="00C74590">
        <w:tab/>
        <w:t xml:space="preserve">Nothing in this Schedule produces the result that the appointment, engagement or employment of an </w:t>
      </w:r>
      <w:proofErr w:type="spellStart"/>
      <w:r w:rsidRPr="00C74590">
        <w:t>ACSAA</w:t>
      </w:r>
      <w:proofErr w:type="spellEnd"/>
      <w:r w:rsidRPr="00C74590">
        <w:t xml:space="preserve"> Limited officer has effect as if it were an appointment, engagement or employment of the person in relation to the Commonwealth.</w:t>
      </w:r>
    </w:p>
    <w:p w:rsidR="006F47C6" w:rsidRPr="00C74590" w:rsidRDefault="006F47C6" w:rsidP="00C74590">
      <w:pPr>
        <w:pStyle w:val="notemargin"/>
      </w:pPr>
      <w:r w:rsidRPr="00C74590">
        <w:t>Note:</w:t>
      </w:r>
      <w:r w:rsidRPr="00C74590">
        <w:tab/>
        <w:t>Determinations under section</w:t>
      </w:r>
      <w:r w:rsidR="00C74590" w:rsidRPr="00C74590">
        <w:t> </w:t>
      </w:r>
      <w:r w:rsidRPr="00C74590">
        <w:t xml:space="preserve">72 of the </w:t>
      </w:r>
      <w:r w:rsidRPr="00C74590">
        <w:rPr>
          <w:i/>
        </w:rPr>
        <w:t xml:space="preserve">Public Service Act 1999 </w:t>
      </w:r>
      <w:r w:rsidRPr="00C74590">
        <w:t xml:space="preserve">may provide for employees of </w:t>
      </w:r>
      <w:proofErr w:type="spellStart"/>
      <w:r w:rsidRPr="00C74590">
        <w:t>ACSAA</w:t>
      </w:r>
      <w:proofErr w:type="spellEnd"/>
      <w:r w:rsidRPr="00C74590">
        <w:t xml:space="preserve"> Limited to become engaged as APS employees in a specified Agency.</w:t>
      </w:r>
    </w:p>
    <w:p w:rsidR="006F47C6" w:rsidRPr="00C74590" w:rsidRDefault="006F47C6" w:rsidP="00C74590">
      <w:pPr>
        <w:pStyle w:val="Subitem"/>
      </w:pPr>
      <w:r w:rsidRPr="00C74590">
        <w:t>(2)</w:t>
      </w:r>
      <w:r w:rsidRPr="00C74590">
        <w:tab/>
        <w:t xml:space="preserve">The following are </w:t>
      </w:r>
      <w:proofErr w:type="spellStart"/>
      <w:r w:rsidRPr="00C74590">
        <w:t>ACSAA</w:t>
      </w:r>
      <w:proofErr w:type="spellEnd"/>
      <w:r w:rsidRPr="00C74590">
        <w:t xml:space="preserve"> Limited</w:t>
      </w:r>
      <w:r w:rsidRPr="00C74590">
        <w:rPr>
          <w:b/>
          <w:i/>
        </w:rPr>
        <w:t xml:space="preserve"> officers</w:t>
      </w:r>
      <w:r w:rsidRPr="00C74590">
        <w:t>:</w:t>
      </w:r>
    </w:p>
    <w:p w:rsidR="006F47C6" w:rsidRPr="00C74590" w:rsidRDefault="006F47C6" w:rsidP="00C74590">
      <w:pPr>
        <w:pStyle w:val="paragraph"/>
      </w:pPr>
      <w:r w:rsidRPr="00C74590">
        <w:tab/>
        <w:t>(a)</w:t>
      </w:r>
      <w:r w:rsidRPr="00C74590">
        <w:tab/>
        <w:t xml:space="preserve">directors of </w:t>
      </w:r>
      <w:proofErr w:type="spellStart"/>
      <w:r w:rsidRPr="00C74590">
        <w:t>ACSAA</w:t>
      </w:r>
      <w:proofErr w:type="spellEnd"/>
      <w:r w:rsidRPr="00C74590">
        <w:t xml:space="preserve"> Limited;</w:t>
      </w:r>
    </w:p>
    <w:p w:rsidR="006F47C6" w:rsidRPr="00C74590" w:rsidRDefault="006F47C6" w:rsidP="00C74590">
      <w:pPr>
        <w:pStyle w:val="paragraph"/>
      </w:pPr>
      <w:r w:rsidRPr="00C74590">
        <w:tab/>
        <w:t>(b)</w:t>
      </w:r>
      <w:r w:rsidRPr="00C74590">
        <w:tab/>
        <w:t xml:space="preserve">employees of </w:t>
      </w:r>
      <w:proofErr w:type="spellStart"/>
      <w:r w:rsidRPr="00C74590">
        <w:t>ACSAA</w:t>
      </w:r>
      <w:proofErr w:type="spellEnd"/>
      <w:r w:rsidRPr="00C74590">
        <w:t xml:space="preserve"> Limited.</w:t>
      </w:r>
    </w:p>
    <w:p w:rsidR="006F47C6" w:rsidRPr="00C74590" w:rsidRDefault="006F47C6" w:rsidP="00C74590">
      <w:pPr>
        <w:pStyle w:val="Subitem"/>
      </w:pPr>
      <w:r w:rsidRPr="00C74590">
        <w:t>(3)</w:t>
      </w:r>
      <w:r w:rsidRPr="00C74590">
        <w:tab/>
        <w:t xml:space="preserve">To avoid doubt, if a person ceases to be an employee of </w:t>
      </w:r>
      <w:proofErr w:type="spellStart"/>
      <w:r w:rsidRPr="00C74590">
        <w:t>ACSAA</w:t>
      </w:r>
      <w:proofErr w:type="spellEnd"/>
      <w:r w:rsidRPr="00C74590">
        <w:t xml:space="preserve"> Limited (and becomes an APS employee) because of a determination under section</w:t>
      </w:r>
      <w:r w:rsidR="00C74590" w:rsidRPr="00C74590">
        <w:t> </w:t>
      </w:r>
      <w:r w:rsidRPr="00C74590">
        <w:t xml:space="preserve">72 of the </w:t>
      </w:r>
      <w:r w:rsidRPr="00C74590">
        <w:rPr>
          <w:i/>
        </w:rPr>
        <w:t>Public Service Act 1999</w:t>
      </w:r>
      <w:r w:rsidRPr="00C74590">
        <w:t xml:space="preserve">, the person is not entitled to receive any payment or other benefit merely because he or she ceased to be an employee of </w:t>
      </w:r>
      <w:proofErr w:type="spellStart"/>
      <w:r w:rsidRPr="00C74590">
        <w:t>ACSAA</w:t>
      </w:r>
      <w:proofErr w:type="spellEnd"/>
      <w:r w:rsidRPr="00C74590">
        <w:t xml:space="preserve"> Limited.</w:t>
      </w:r>
    </w:p>
    <w:p w:rsidR="006F47C6" w:rsidRPr="00C74590" w:rsidRDefault="006F47C6" w:rsidP="00C74590">
      <w:pPr>
        <w:pStyle w:val="ItemHead"/>
      </w:pPr>
      <w:r w:rsidRPr="00C74590">
        <w:lastRenderedPageBreak/>
        <w:t xml:space="preserve">15  Accrued entitlements etc. of </w:t>
      </w:r>
      <w:proofErr w:type="spellStart"/>
      <w:r w:rsidRPr="00C74590">
        <w:t>ACSAA</w:t>
      </w:r>
      <w:proofErr w:type="spellEnd"/>
      <w:r w:rsidRPr="00C74590">
        <w:t xml:space="preserve"> Limited employees who become APS employees</w:t>
      </w:r>
    </w:p>
    <w:p w:rsidR="006F47C6" w:rsidRPr="00C74590" w:rsidRDefault="006F47C6" w:rsidP="00C74590">
      <w:pPr>
        <w:pStyle w:val="SubitemHead"/>
      </w:pPr>
      <w:r w:rsidRPr="00C74590">
        <w:t>Persons to whom this item applies</w:t>
      </w:r>
    </w:p>
    <w:p w:rsidR="006F47C6" w:rsidRPr="00C74590" w:rsidRDefault="006F47C6" w:rsidP="00C74590">
      <w:pPr>
        <w:pStyle w:val="Subitem"/>
      </w:pPr>
      <w:r w:rsidRPr="00C74590">
        <w:t>(1)</w:t>
      </w:r>
      <w:r w:rsidRPr="00C74590">
        <w:tab/>
        <w:t>This item applies to a person if:</w:t>
      </w:r>
    </w:p>
    <w:p w:rsidR="006F47C6" w:rsidRPr="00C74590" w:rsidRDefault="006F47C6" w:rsidP="00C74590">
      <w:pPr>
        <w:pStyle w:val="paragraph"/>
      </w:pPr>
      <w:r w:rsidRPr="00C74590">
        <w:tab/>
        <w:t>(a)</w:t>
      </w:r>
      <w:r w:rsidRPr="00C74590">
        <w:tab/>
        <w:t xml:space="preserve">immediately before the commencement day, the person was an employee of </w:t>
      </w:r>
      <w:proofErr w:type="spellStart"/>
      <w:r w:rsidRPr="00C74590">
        <w:t>ACSAA</w:t>
      </w:r>
      <w:proofErr w:type="spellEnd"/>
      <w:r w:rsidRPr="00C74590">
        <w:t xml:space="preserve"> Limited; and</w:t>
      </w:r>
    </w:p>
    <w:p w:rsidR="006F47C6" w:rsidRPr="00C74590" w:rsidRDefault="006F47C6" w:rsidP="00C74590">
      <w:pPr>
        <w:pStyle w:val="paragraph"/>
      </w:pPr>
      <w:r w:rsidRPr="00C74590">
        <w:tab/>
        <w:t>(b)</w:t>
      </w:r>
      <w:r w:rsidRPr="00C74590">
        <w:tab/>
        <w:t>because of a determination under section</w:t>
      </w:r>
      <w:r w:rsidR="00C74590" w:rsidRPr="00C74590">
        <w:t> </w:t>
      </w:r>
      <w:r w:rsidRPr="00C74590">
        <w:t xml:space="preserve">72 of the </w:t>
      </w:r>
      <w:r w:rsidRPr="00C74590">
        <w:rPr>
          <w:i/>
        </w:rPr>
        <w:t>Public Service Act 1999</w:t>
      </w:r>
      <w:r w:rsidRPr="00C74590">
        <w:t>, the person becomes an APS employee on the commencement day.</w:t>
      </w:r>
    </w:p>
    <w:p w:rsidR="006F47C6" w:rsidRPr="00C74590" w:rsidRDefault="006F47C6" w:rsidP="00C74590">
      <w:pPr>
        <w:pStyle w:val="SubitemHead"/>
      </w:pPr>
      <w:r w:rsidRPr="00C74590">
        <w:t>Preservation of accrued entitlements</w:t>
      </w:r>
    </w:p>
    <w:p w:rsidR="006F47C6" w:rsidRPr="00C74590" w:rsidRDefault="006F47C6" w:rsidP="00C74590">
      <w:pPr>
        <w:pStyle w:val="Subitem"/>
      </w:pPr>
      <w:r w:rsidRPr="00C74590">
        <w:t>(2)</w:t>
      </w:r>
      <w:r w:rsidRPr="00C74590">
        <w:tab/>
        <w:t xml:space="preserve">The person is taken to have accrued an entitlement to benefits, in connection with becoming an APS employee, that is equivalent to the entitlement that the person had as an employee of </w:t>
      </w:r>
      <w:proofErr w:type="spellStart"/>
      <w:r w:rsidRPr="00C74590">
        <w:t>ACSAA</w:t>
      </w:r>
      <w:proofErr w:type="spellEnd"/>
      <w:r w:rsidRPr="00C74590">
        <w:t xml:space="preserve"> Limited immediately before the commencement day.</w:t>
      </w:r>
    </w:p>
    <w:p w:rsidR="006F47C6" w:rsidRPr="00C74590" w:rsidRDefault="006F47C6" w:rsidP="00C74590">
      <w:pPr>
        <w:pStyle w:val="SubitemHead"/>
      </w:pPr>
      <w:r w:rsidRPr="00C74590">
        <w:t>Continuity of service</w:t>
      </w:r>
    </w:p>
    <w:p w:rsidR="006F47C6" w:rsidRPr="00C74590" w:rsidRDefault="006F47C6" w:rsidP="00C74590">
      <w:pPr>
        <w:pStyle w:val="Subitem"/>
      </w:pPr>
      <w:r w:rsidRPr="00C74590">
        <w:t>(3)</w:t>
      </w:r>
      <w:r w:rsidRPr="00C74590">
        <w:tab/>
        <w:t xml:space="preserve">The service of the person as an APS employee is taken, for all purposes, to be continuous with his or her service as an employee of </w:t>
      </w:r>
      <w:proofErr w:type="spellStart"/>
      <w:r w:rsidRPr="00C74590">
        <w:t>ACSAA</w:t>
      </w:r>
      <w:proofErr w:type="spellEnd"/>
      <w:r w:rsidRPr="00C74590">
        <w:t xml:space="preserve"> Limited.</w:t>
      </w:r>
    </w:p>
    <w:p w:rsidR="006F47C6" w:rsidRPr="00C74590" w:rsidRDefault="006F47C6" w:rsidP="00C74590">
      <w:pPr>
        <w:pStyle w:val="SubitemHead"/>
      </w:pPr>
      <w:r w:rsidRPr="00C74590">
        <w:t>Long service leave</w:t>
      </w:r>
    </w:p>
    <w:p w:rsidR="006F47C6" w:rsidRPr="00C74590" w:rsidRDefault="006F47C6" w:rsidP="00C74590">
      <w:pPr>
        <w:pStyle w:val="Subitem"/>
      </w:pPr>
      <w:r w:rsidRPr="00C74590">
        <w:t>(4)</w:t>
      </w:r>
      <w:r w:rsidRPr="00C74590">
        <w:tab/>
        <w:t xml:space="preserve">For the purposes of the </w:t>
      </w:r>
      <w:r w:rsidRPr="00C74590">
        <w:rPr>
          <w:i/>
        </w:rPr>
        <w:t>Long Service Leave (Commonwealth Employees) Act 1976</w:t>
      </w:r>
      <w:r w:rsidRPr="00C74590">
        <w:t xml:space="preserve">, the person’s service before the commencement day as an employee of </w:t>
      </w:r>
      <w:proofErr w:type="spellStart"/>
      <w:r w:rsidRPr="00C74590">
        <w:t>ACSAA</w:t>
      </w:r>
      <w:proofErr w:type="spellEnd"/>
      <w:r w:rsidRPr="00C74590">
        <w:t xml:space="preserve"> Limited is to be treated, at and after that time, as if it had been service by the person as an APS employee.</w:t>
      </w:r>
    </w:p>
    <w:p w:rsidR="006F47C6" w:rsidRPr="00C74590" w:rsidRDefault="006F47C6" w:rsidP="00C74590">
      <w:pPr>
        <w:pStyle w:val="SubitemHead"/>
      </w:pPr>
      <w:r w:rsidRPr="00C74590">
        <w:t>Maternity leave</w:t>
      </w:r>
    </w:p>
    <w:p w:rsidR="006F47C6" w:rsidRPr="00C74590" w:rsidRDefault="006F47C6" w:rsidP="00C74590">
      <w:pPr>
        <w:pStyle w:val="Subitem"/>
      </w:pPr>
      <w:r w:rsidRPr="00C74590">
        <w:t>(5)</w:t>
      </w:r>
      <w:r w:rsidRPr="00C74590">
        <w:tab/>
        <w:t xml:space="preserve">For the purposes of the </w:t>
      </w:r>
      <w:r w:rsidRPr="00C74590">
        <w:rPr>
          <w:i/>
        </w:rPr>
        <w:t>Maternity Leave (Commonwealth Employees) Act 1973</w:t>
      </w:r>
      <w:r w:rsidRPr="00C74590">
        <w:t xml:space="preserve">, the person’s service before the commencement day as an employee of </w:t>
      </w:r>
      <w:proofErr w:type="spellStart"/>
      <w:r w:rsidRPr="00C74590">
        <w:t>ACSAA</w:t>
      </w:r>
      <w:proofErr w:type="spellEnd"/>
      <w:r w:rsidRPr="00C74590">
        <w:t xml:space="preserve"> Limited is to be treated, at and after that time,</w:t>
      </w:r>
      <w:r w:rsidRPr="00C74590">
        <w:rPr>
          <w:i/>
        </w:rPr>
        <w:t xml:space="preserve"> </w:t>
      </w:r>
      <w:r w:rsidRPr="00C74590">
        <w:t>as if it had been service by the person as an APS employee.</w:t>
      </w:r>
    </w:p>
    <w:p w:rsidR="00F10780" w:rsidRPr="00C74590" w:rsidRDefault="00F10780" w:rsidP="00C74590">
      <w:pPr>
        <w:pStyle w:val="ActHead7"/>
        <w:pageBreakBefore/>
      </w:pPr>
      <w:bookmarkStart w:id="16" w:name="_Toc361130705"/>
      <w:r w:rsidRPr="00C74590">
        <w:rPr>
          <w:rStyle w:val="CharAmPartNo"/>
        </w:rPr>
        <w:lastRenderedPageBreak/>
        <w:t>Part</w:t>
      </w:r>
      <w:r w:rsidR="00C74590" w:rsidRPr="00C74590">
        <w:rPr>
          <w:rStyle w:val="CharAmPartNo"/>
        </w:rPr>
        <w:t> </w:t>
      </w:r>
      <w:r w:rsidRPr="00C74590">
        <w:rPr>
          <w:rStyle w:val="CharAmPartNo"/>
        </w:rPr>
        <w:t>5</w:t>
      </w:r>
      <w:r w:rsidRPr="00C74590">
        <w:t>—</w:t>
      </w:r>
      <w:r w:rsidRPr="00C74590">
        <w:rPr>
          <w:rStyle w:val="CharAmPartText"/>
        </w:rPr>
        <w:t>Other transitional matters</w:t>
      </w:r>
      <w:bookmarkEnd w:id="16"/>
    </w:p>
    <w:p w:rsidR="00F10780" w:rsidRPr="00C74590" w:rsidRDefault="00F10780" w:rsidP="00C74590">
      <w:pPr>
        <w:pStyle w:val="ItemHead"/>
      </w:pPr>
      <w:r w:rsidRPr="00C74590">
        <w:t>1</w:t>
      </w:r>
      <w:r w:rsidR="006F47C6" w:rsidRPr="00C74590">
        <w:t>6</w:t>
      </w:r>
      <w:r w:rsidRPr="00C74590">
        <w:t xml:space="preserve">  Compensation for acquisition of property</w:t>
      </w:r>
    </w:p>
    <w:p w:rsidR="00F10780" w:rsidRPr="00C74590" w:rsidRDefault="00F10780" w:rsidP="00C74590">
      <w:pPr>
        <w:pStyle w:val="Subitem"/>
      </w:pPr>
      <w:r w:rsidRPr="00C74590">
        <w:t>(1)</w:t>
      </w:r>
      <w:r w:rsidRPr="00C74590">
        <w:tab/>
        <w:t>If the operation of this Schedule would result in an acquisition of property from a person otherwise than on just terms, the Commonwealth is liable to pay a reasonable amount of compensation to the person.</w:t>
      </w:r>
    </w:p>
    <w:p w:rsidR="00F10780" w:rsidRPr="00C74590" w:rsidRDefault="00F10780" w:rsidP="00C74590">
      <w:pPr>
        <w:pStyle w:val="Subitem"/>
      </w:pPr>
      <w:r w:rsidRPr="00C74590">
        <w:t>(2)</w:t>
      </w:r>
      <w:r w:rsidRPr="00C74590">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F10780" w:rsidRPr="00C74590" w:rsidRDefault="00F10780" w:rsidP="00C74590">
      <w:pPr>
        <w:pStyle w:val="Subitem"/>
      </w:pPr>
      <w:r w:rsidRPr="00C74590">
        <w:t>(3)</w:t>
      </w:r>
      <w:r w:rsidRPr="00C74590">
        <w:tab/>
        <w:t>In this item:</w:t>
      </w:r>
    </w:p>
    <w:p w:rsidR="00F10780" w:rsidRPr="00C74590" w:rsidRDefault="00F10780" w:rsidP="00C74590">
      <w:pPr>
        <w:pStyle w:val="Item"/>
      </w:pPr>
      <w:r w:rsidRPr="00C74590">
        <w:rPr>
          <w:b/>
          <w:i/>
        </w:rPr>
        <w:t>acquisition of property</w:t>
      </w:r>
      <w:r w:rsidRPr="00C74590">
        <w:t xml:space="preserve"> has the same meaning as in paragraph</w:t>
      </w:r>
      <w:r w:rsidR="00C74590" w:rsidRPr="00C74590">
        <w:t> </w:t>
      </w:r>
      <w:r w:rsidRPr="00C74590">
        <w:t>51(xxxi) of the Constitution.</w:t>
      </w:r>
    </w:p>
    <w:p w:rsidR="00F10780" w:rsidRPr="00C74590" w:rsidRDefault="00F10780" w:rsidP="00C74590">
      <w:pPr>
        <w:pStyle w:val="Item"/>
      </w:pPr>
      <w:r w:rsidRPr="00C74590">
        <w:rPr>
          <w:b/>
          <w:i/>
        </w:rPr>
        <w:t>just terms</w:t>
      </w:r>
      <w:r w:rsidRPr="00C74590">
        <w:t xml:space="preserve"> has the same meaning as in paragraph</w:t>
      </w:r>
      <w:r w:rsidR="00C74590" w:rsidRPr="00C74590">
        <w:t> </w:t>
      </w:r>
      <w:r w:rsidRPr="00C74590">
        <w:t>51(xxxi) of the Constitution.</w:t>
      </w:r>
    </w:p>
    <w:p w:rsidR="00F10780" w:rsidRPr="00C74590" w:rsidRDefault="00F10780" w:rsidP="00C74590">
      <w:pPr>
        <w:pStyle w:val="ItemHead"/>
      </w:pPr>
      <w:r w:rsidRPr="00C74590">
        <w:t>1</w:t>
      </w:r>
      <w:r w:rsidR="006F47C6" w:rsidRPr="00C74590">
        <w:t>7</w:t>
      </w:r>
      <w:r w:rsidRPr="00C74590">
        <w:t xml:space="preserve">  Delegation by Minister</w:t>
      </w:r>
    </w:p>
    <w:p w:rsidR="00F10780" w:rsidRPr="00C74590" w:rsidRDefault="00F10780" w:rsidP="00C74590">
      <w:pPr>
        <w:pStyle w:val="Subitem"/>
      </w:pPr>
      <w:r w:rsidRPr="00C74590">
        <w:t>(1)</w:t>
      </w:r>
      <w:r w:rsidRPr="00C74590">
        <w:tab/>
        <w:t xml:space="preserve">Subject to </w:t>
      </w:r>
      <w:proofErr w:type="spellStart"/>
      <w:r w:rsidR="00C74590" w:rsidRPr="00C74590">
        <w:t>subitem</w:t>
      </w:r>
      <w:proofErr w:type="spellEnd"/>
      <w:r w:rsidR="00C74590" w:rsidRPr="00C74590">
        <w:t> (</w:t>
      </w:r>
      <w:r w:rsidRPr="00C74590">
        <w:t>2), the Minister may, in writing, delegate all or any of his or her powers and functions under this Schedule to:</w:t>
      </w:r>
    </w:p>
    <w:p w:rsidR="00F10780" w:rsidRPr="00C74590" w:rsidRDefault="00F10780" w:rsidP="00C74590">
      <w:pPr>
        <w:pStyle w:val="paragraph"/>
      </w:pPr>
      <w:r w:rsidRPr="00C74590">
        <w:tab/>
        <w:t>(a)</w:t>
      </w:r>
      <w:r w:rsidRPr="00C74590">
        <w:tab/>
        <w:t>the Secretary of the Department; or</w:t>
      </w:r>
    </w:p>
    <w:p w:rsidR="00F10780" w:rsidRPr="00C74590" w:rsidRDefault="00F10780" w:rsidP="00C74590">
      <w:pPr>
        <w:pStyle w:val="paragraph"/>
      </w:pPr>
      <w:r w:rsidRPr="00C74590">
        <w:tab/>
        <w:t>(b)</w:t>
      </w:r>
      <w:r w:rsidRPr="00C74590">
        <w:tab/>
        <w:t>an SES employee, or acting SES employee, in the Department.</w:t>
      </w:r>
    </w:p>
    <w:p w:rsidR="00F10780" w:rsidRPr="00C74590" w:rsidRDefault="00F10780" w:rsidP="00C74590">
      <w:pPr>
        <w:pStyle w:val="Subitem"/>
      </w:pPr>
      <w:r w:rsidRPr="00C74590">
        <w:t>(2)</w:t>
      </w:r>
      <w:r w:rsidRPr="00C74590">
        <w:tab/>
        <w:t xml:space="preserve">The Minister cannot delegate his or her powers and functions under </w:t>
      </w:r>
      <w:proofErr w:type="spellStart"/>
      <w:r w:rsidRPr="00C74590">
        <w:t>subitem</w:t>
      </w:r>
      <w:proofErr w:type="spellEnd"/>
      <w:r w:rsidR="00C74590" w:rsidRPr="00C74590">
        <w:t> </w:t>
      </w:r>
      <w:r w:rsidRPr="00C74590">
        <w:t>13(1).</w:t>
      </w:r>
    </w:p>
    <w:p w:rsidR="00F10780" w:rsidRPr="00C74590" w:rsidRDefault="00F10780" w:rsidP="00C74590">
      <w:pPr>
        <w:pStyle w:val="Subitem"/>
      </w:pPr>
      <w:r w:rsidRPr="00C74590">
        <w:t>(3)</w:t>
      </w:r>
      <w:r w:rsidRPr="00C74590">
        <w:tab/>
        <w:t>In exercising powers or functions under a delegation, the delegate must comply with any directions of the Minister.</w:t>
      </w:r>
    </w:p>
    <w:p w:rsidR="00F10780" w:rsidRPr="00C74590" w:rsidRDefault="00F10780" w:rsidP="00C74590">
      <w:pPr>
        <w:pStyle w:val="ItemHead"/>
      </w:pPr>
      <w:r w:rsidRPr="00C74590">
        <w:t>1</w:t>
      </w:r>
      <w:r w:rsidR="006F47C6" w:rsidRPr="00C74590">
        <w:t>8</w:t>
      </w:r>
      <w:r w:rsidRPr="00C74590">
        <w:t xml:space="preserve">  Regulations</w:t>
      </w:r>
    </w:p>
    <w:p w:rsidR="00F10780" w:rsidRPr="00C74590" w:rsidRDefault="00F10780" w:rsidP="00C74590">
      <w:pPr>
        <w:pStyle w:val="Subitem"/>
      </w:pPr>
      <w:r w:rsidRPr="00C74590">
        <w:t>(1)</w:t>
      </w:r>
      <w:r w:rsidRPr="00C74590">
        <w:tab/>
        <w:t>The Governor</w:t>
      </w:r>
      <w:r w:rsidR="00CB2894">
        <w:noBreakHyphen/>
      </w:r>
      <w:r w:rsidRPr="00C74590">
        <w:t>General may make regulations prescribing matters:</w:t>
      </w:r>
    </w:p>
    <w:p w:rsidR="00F10780" w:rsidRPr="00C74590" w:rsidRDefault="00F10780" w:rsidP="00C74590">
      <w:pPr>
        <w:pStyle w:val="paragraph"/>
      </w:pPr>
      <w:r w:rsidRPr="00C74590">
        <w:tab/>
        <w:t>(a)</w:t>
      </w:r>
      <w:r w:rsidRPr="00C74590">
        <w:tab/>
        <w:t>required or permitted by this Schedule to be prescribed; or</w:t>
      </w:r>
    </w:p>
    <w:p w:rsidR="00F10780" w:rsidRPr="00C74590" w:rsidRDefault="00F10780" w:rsidP="00C74590">
      <w:pPr>
        <w:pStyle w:val="paragraph"/>
      </w:pPr>
      <w:r w:rsidRPr="00C74590">
        <w:tab/>
        <w:t>(b)</w:t>
      </w:r>
      <w:r w:rsidRPr="00C74590">
        <w:tab/>
        <w:t>necessary or convenient to be prescribed for carrying out or giving effect to this Schedule.</w:t>
      </w:r>
    </w:p>
    <w:p w:rsidR="00F10780" w:rsidRPr="00C74590" w:rsidRDefault="00F10780" w:rsidP="00C74590">
      <w:pPr>
        <w:pStyle w:val="Subitem"/>
      </w:pPr>
      <w:r w:rsidRPr="00C74590">
        <w:lastRenderedPageBreak/>
        <w:t>(2)</w:t>
      </w:r>
      <w:r w:rsidRPr="00C74590">
        <w:tab/>
        <w:t xml:space="preserve">The regulations may prescribe matters of a transitional nature (including prescribing any saving or application provisions) relating to the enactment of this Act or the </w:t>
      </w:r>
      <w:r w:rsidRPr="00C74590">
        <w:rPr>
          <w:i/>
        </w:rPr>
        <w:t>Australian Aged Care Quality Agency Act 2013</w:t>
      </w:r>
      <w:r w:rsidRPr="00C74590">
        <w:t>.</w:t>
      </w:r>
    </w:p>
    <w:p w:rsidR="00F10780" w:rsidRPr="00C74590" w:rsidRDefault="00F10780" w:rsidP="00C74590">
      <w:pPr>
        <w:pStyle w:val="Subitem"/>
      </w:pPr>
      <w:r w:rsidRPr="00C74590">
        <w:t>(3)</w:t>
      </w:r>
      <w:r w:rsidRPr="00C74590">
        <w:tab/>
        <w:t>The regulations may provide that provisions of this Schedule are taken to be modified as set out in the regulations. Those provisions then have effect as if they were so modified.</w:t>
      </w:r>
    </w:p>
    <w:p w:rsidR="00CB2894" w:rsidRDefault="00F10780" w:rsidP="00C74590">
      <w:pPr>
        <w:pStyle w:val="Subitem"/>
      </w:pPr>
      <w:r w:rsidRPr="00C74590">
        <w:t>(4)</w:t>
      </w:r>
      <w:r w:rsidRPr="00C74590">
        <w:tab/>
      </w:r>
      <w:proofErr w:type="spellStart"/>
      <w:r w:rsidR="00C74590" w:rsidRPr="00C74590">
        <w:t>Subitems</w:t>
      </w:r>
      <w:proofErr w:type="spellEnd"/>
      <w:r w:rsidR="00C74590" w:rsidRPr="00C74590">
        <w:t> (</w:t>
      </w:r>
      <w:r w:rsidRPr="00C74590">
        <w:t xml:space="preserve">2) and (3) do not limit </w:t>
      </w:r>
      <w:proofErr w:type="spellStart"/>
      <w:r w:rsidR="00C74590" w:rsidRPr="00C74590">
        <w:t>subitem</w:t>
      </w:r>
      <w:proofErr w:type="spellEnd"/>
      <w:r w:rsidR="00C74590" w:rsidRPr="00C74590">
        <w:t> (</w:t>
      </w:r>
      <w:r w:rsidRPr="00C74590">
        <w:t>1).</w:t>
      </w:r>
    </w:p>
    <w:p w:rsidR="00BE2E59" w:rsidRDefault="00BE2E59" w:rsidP="007429EE"/>
    <w:p w:rsidR="00BE2E59" w:rsidRDefault="00BE2E59">
      <w:pPr>
        <w:pStyle w:val="AssentBk"/>
        <w:keepNext/>
      </w:pPr>
    </w:p>
    <w:p w:rsidR="007429EE" w:rsidRDefault="007429EE">
      <w:pPr>
        <w:pStyle w:val="2ndRd"/>
        <w:keepNext/>
        <w:pBdr>
          <w:top w:val="single" w:sz="2" w:space="1" w:color="auto"/>
        </w:pBdr>
      </w:pPr>
    </w:p>
    <w:p w:rsidR="007429EE" w:rsidRDefault="007429EE">
      <w:pPr>
        <w:pStyle w:val="2ndRd"/>
        <w:keepNext/>
        <w:spacing w:line="260" w:lineRule="atLeast"/>
        <w:rPr>
          <w:i/>
        </w:rPr>
      </w:pPr>
      <w:r>
        <w:t>[</w:t>
      </w:r>
      <w:r>
        <w:rPr>
          <w:i/>
        </w:rPr>
        <w:t>Minister’s second reading speech made in—</w:t>
      </w:r>
    </w:p>
    <w:p w:rsidR="007429EE" w:rsidRDefault="007429EE">
      <w:pPr>
        <w:pStyle w:val="2ndRd"/>
        <w:keepNext/>
        <w:spacing w:line="260" w:lineRule="atLeast"/>
        <w:rPr>
          <w:i/>
        </w:rPr>
      </w:pPr>
      <w:r>
        <w:rPr>
          <w:i/>
        </w:rPr>
        <w:t>House of Representatives on 13 March 2013</w:t>
      </w:r>
    </w:p>
    <w:p w:rsidR="007429EE" w:rsidRDefault="007429EE">
      <w:pPr>
        <w:pStyle w:val="2ndRd"/>
        <w:keepNext/>
        <w:spacing w:line="260" w:lineRule="atLeast"/>
        <w:rPr>
          <w:i/>
        </w:rPr>
      </w:pPr>
      <w:r>
        <w:rPr>
          <w:i/>
        </w:rPr>
        <w:t>Senate on 17 June 2013</w:t>
      </w:r>
      <w:r>
        <w:t>]</w:t>
      </w:r>
    </w:p>
    <w:p w:rsidR="007429EE" w:rsidRDefault="007429EE"/>
    <w:p w:rsidR="00BE2E59" w:rsidRPr="007429EE" w:rsidRDefault="007429EE" w:rsidP="007429EE">
      <w:pPr>
        <w:framePr w:hSpace="180" w:wrap="around" w:vAnchor="text" w:hAnchor="page" w:x="2410" w:y="6312"/>
      </w:pPr>
      <w:r>
        <w:t>(39/13)</w:t>
      </w:r>
    </w:p>
    <w:p w:rsidR="007429EE" w:rsidRDefault="007429EE"/>
    <w:sectPr w:rsidR="007429EE" w:rsidSect="00BE2E59">
      <w:headerReference w:type="even" r:id="rId22"/>
      <w:headerReference w:type="default" r:id="rId23"/>
      <w:footerReference w:type="even" r:id="rId24"/>
      <w:footerReference w:type="default" r:id="rId25"/>
      <w:headerReference w:type="first" r:id="rId26"/>
      <w:footerReference w:type="first" r:id="rId27"/>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236" w:rsidRDefault="00587236" w:rsidP="0048364F">
      <w:pPr>
        <w:spacing w:line="240" w:lineRule="auto"/>
      </w:pPr>
      <w:r>
        <w:separator/>
      </w:r>
    </w:p>
  </w:endnote>
  <w:endnote w:type="continuationSeparator" w:id="0">
    <w:p w:rsidR="00587236" w:rsidRDefault="005872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590" w:rsidRDefault="00C74590" w:rsidP="00C74590">
    <w:pPr>
      <w:pStyle w:val="Footer"/>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29EE" w:rsidRDefault="007429EE">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7429EE" w:rsidRDefault="007429EE"/>
  <w:p w:rsidR="00C74590" w:rsidRDefault="00C74590" w:rsidP="00C74590">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C74590">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C74590">
    <w:pPr>
      <w:pBdr>
        <w:top w:val="single" w:sz="6" w:space="1" w:color="auto"/>
      </w:pBdr>
      <w:spacing w:before="120"/>
      <w:rPr>
        <w:sz w:val="18"/>
      </w:rPr>
    </w:pPr>
  </w:p>
  <w:p w:rsidR="00587236" w:rsidRPr="00ED79B6" w:rsidRDefault="00587236" w:rsidP="0048364F">
    <w:pPr>
      <w:jc w:val="right"/>
      <w:rPr>
        <w:i/>
        <w:sz w:val="18"/>
      </w:rPr>
    </w:pPr>
    <w:r w:rsidRPr="00ED79B6">
      <w:rPr>
        <w:i/>
        <w:sz w:val="18"/>
      </w:rPr>
      <w:fldChar w:fldCharType="begin"/>
    </w:r>
    <w:r w:rsidR="00CB2894">
      <w:rPr>
        <w:i/>
        <w:sz w:val="18"/>
      </w:rPr>
      <w:instrText xml:space="preserve"> DOCPROPERTY ShortT </w:instrText>
    </w:r>
    <w:r w:rsidRPr="00ED79B6">
      <w:rPr>
        <w:i/>
        <w:sz w:val="18"/>
      </w:rPr>
      <w:fldChar w:fldCharType="separate"/>
    </w:r>
    <w:r w:rsidR="00FF206D">
      <w:rPr>
        <w:i/>
        <w:sz w:val="18"/>
      </w:rPr>
      <w:t>Australian Aged Care Quality Agency (Transitional Provisions) Act 2013</w:t>
    </w:r>
    <w:r w:rsidRPr="00ED79B6">
      <w:rPr>
        <w:i/>
        <w:sz w:val="18"/>
      </w:rPr>
      <w:fldChar w:fldCharType="end"/>
    </w:r>
    <w:r w:rsidRPr="00ED79B6">
      <w:rPr>
        <w:i/>
        <w:sz w:val="18"/>
      </w:rPr>
      <w:t xml:space="preserve">       </w:t>
    </w:r>
    <w:r w:rsidRPr="00ED79B6">
      <w:rPr>
        <w:i/>
        <w:sz w:val="18"/>
      </w:rPr>
      <w:fldChar w:fldCharType="begin"/>
    </w:r>
    <w:r w:rsidR="00CB2894">
      <w:rPr>
        <w:i/>
        <w:sz w:val="18"/>
      </w:rPr>
      <w:instrText xml:space="preserve"> DOCPROPERTY ActNo </w:instrText>
    </w:r>
    <w:r w:rsidRPr="00ED79B6">
      <w:rPr>
        <w:i/>
        <w:sz w:val="18"/>
      </w:rPr>
      <w:fldChar w:fldCharType="separate"/>
    </w:r>
    <w:r w:rsidR="00FF206D">
      <w:rPr>
        <w:i/>
        <w:sz w:val="18"/>
      </w:rPr>
      <w:t>No. 78, 2013</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PAGE </w:instrText>
    </w:r>
    <w:r w:rsidRPr="00ED79B6">
      <w:rPr>
        <w:i/>
        <w:sz w:val="18"/>
      </w:rPr>
      <w:fldChar w:fldCharType="separate"/>
    </w:r>
    <w:r w:rsidR="00FF206D">
      <w:rPr>
        <w:i/>
        <w:noProof/>
        <w:sz w:val="18"/>
      </w:rPr>
      <w:t>xiii</w:t>
    </w:r>
    <w:r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C74590">
    <w:pPr>
      <w:pBdr>
        <w:top w:val="single" w:sz="6" w:space="1" w:color="auto"/>
      </w:pBdr>
      <w:spacing w:before="120"/>
      <w:rPr>
        <w:sz w:val="18"/>
      </w:rPr>
    </w:pPr>
  </w:p>
  <w:p w:rsidR="00587236" w:rsidRPr="00ED79B6" w:rsidRDefault="00587236" w:rsidP="0048364F">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FF206D">
      <w:rPr>
        <w:i/>
        <w:noProof/>
        <w:sz w:val="18"/>
      </w:rPr>
      <w:t>i</w:t>
    </w:r>
    <w:r w:rsidRPr="00ED79B6">
      <w:rPr>
        <w:i/>
        <w:sz w:val="18"/>
      </w:rPr>
      <w:fldChar w:fldCharType="end"/>
    </w:r>
    <w:r w:rsidRPr="00ED79B6">
      <w:rPr>
        <w:i/>
        <w:sz w:val="18"/>
      </w:rPr>
      <w:t xml:space="preserve">       </w:t>
    </w:r>
    <w:r w:rsidRPr="00ED79B6">
      <w:rPr>
        <w:i/>
        <w:sz w:val="18"/>
      </w:rPr>
      <w:fldChar w:fldCharType="begin"/>
    </w:r>
    <w:r w:rsidR="00CB2894">
      <w:rPr>
        <w:i/>
        <w:sz w:val="18"/>
      </w:rPr>
      <w:instrText xml:space="preserve"> DOCPROPERTY ShortT </w:instrText>
    </w:r>
    <w:r w:rsidRPr="00ED79B6">
      <w:rPr>
        <w:i/>
        <w:sz w:val="18"/>
      </w:rPr>
      <w:fldChar w:fldCharType="separate"/>
    </w:r>
    <w:r w:rsidR="00FF206D">
      <w:rPr>
        <w:i/>
        <w:sz w:val="18"/>
      </w:rPr>
      <w:t>Australian Aged Care Quality Agency (Transitional Provisions) Act 2013</w:t>
    </w:r>
    <w:r w:rsidRPr="00ED79B6">
      <w:rPr>
        <w:i/>
        <w:sz w:val="18"/>
      </w:rPr>
      <w:fldChar w:fldCharType="end"/>
    </w:r>
    <w:r w:rsidRPr="00ED79B6">
      <w:rPr>
        <w:i/>
        <w:sz w:val="18"/>
      </w:rPr>
      <w:t xml:space="preserve">       </w:t>
    </w:r>
    <w:r w:rsidRPr="00ED79B6">
      <w:rPr>
        <w:i/>
        <w:sz w:val="18"/>
      </w:rPr>
      <w:fldChar w:fldCharType="begin"/>
    </w:r>
    <w:r w:rsidR="00CB2894">
      <w:rPr>
        <w:i/>
        <w:sz w:val="18"/>
      </w:rPr>
      <w:instrText xml:space="preserve"> DOCPROPERTY ActNo </w:instrText>
    </w:r>
    <w:r w:rsidRPr="00ED79B6">
      <w:rPr>
        <w:i/>
        <w:sz w:val="18"/>
      </w:rPr>
      <w:fldChar w:fldCharType="separate"/>
    </w:r>
    <w:r w:rsidR="00FF206D">
      <w:rPr>
        <w:i/>
        <w:sz w:val="18"/>
      </w:rPr>
      <w:t>No. 78, 2013</w:t>
    </w:r>
    <w:r w:rsidRPr="00ED79B6">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C74590">
    <w:pPr>
      <w:pBdr>
        <w:top w:val="single" w:sz="6" w:space="1" w:color="auto"/>
      </w:pBdr>
      <w:spacing w:before="120"/>
      <w:jc w:val="right"/>
      <w:rPr>
        <w:sz w:val="18"/>
      </w:rPr>
    </w:pPr>
  </w:p>
  <w:p w:rsidR="00587236" w:rsidRPr="00A961C4" w:rsidRDefault="00587236" w:rsidP="0048364F">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FF206D">
      <w:rPr>
        <w:i/>
        <w:noProof/>
        <w:sz w:val="18"/>
      </w:rPr>
      <w:t>14</w:t>
    </w:r>
    <w:r w:rsidRPr="00A961C4">
      <w:rPr>
        <w:i/>
        <w:sz w:val="18"/>
      </w:rPr>
      <w:fldChar w:fldCharType="end"/>
    </w:r>
    <w:r w:rsidRPr="00A961C4">
      <w:rPr>
        <w:i/>
        <w:sz w:val="18"/>
      </w:rPr>
      <w:t xml:space="preserve">            </w:t>
    </w:r>
    <w:r w:rsidRPr="00A961C4">
      <w:rPr>
        <w:i/>
        <w:sz w:val="18"/>
      </w:rPr>
      <w:fldChar w:fldCharType="begin"/>
    </w:r>
    <w:r w:rsidR="00CB2894">
      <w:rPr>
        <w:i/>
        <w:sz w:val="18"/>
      </w:rPr>
      <w:instrText xml:space="preserve"> DOCPROPERTY ShortT </w:instrText>
    </w:r>
    <w:r w:rsidRPr="00A961C4">
      <w:rPr>
        <w:i/>
        <w:sz w:val="18"/>
      </w:rPr>
      <w:fldChar w:fldCharType="separate"/>
    </w:r>
    <w:r w:rsidR="00FF206D">
      <w:rPr>
        <w:i/>
        <w:sz w:val="18"/>
      </w:rPr>
      <w:t>Australian Aged Care Quality Agency (Transitional Provisions) Act 2013</w:t>
    </w:r>
    <w:r w:rsidRPr="00A961C4">
      <w:rPr>
        <w:i/>
        <w:sz w:val="18"/>
      </w:rPr>
      <w:fldChar w:fldCharType="end"/>
    </w:r>
    <w:r w:rsidRPr="00A961C4">
      <w:rPr>
        <w:i/>
        <w:sz w:val="18"/>
      </w:rPr>
      <w:t xml:space="preserve">       </w:t>
    </w:r>
    <w:r w:rsidRPr="00A961C4">
      <w:rPr>
        <w:i/>
        <w:sz w:val="18"/>
      </w:rPr>
      <w:fldChar w:fldCharType="begin"/>
    </w:r>
    <w:r w:rsidR="00CB2894">
      <w:rPr>
        <w:i/>
        <w:sz w:val="18"/>
      </w:rPr>
      <w:instrText xml:space="preserve"> DOCPROPERTY ActNo </w:instrText>
    </w:r>
    <w:r w:rsidRPr="00A961C4">
      <w:rPr>
        <w:i/>
        <w:sz w:val="18"/>
      </w:rPr>
      <w:fldChar w:fldCharType="separate"/>
    </w:r>
    <w:r w:rsidR="00FF206D">
      <w:rPr>
        <w:i/>
        <w:sz w:val="18"/>
      </w:rPr>
      <w:t>No. 78, 2013</w:t>
    </w:r>
    <w:r w:rsidRPr="00A961C4">
      <w:rPr>
        <w:i/>
        <w:sz w:val="1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C74590">
    <w:pPr>
      <w:pBdr>
        <w:top w:val="single" w:sz="6" w:space="1" w:color="auto"/>
      </w:pBdr>
      <w:spacing w:before="120"/>
      <w:rPr>
        <w:sz w:val="18"/>
      </w:rPr>
    </w:pPr>
  </w:p>
  <w:p w:rsidR="00587236" w:rsidRPr="00A961C4" w:rsidRDefault="00587236" w:rsidP="0048364F">
    <w:pPr>
      <w:jc w:val="right"/>
      <w:rPr>
        <w:i/>
        <w:sz w:val="18"/>
      </w:rPr>
    </w:pPr>
    <w:r w:rsidRPr="00A961C4">
      <w:rPr>
        <w:i/>
        <w:sz w:val="18"/>
      </w:rPr>
      <w:fldChar w:fldCharType="begin"/>
    </w:r>
    <w:r w:rsidR="00CB2894">
      <w:rPr>
        <w:i/>
        <w:sz w:val="18"/>
      </w:rPr>
      <w:instrText xml:space="preserve"> DOCPROPERTY ShortT </w:instrText>
    </w:r>
    <w:r w:rsidRPr="00A961C4">
      <w:rPr>
        <w:i/>
        <w:sz w:val="18"/>
      </w:rPr>
      <w:fldChar w:fldCharType="separate"/>
    </w:r>
    <w:r w:rsidR="00FF206D">
      <w:rPr>
        <w:i/>
        <w:sz w:val="18"/>
      </w:rPr>
      <w:t>Australian Aged Care Quality Agency (Transitional Provisions) Act 2013</w:t>
    </w:r>
    <w:r w:rsidRPr="00A961C4">
      <w:rPr>
        <w:i/>
        <w:sz w:val="18"/>
      </w:rPr>
      <w:fldChar w:fldCharType="end"/>
    </w:r>
    <w:r w:rsidRPr="00A961C4">
      <w:rPr>
        <w:i/>
        <w:sz w:val="18"/>
      </w:rPr>
      <w:t xml:space="preserve">       </w:t>
    </w:r>
    <w:r w:rsidRPr="00A961C4">
      <w:rPr>
        <w:i/>
        <w:sz w:val="18"/>
      </w:rPr>
      <w:fldChar w:fldCharType="begin"/>
    </w:r>
    <w:r w:rsidR="00CB2894">
      <w:rPr>
        <w:i/>
        <w:sz w:val="18"/>
      </w:rPr>
      <w:instrText xml:space="preserve"> DOCPROPERTY ActNo </w:instrText>
    </w:r>
    <w:r w:rsidRPr="00A961C4">
      <w:rPr>
        <w:i/>
        <w:sz w:val="18"/>
      </w:rPr>
      <w:fldChar w:fldCharType="separate"/>
    </w:r>
    <w:r w:rsidR="00FF206D">
      <w:rPr>
        <w:i/>
        <w:sz w:val="18"/>
      </w:rPr>
      <w:t>No. 78,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FF206D">
      <w:rPr>
        <w:i/>
        <w:noProof/>
        <w:sz w:val="18"/>
      </w:rPr>
      <w:t>13</w:t>
    </w:r>
    <w:r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C74590">
    <w:pPr>
      <w:pBdr>
        <w:top w:val="single" w:sz="6" w:space="1" w:color="auto"/>
      </w:pBdr>
      <w:spacing w:before="120"/>
      <w:rPr>
        <w:sz w:val="18"/>
      </w:rPr>
    </w:pPr>
  </w:p>
  <w:p w:rsidR="00587236" w:rsidRPr="00A961C4" w:rsidRDefault="00587236" w:rsidP="0048364F">
    <w:pPr>
      <w:jc w:val="right"/>
      <w:rPr>
        <w:i/>
        <w:sz w:val="18"/>
      </w:rPr>
    </w:pPr>
    <w:r w:rsidRPr="00A961C4">
      <w:rPr>
        <w:i/>
        <w:sz w:val="18"/>
      </w:rPr>
      <w:fldChar w:fldCharType="begin"/>
    </w:r>
    <w:r w:rsidR="00CB2894">
      <w:rPr>
        <w:i/>
        <w:sz w:val="18"/>
      </w:rPr>
      <w:instrText xml:space="preserve"> DOCPROPERTY ShortT </w:instrText>
    </w:r>
    <w:r w:rsidRPr="00A961C4">
      <w:rPr>
        <w:i/>
        <w:sz w:val="18"/>
      </w:rPr>
      <w:fldChar w:fldCharType="separate"/>
    </w:r>
    <w:r w:rsidR="00FF206D">
      <w:rPr>
        <w:i/>
        <w:sz w:val="18"/>
      </w:rPr>
      <w:t>Australian Aged Care Quality Agency (Transitional Provisions) Act 2013</w:t>
    </w:r>
    <w:r w:rsidRPr="00A961C4">
      <w:rPr>
        <w:i/>
        <w:sz w:val="18"/>
      </w:rPr>
      <w:fldChar w:fldCharType="end"/>
    </w:r>
    <w:r w:rsidRPr="00A961C4">
      <w:rPr>
        <w:i/>
        <w:sz w:val="18"/>
      </w:rPr>
      <w:t xml:space="preserve">       </w:t>
    </w:r>
    <w:r w:rsidRPr="00A961C4">
      <w:rPr>
        <w:i/>
        <w:sz w:val="18"/>
      </w:rPr>
      <w:fldChar w:fldCharType="begin"/>
    </w:r>
    <w:r w:rsidR="00CB2894">
      <w:rPr>
        <w:i/>
        <w:sz w:val="18"/>
      </w:rPr>
      <w:instrText xml:space="preserve"> DOCPROPERTY ActNo </w:instrText>
    </w:r>
    <w:r w:rsidRPr="00A961C4">
      <w:rPr>
        <w:i/>
        <w:sz w:val="18"/>
      </w:rPr>
      <w:fldChar w:fldCharType="separate"/>
    </w:r>
    <w:r w:rsidR="00FF206D">
      <w:rPr>
        <w:i/>
        <w:sz w:val="18"/>
      </w:rPr>
      <w:t>No. 78, 2013</w:t>
    </w:r>
    <w:r w:rsidRPr="00A961C4">
      <w:rPr>
        <w:i/>
        <w:sz w:val="18"/>
      </w:rPr>
      <w:fldChar w:fldCharType="end"/>
    </w:r>
    <w:r w:rsidRPr="00A961C4">
      <w:rPr>
        <w:i/>
        <w:sz w:val="18"/>
      </w:rPr>
      <w:t xml:space="preserve">       </w:t>
    </w:r>
    <w:r w:rsidRPr="00A961C4">
      <w:rPr>
        <w:i/>
        <w:sz w:val="18"/>
      </w:rPr>
      <w:fldChar w:fldCharType="begin"/>
    </w:r>
    <w:r w:rsidRPr="00A961C4">
      <w:rPr>
        <w:i/>
        <w:sz w:val="18"/>
      </w:rPr>
      <w:instrText xml:space="preserve"> PAGE </w:instrText>
    </w:r>
    <w:r w:rsidRPr="00A961C4">
      <w:rPr>
        <w:i/>
        <w:sz w:val="18"/>
      </w:rPr>
      <w:fldChar w:fldCharType="separate"/>
    </w:r>
    <w:r w:rsidR="00FF206D">
      <w:rPr>
        <w:i/>
        <w:noProof/>
        <w:sz w:val="18"/>
      </w:rPr>
      <w:t>1</w:t>
    </w:r>
    <w:r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236" w:rsidRDefault="00587236" w:rsidP="0048364F">
      <w:pPr>
        <w:spacing w:line="240" w:lineRule="auto"/>
      </w:pPr>
      <w:r>
        <w:separator/>
      </w:r>
    </w:p>
  </w:footnote>
  <w:footnote w:type="continuationSeparator" w:id="0">
    <w:p w:rsidR="00587236" w:rsidRDefault="0058723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5F1388" w:rsidRDefault="00587236"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5F1388" w:rsidRDefault="00587236"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5F1388" w:rsidRDefault="0058723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48364F">
    <w:pPr>
      <w:pBdr>
        <w:bottom w:val="single" w:sz="12"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48364F">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ED79B6" w:rsidRDefault="0058723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48364F">
    <w:pPr>
      <w:rPr>
        <w:b/>
        <w:sz w:val="20"/>
      </w:rPr>
    </w:pPr>
    <w:r>
      <w:rPr>
        <w:b/>
        <w:sz w:val="20"/>
      </w:rPr>
      <w:fldChar w:fldCharType="begin"/>
    </w:r>
    <w:r>
      <w:rPr>
        <w:b/>
        <w:sz w:val="20"/>
      </w:rPr>
      <w:instrText xml:space="preserve"> STYLEREF CharAmSchNo </w:instrText>
    </w:r>
    <w:r w:rsidR="00FF206D">
      <w:rPr>
        <w:b/>
        <w:sz w:val="20"/>
      </w:rPr>
      <w:fldChar w:fldCharType="separate"/>
    </w:r>
    <w:r w:rsidR="00FF206D">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FF206D">
      <w:rPr>
        <w:sz w:val="20"/>
      </w:rPr>
      <w:fldChar w:fldCharType="separate"/>
    </w:r>
    <w:r w:rsidR="00FF206D">
      <w:rPr>
        <w:noProof/>
        <w:sz w:val="20"/>
      </w:rPr>
      <w:t>Transitional provisions</w:t>
    </w:r>
    <w:r>
      <w:rPr>
        <w:sz w:val="20"/>
      </w:rPr>
      <w:fldChar w:fldCharType="end"/>
    </w:r>
  </w:p>
  <w:p w:rsidR="00587236" w:rsidRPr="00A961C4" w:rsidRDefault="00587236" w:rsidP="0048364F">
    <w:pPr>
      <w:rPr>
        <w:b/>
        <w:sz w:val="20"/>
      </w:rPr>
    </w:pPr>
    <w:r>
      <w:rPr>
        <w:b/>
        <w:sz w:val="20"/>
      </w:rPr>
      <w:fldChar w:fldCharType="begin"/>
    </w:r>
    <w:r>
      <w:rPr>
        <w:b/>
        <w:sz w:val="20"/>
      </w:rPr>
      <w:instrText xml:space="preserve"> STYLEREF CharAmPartNo </w:instrText>
    </w:r>
    <w:r w:rsidR="00FF206D">
      <w:rPr>
        <w:b/>
        <w:sz w:val="20"/>
      </w:rPr>
      <w:fldChar w:fldCharType="separate"/>
    </w:r>
    <w:r w:rsidR="00FF206D">
      <w:rPr>
        <w:b/>
        <w:noProof/>
        <w:sz w:val="20"/>
      </w:rPr>
      <w:t>Part 5</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FF206D">
      <w:rPr>
        <w:sz w:val="20"/>
      </w:rPr>
      <w:fldChar w:fldCharType="separate"/>
    </w:r>
    <w:r w:rsidR="00FF206D">
      <w:rPr>
        <w:noProof/>
        <w:sz w:val="20"/>
      </w:rPr>
      <w:t>Other transitional matters</w:t>
    </w:r>
    <w:r>
      <w:rPr>
        <w:sz w:val="20"/>
      </w:rPr>
      <w:fldChar w:fldCharType="end"/>
    </w:r>
  </w:p>
  <w:p w:rsidR="00587236" w:rsidRPr="00A961C4" w:rsidRDefault="00587236" w:rsidP="0048364F">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48364F">
    <w:pPr>
      <w:jc w:val="right"/>
      <w:rPr>
        <w:sz w:val="20"/>
      </w:rPr>
    </w:pPr>
    <w:r w:rsidRPr="00A961C4">
      <w:rPr>
        <w:sz w:val="20"/>
      </w:rPr>
      <w:fldChar w:fldCharType="begin"/>
    </w:r>
    <w:r w:rsidRPr="00A961C4">
      <w:rPr>
        <w:sz w:val="20"/>
      </w:rPr>
      <w:instrText xml:space="preserve"> STYLEREF CharAmSchText </w:instrText>
    </w:r>
    <w:r w:rsidR="00FF206D">
      <w:rPr>
        <w:sz w:val="20"/>
      </w:rPr>
      <w:fldChar w:fldCharType="separate"/>
    </w:r>
    <w:r w:rsidR="00FF206D">
      <w:rPr>
        <w:noProof/>
        <w:sz w:val="20"/>
      </w:rPr>
      <w:t>Transitional provisions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FF206D">
      <w:rPr>
        <w:b/>
        <w:sz w:val="20"/>
      </w:rPr>
      <w:fldChar w:fldCharType="separate"/>
    </w:r>
    <w:r w:rsidR="00FF206D">
      <w:rPr>
        <w:b/>
        <w:noProof/>
        <w:sz w:val="20"/>
      </w:rPr>
      <w:t>Schedule 1</w:t>
    </w:r>
    <w:r>
      <w:rPr>
        <w:b/>
        <w:sz w:val="20"/>
      </w:rPr>
      <w:fldChar w:fldCharType="end"/>
    </w:r>
  </w:p>
  <w:p w:rsidR="00587236" w:rsidRPr="00A961C4" w:rsidRDefault="00587236" w:rsidP="0048364F">
    <w:pPr>
      <w:jc w:val="right"/>
      <w:rPr>
        <w:b/>
        <w:sz w:val="20"/>
      </w:rPr>
    </w:pPr>
    <w:r w:rsidRPr="00A961C4">
      <w:rPr>
        <w:sz w:val="20"/>
      </w:rPr>
      <w:fldChar w:fldCharType="begin"/>
    </w:r>
    <w:r w:rsidRPr="00A961C4">
      <w:rPr>
        <w:sz w:val="20"/>
      </w:rPr>
      <w:instrText xml:space="preserve"> STYLEREF CharAmPartText </w:instrText>
    </w:r>
    <w:r w:rsidR="00FF206D">
      <w:rPr>
        <w:sz w:val="20"/>
      </w:rPr>
      <w:fldChar w:fldCharType="separate"/>
    </w:r>
    <w:r w:rsidR="00FF206D">
      <w:rPr>
        <w:noProof/>
        <w:sz w:val="20"/>
      </w:rPr>
      <w:t>Other transitional matters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FF206D">
      <w:rPr>
        <w:b/>
        <w:sz w:val="20"/>
      </w:rPr>
      <w:fldChar w:fldCharType="separate"/>
    </w:r>
    <w:r w:rsidR="00FF206D">
      <w:rPr>
        <w:b/>
        <w:noProof/>
        <w:sz w:val="20"/>
      </w:rPr>
      <w:t>Part 5</w:t>
    </w:r>
    <w:r w:rsidRPr="00A961C4">
      <w:rPr>
        <w:b/>
        <w:sz w:val="20"/>
      </w:rPr>
      <w:fldChar w:fldCharType="end"/>
    </w:r>
  </w:p>
  <w:p w:rsidR="00587236" w:rsidRPr="00A961C4" w:rsidRDefault="00587236" w:rsidP="0048364F">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236" w:rsidRPr="00A961C4" w:rsidRDefault="00587236"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780"/>
    <w:rsid w:val="00000CF9"/>
    <w:rsid w:val="00004FD6"/>
    <w:rsid w:val="000113BC"/>
    <w:rsid w:val="000136AF"/>
    <w:rsid w:val="000614BF"/>
    <w:rsid w:val="00073CE8"/>
    <w:rsid w:val="000B2BFF"/>
    <w:rsid w:val="000B6014"/>
    <w:rsid w:val="000D05EF"/>
    <w:rsid w:val="000F21C1"/>
    <w:rsid w:val="0010745C"/>
    <w:rsid w:val="0011029F"/>
    <w:rsid w:val="001217FB"/>
    <w:rsid w:val="00122206"/>
    <w:rsid w:val="00135660"/>
    <w:rsid w:val="0015266E"/>
    <w:rsid w:val="001643C9"/>
    <w:rsid w:val="0016495B"/>
    <w:rsid w:val="00165568"/>
    <w:rsid w:val="00166C2F"/>
    <w:rsid w:val="001716C9"/>
    <w:rsid w:val="001939E1"/>
    <w:rsid w:val="00195382"/>
    <w:rsid w:val="001A6190"/>
    <w:rsid w:val="001B7A5D"/>
    <w:rsid w:val="001C69C4"/>
    <w:rsid w:val="001E0751"/>
    <w:rsid w:val="001E3590"/>
    <w:rsid w:val="001E7407"/>
    <w:rsid w:val="00201D27"/>
    <w:rsid w:val="0021448D"/>
    <w:rsid w:val="002338BA"/>
    <w:rsid w:val="00240749"/>
    <w:rsid w:val="0025101C"/>
    <w:rsid w:val="00266825"/>
    <w:rsid w:val="00287F5E"/>
    <w:rsid w:val="00290274"/>
    <w:rsid w:val="00296A92"/>
    <w:rsid w:val="00297ECB"/>
    <w:rsid w:val="002B4EAB"/>
    <w:rsid w:val="002D043A"/>
    <w:rsid w:val="002E0FFE"/>
    <w:rsid w:val="00324064"/>
    <w:rsid w:val="003415D3"/>
    <w:rsid w:val="00351893"/>
    <w:rsid w:val="00352B0F"/>
    <w:rsid w:val="003A202A"/>
    <w:rsid w:val="003B538E"/>
    <w:rsid w:val="003B76B0"/>
    <w:rsid w:val="003C5F2B"/>
    <w:rsid w:val="003C7BE2"/>
    <w:rsid w:val="003D0BFE"/>
    <w:rsid w:val="003D5700"/>
    <w:rsid w:val="003F2D14"/>
    <w:rsid w:val="003F6147"/>
    <w:rsid w:val="00404FA1"/>
    <w:rsid w:val="004116CD"/>
    <w:rsid w:val="0042287A"/>
    <w:rsid w:val="00424CA9"/>
    <w:rsid w:val="00427AED"/>
    <w:rsid w:val="00436BD5"/>
    <w:rsid w:val="0044291A"/>
    <w:rsid w:val="00447649"/>
    <w:rsid w:val="0048364F"/>
    <w:rsid w:val="00496F97"/>
    <w:rsid w:val="004A45E9"/>
    <w:rsid w:val="004E6067"/>
    <w:rsid w:val="004F1FAC"/>
    <w:rsid w:val="005155E7"/>
    <w:rsid w:val="00516B8D"/>
    <w:rsid w:val="00537FBC"/>
    <w:rsid w:val="00543469"/>
    <w:rsid w:val="00584811"/>
    <w:rsid w:val="00587236"/>
    <w:rsid w:val="005923CB"/>
    <w:rsid w:val="00593AA6"/>
    <w:rsid w:val="00594161"/>
    <w:rsid w:val="00594749"/>
    <w:rsid w:val="005A2374"/>
    <w:rsid w:val="005A7495"/>
    <w:rsid w:val="005B4067"/>
    <w:rsid w:val="005C3F41"/>
    <w:rsid w:val="00600219"/>
    <w:rsid w:val="00605529"/>
    <w:rsid w:val="0063144A"/>
    <w:rsid w:val="00641DE5"/>
    <w:rsid w:val="00644E12"/>
    <w:rsid w:val="00650B04"/>
    <w:rsid w:val="00656F0C"/>
    <w:rsid w:val="00665CD4"/>
    <w:rsid w:val="00677CC2"/>
    <w:rsid w:val="00685F42"/>
    <w:rsid w:val="0069207B"/>
    <w:rsid w:val="00692DF9"/>
    <w:rsid w:val="006A5061"/>
    <w:rsid w:val="006C7F8C"/>
    <w:rsid w:val="006E303A"/>
    <w:rsid w:val="006E3241"/>
    <w:rsid w:val="006F47C6"/>
    <w:rsid w:val="006F704A"/>
    <w:rsid w:val="00700B2C"/>
    <w:rsid w:val="00713084"/>
    <w:rsid w:val="00717105"/>
    <w:rsid w:val="00731E00"/>
    <w:rsid w:val="007429EE"/>
    <w:rsid w:val="007440B7"/>
    <w:rsid w:val="00761F20"/>
    <w:rsid w:val="007631E2"/>
    <w:rsid w:val="007634AD"/>
    <w:rsid w:val="007715C9"/>
    <w:rsid w:val="00774EDD"/>
    <w:rsid w:val="007757EC"/>
    <w:rsid w:val="00786FD5"/>
    <w:rsid w:val="00795760"/>
    <w:rsid w:val="007B3BF7"/>
    <w:rsid w:val="007B67BB"/>
    <w:rsid w:val="007C46D6"/>
    <w:rsid w:val="007C4769"/>
    <w:rsid w:val="007D2030"/>
    <w:rsid w:val="007E3B9F"/>
    <w:rsid w:val="007E7D04"/>
    <w:rsid w:val="007E7D4A"/>
    <w:rsid w:val="0085663B"/>
    <w:rsid w:val="00856A31"/>
    <w:rsid w:val="008754D0"/>
    <w:rsid w:val="00877D48"/>
    <w:rsid w:val="008B30D6"/>
    <w:rsid w:val="008C4BD4"/>
    <w:rsid w:val="008C7FAC"/>
    <w:rsid w:val="008D0EE0"/>
    <w:rsid w:val="008D7038"/>
    <w:rsid w:val="008F49F1"/>
    <w:rsid w:val="008F4F1C"/>
    <w:rsid w:val="008F52C5"/>
    <w:rsid w:val="0090421B"/>
    <w:rsid w:val="009136A2"/>
    <w:rsid w:val="00914D36"/>
    <w:rsid w:val="00915276"/>
    <w:rsid w:val="00932377"/>
    <w:rsid w:val="00941363"/>
    <w:rsid w:val="00945A3F"/>
    <w:rsid w:val="00962590"/>
    <w:rsid w:val="00997880"/>
    <w:rsid w:val="00997C05"/>
    <w:rsid w:val="009E3453"/>
    <w:rsid w:val="00A231E2"/>
    <w:rsid w:val="00A43655"/>
    <w:rsid w:val="00A64912"/>
    <w:rsid w:val="00A70A74"/>
    <w:rsid w:val="00A83D57"/>
    <w:rsid w:val="00A95925"/>
    <w:rsid w:val="00AC1375"/>
    <w:rsid w:val="00AD5641"/>
    <w:rsid w:val="00AE02CA"/>
    <w:rsid w:val="00AE11F2"/>
    <w:rsid w:val="00AE3FF3"/>
    <w:rsid w:val="00AF304E"/>
    <w:rsid w:val="00AF53EB"/>
    <w:rsid w:val="00B00DE7"/>
    <w:rsid w:val="00B01D92"/>
    <w:rsid w:val="00B032D8"/>
    <w:rsid w:val="00B11A8F"/>
    <w:rsid w:val="00B33B3C"/>
    <w:rsid w:val="00B62F30"/>
    <w:rsid w:val="00B71431"/>
    <w:rsid w:val="00B73137"/>
    <w:rsid w:val="00B94B16"/>
    <w:rsid w:val="00BA5026"/>
    <w:rsid w:val="00BB40BF"/>
    <w:rsid w:val="00BC3E04"/>
    <w:rsid w:val="00BE2E59"/>
    <w:rsid w:val="00BE719A"/>
    <w:rsid w:val="00BE720A"/>
    <w:rsid w:val="00BF4944"/>
    <w:rsid w:val="00C067E5"/>
    <w:rsid w:val="00C164CA"/>
    <w:rsid w:val="00C42BF8"/>
    <w:rsid w:val="00C460AE"/>
    <w:rsid w:val="00C50043"/>
    <w:rsid w:val="00C74590"/>
    <w:rsid w:val="00C7573B"/>
    <w:rsid w:val="00C76CF3"/>
    <w:rsid w:val="00C923BA"/>
    <w:rsid w:val="00CB2894"/>
    <w:rsid w:val="00CD3C99"/>
    <w:rsid w:val="00CE0A63"/>
    <w:rsid w:val="00CF0BB2"/>
    <w:rsid w:val="00CF791A"/>
    <w:rsid w:val="00D13441"/>
    <w:rsid w:val="00D243A3"/>
    <w:rsid w:val="00D5093F"/>
    <w:rsid w:val="00D52EFE"/>
    <w:rsid w:val="00D57569"/>
    <w:rsid w:val="00D63EF6"/>
    <w:rsid w:val="00D70DFB"/>
    <w:rsid w:val="00D73029"/>
    <w:rsid w:val="00D766DF"/>
    <w:rsid w:val="00D907EE"/>
    <w:rsid w:val="00D978F8"/>
    <w:rsid w:val="00DB629C"/>
    <w:rsid w:val="00DC1AFA"/>
    <w:rsid w:val="00DC67A0"/>
    <w:rsid w:val="00DD06CC"/>
    <w:rsid w:val="00E02DA7"/>
    <w:rsid w:val="00E05704"/>
    <w:rsid w:val="00E2683F"/>
    <w:rsid w:val="00E3498F"/>
    <w:rsid w:val="00E376B5"/>
    <w:rsid w:val="00E417A8"/>
    <w:rsid w:val="00E53814"/>
    <w:rsid w:val="00E54292"/>
    <w:rsid w:val="00E56E4C"/>
    <w:rsid w:val="00E74DC7"/>
    <w:rsid w:val="00E87699"/>
    <w:rsid w:val="00E931FE"/>
    <w:rsid w:val="00ED10C4"/>
    <w:rsid w:val="00EE4293"/>
    <w:rsid w:val="00EF2E3A"/>
    <w:rsid w:val="00F047E2"/>
    <w:rsid w:val="00F078DC"/>
    <w:rsid w:val="00F10780"/>
    <w:rsid w:val="00F11379"/>
    <w:rsid w:val="00F13E86"/>
    <w:rsid w:val="00F36164"/>
    <w:rsid w:val="00F677A9"/>
    <w:rsid w:val="00F84CF5"/>
    <w:rsid w:val="00F92C25"/>
    <w:rsid w:val="00FA420B"/>
    <w:rsid w:val="00FB23F4"/>
    <w:rsid w:val="00FB6A34"/>
    <w:rsid w:val="00FD1E13"/>
    <w:rsid w:val="00FF20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59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4590"/>
  </w:style>
  <w:style w:type="paragraph" w:customStyle="1" w:styleId="OPCParaBase">
    <w:name w:val="OPCParaBase"/>
    <w:link w:val="OPCParaBaseChar"/>
    <w:qFormat/>
    <w:rsid w:val="00C7459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74590"/>
    <w:pPr>
      <w:spacing w:line="240" w:lineRule="auto"/>
    </w:pPr>
    <w:rPr>
      <w:b/>
      <w:sz w:val="40"/>
    </w:rPr>
  </w:style>
  <w:style w:type="paragraph" w:customStyle="1" w:styleId="ActHead1">
    <w:name w:val="ActHead 1"/>
    <w:aliases w:val="c"/>
    <w:basedOn w:val="OPCParaBase"/>
    <w:next w:val="Normal"/>
    <w:qFormat/>
    <w:rsid w:val="00C745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45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45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45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45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45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745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C745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459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74590"/>
  </w:style>
  <w:style w:type="paragraph" w:customStyle="1" w:styleId="Blocks">
    <w:name w:val="Blocks"/>
    <w:aliases w:val="bb"/>
    <w:basedOn w:val="OPCParaBase"/>
    <w:qFormat/>
    <w:rsid w:val="00C74590"/>
    <w:pPr>
      <w:spacing w:line="240" w:lineRule="auto"/>
    </w:pPr>
    <w:rPr>
      <w:sz w:val="24"/>
    </w:rPr>
  </w:style>
  <w:style w:type="paragraph" w:customStyle="1" w:styleId="BoxText">
    <w:name w:val="BoxText"/>
    <w:aliases w:val="bt"/>
    <w:basedOn w:val="OPCParaBase"/>
    <w:qFormat/>
    <w:rsid w:val="00C745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4590"/>
    <w:rPr>
      <w:b/>
    </w:rPr>
  </w:style>
  <w:style w:type="paragraph" w:customStyle="1" w:styleId="BoxHeadItalic">
    <w:name w:val="BoxHeadItalic"/>
    <w:aliases w:val="bhi"/>
    <w:basedOn w:val="BoxText"/>
    <w:next w:val="BoxStep"/>
    <w:qFormat/>
    <w:rsid w:val="00C74590"/>
    <w:rPr>
      <w:i/>
    </w:rPr>
  </w:style>
  <w:style w:type="paragraph" w:customStyle="1" w:styleId="BoxList">
    <w:name w:val="BoxList"/>
    <w:aliases w:val="bl"/>
    <w:basedOn w:val="BoxText"/>
    <w:qFormat/>
    <w:rsid w:val="00C74590"/>
    <w:pPr>
      <w:ind w:left="1559" w:hanging="425"/>
    </w:pPr>
  </w:style>
  <w:style w:type="paragraph" w:customStyle="1" w:styleId="BoxNote">
    <w:name w:val="BoxNote"/>
    <w:aliases w:val="bn"/>
    <w:basedOn w:val="BoxText"/>
    <w:qFormat/>
    <w:rsid w:val="00C74590"/>
    <w:pPr>
      <w:tabs>
        <w:tab w:val="left" w:pos="1985"/>
      </w:tabs>
      <w:spacing w:before="122" w:line="198" w:lineRule="exact"/>
      <w:ind w:left="2948" w:hanging="1814"/>
    </w:pPr>
    <w:rPr>
      <w:sz w:val="18"/>
    </w:rPr>
  </w:style>
  <w:style w:type="paragraph" w:customStyle="1" w:styleId="BoxPara">
    <w:name w:val="BoxPara"/>
    <w:aliases w:val="bp"/>
    <w:basedOn w:val="BoxText"/>
    <w:qFormat/>
    <w:rsid w:val="00C74590"/>
    <w:pPr>
      <w:tabs>
        <w:tab w:val="right" w:pos="2268"/>
      </w:tabs>
      <w:ind w:left="2552" w:hanging="1418"/>
    </w:pPr>
  </w:style>
  <w:style w:type="paragraph" w:customStyle="1" w:styleId="BoxStep">
    <w:name w:val="BoxStep"/>
    <w:aliases w:val="bs"/>
    <w:basedOn w:val="BoxText"/>
    <w:qFormat/>
    <w:rsid w:val="00C74590"/>
    <w:pPr>
      <w:ind w:left="1985" w:hanging="851"/>
    </w:pPr>
  </w:style>
  <w:style w:type="character" w:customStyle="1" w:styleId="CharAmPartNo">
    <w:name w:val="CharAmPartNo"/>
    <w:basedOn w:val="OPCCharBase"/>
    <w:qFormat/>
    <w:rsid w:val="00C74590"/>
  </w:style>
  <w:style w:type="character" w:customStyle="1" w:styleId="CharAmPartText">
    <w:name w:val="CharAmPartText"/>
    <w:basedOn w:val="OPCCharBase"/>
    <w:qFormat/>
    <w:rsid w:val="00C74590"/>
  </w:style>
  <w:style w:type="character" w:customStyle="1" w:styleId="CharAmSchNo">
    <w:name w:val="CharAmSchNo"/>
    <w:basedOn w:val="OPCCharBase"/>
    <w:qFormat/>
    <w:rsid w:val="00C74590"/>
  </w:style>
  <w:style w:type="character" w:customStyle="1" w:styleId="CharAmSchText">
    <w:name w:val="CharAmSchText"/>
    <w:basedOn w:val="OPCCharBase"/>
    <w:qFormat/>
    <w:rsid w:val="00C74590"/>
  </w:style>
  <w:style w:type="character" w:customStyle="1" w:styleId="CharBoldItalic">
    <w:name w:val="CharBoldItalic"/>
    <w:basedOn w:val="OPCCharBase"/>
    <w:uiPriority w:val="1"/>
    <w:qFormat/>
    <w:rsid w:val="00C74590"/>
    <w:rPr>
      <w:b/>
      <w:i/>
    </w:rPr>
  </w:style>
  <w:style w:type="character" w:customStyle="1" w:styleId="CharChapNo">
    <w:name w:val="CharChapNo"/>
    <w:basedOn w:val="OPCCharBase"/>
    <w:uiPriority w:val="1"/>
    <w:qFormat/>
    <w:rsid w:val="00C74590"/>
  </w:style>
  <w:style w:type="character" w:customStyle="1" w:styleId="CharChapText">
    <w:name w:val="CharChapText"/>
    <w:basedOn w:val="OPCCharBase"/>
    <w:uiPriority w:val="1"/>
    <w:qFormat/>
    <w:rsid w:val="00C74590"/>
  </w:style>
  <w:style w:type="character" w:customStyle="1" w:styleId="CharDivNo">
    <w:name w:val="CharDivNo"/>
    <w:basedOn w:val="OPCCharBase"/>
    <w:uiPriority w:val="1"/>
    <w:qFormat/>
    <w:rsid w:val="00C74590"/>
  </w:style>
  <w:style w:type="character" w:customStyle="1" w:styleId="CharDivText">
    <w:name w:val="CharDivText"/>
    <w:basedOn w:val="OPCCharBase"/>
    <w:uiPriority w:val="1"/>
    <w:qFormat/>
    <w:rsid w:val="00C74590"/>
  </w:style>
  <w:style w:type="character" w:customStyle="1" w:styleId="CharItalic">
    <w:name w:val="CharItalic"/>
    <w:basedOn w:val="OPCCharBase"/>
    <w:uiPriority w:val="1"/>
    <w:qFormat/>
    <w:rsid w:val="00C74590"/>
    <w:rPr>
      <w:i/>
    </w:rPr>
  </w:style>
  <w:style w:type="character" w:customStyle="1" w:styleId="CharPartNo">
    <w:name w:val="CharPartNo"/>
    <w:basedOn w:val="OPCCharBase"/>
    <w:uiPriority w:val="1"/>
    <w:qFormat/>
    <w:rsid w:val="00C74590"/>
  </w:style>
  <w:style w:type="character" w:customStyle="1" w:styleId="CharPartText">
    <w:name w:val="CharPartText"/>
    <w:basedOn w:val="OPCCharBase"/>
    <w:uiPriority w:val="1"/>
    <w:qFormat/>
    <w:rsid w:val="00C74590"/>
  </w:style>
  <w:style w:type="character" w:customStyle="1" w:styleId="CharSectno">
    <w:name w:val="CharSectno"/>
    <w:basedOn w:val="OPCCharBase"/>
    <w:qFormat/>
    <w:rsid w:val="00C74590"/>
  </w:style>
  <w:style w:type="character" w:customStyle="1" w:styleId="CharSubdNo">
    <w:name w:val="CharSubdNo"/>
    <w:basedOn w:val="OPCCharBase"/>
    <w:uiPriority w:val="1"/>
    <w:qFormat/>
    <w:rsid w:val="00C74590"/>
  </w:style>
  <w:style w:type="character" w:customStyle="1" w:styleId="CharSubdText">
    <w:name w:val="CharSubdText"/>
    <w:basedOn w:val="OPCCharBase"/>
    <w:uiPriority w:val="1"/>
    <w:qFormat/>
    <w:rsid w:val="00C74590"/>
  </w:style>
  <w:style w:type="paragraph" w:customStyle="1" w:styleId="CTA--">
    <w:name w:val="CTA --"/>
    <w:basedOn w:val="OPCParaBase"/>
    <w:next w:val="Normal"/>
    <w:rsid w:val="00C74590"/>
    <w:pPr>
      <w:spacing w:before="60" w:line="240" w:lineRule="atLeast"/>
      <w:ind w:left="142" w:hanging="142"/>
    </w:pPr>
    <w:rPr>
      <w:sz w:val="20"/>
    </w:rPr>
  </w:style>
  <w:style w:type="paragraph" w:customStyle="1" w:styleId="CTA-">
    <w:name w:val="CTA -"/>
    <w:basedOn w:val="OPCParaBase"/>
    <w:rsid w:val="00C74590"/>
    <w:pPr>
      <w:spacing w:before="60" w:line="240" w:lineRule="atLeast"/>
      <w:ind w:left="85" w:hanging="85"/>
    </w:pPr>
    <w:rPr>
      <w:sz w:val="20"/>
    </w:rPr>
  </w:style>
  <w:style w:type="paragraph" w:customStyle="1" w:styleId="CTA---">
    <w:name w:val="CTA ---"/>
    <w:basedOn w:val="OPCParaBase"/>
    <w:next w:val="Normal"/>
    <w:rsid w:val="00C74590"/>
    <w:pPr>
      <w:spacing w:before="60" w:line="240" w:lineRule="atLeast"/>
      <w:ind w:left="198" w:hanging="198"/>
    </w:pPr>
    <w:rPr>
      <w:sz w:val="20"/>
    </w:rPr>
  </w:style>
  <w:style w:type="paragraph" w:customStyle="1" w:styleId="CTA----">
    <w:name w:val="CTA ----"/>
    <w:basedOn w:val="OPCParaBase"/>
    <w:next w:val="Normal"/>
    <w:rsid w:val="00C74590"/>
    <w:pPr>
      <w:spacing w:before="60" w:line="240" w:lineRule="atLeast"/>
      <w:ind w:left="255" w:hanging="255"/>
    </w:pPr>
    <w:rPr>
      <w:sz w:val="20"/>
    </w:rPr>
  </w:style>
  <w:style w:type="paragraph" w:customStyle="1" w:styleId="CTA1a">
    <w:name w:val="CTA 1(a)"/>
    <w:basedOn w:val="OPCParaBase"/>
    <w:rsid w:val="00C74590"/>
    <w:pPr>
      <w:tabs>
        <w:tab w:val="right" w:pos="414"/>
      </w:tabs>
      <w:spacing w:before="40" w:line="240" w:lineRule="atLeast"/>
      <w:ind w:left="675" w:hanging="675"/>
    </w:pPr>
    <w:rPr>
      <w:sz w:val="20"/>
    </w:rPr>
  </w:style>
  <w:style w:type="paragraph" w:customStyle="1" w:styleId="CTA1ai">
    <w:name w:val="CTA 1(a)(i)"/>
    <w:basedOn w:val="OPCParaBase"/>
    <w:rsid w:val="00C74590"/>
    <w:pPr>
      <w:tabs>
        <w:tab w:val="right" w:pos="1004"/>
      </w:tabs>
      <w:spacing w:before="40" w:line="240" w:lineRule="atLeast"/>
      <w:ind w:left="1253" w:hanging="1253"/>
    </w:pPr>
    <w:rPr>
      <w:sz w:val="20"/>
    </w:rPr>
  </w:style>
  <w:style w:type="paragraph" w:customStyle="1" w:styleId="CTA2a">
    <w:name w:val="CTA 2(a)"/>
    <w:basedOn w:val="OPCParaBase"/>
    <w:rsid w:val="00C74590"/>
    <w:pPr>
      <w:tabs>
        <w:tab w:val="right" w:pos="482"/>
      </w:tabs>
      <w:spacing w:before="40" w:line="240" w:lineRule="atLeast"/>
      <w:ind w:left="748" w:hanging="748"/>
    </w:pPr>
    <w:rPr>
      <w:sz w:val="20"/>
    </w:rPr>
  </w:style>
  <w:style w:type="paragraph" w:customStyle="1" w:styleId="CTA2ai">
    <w:name w:val="CTA 2(a)(i)"/>
    <w:basedOn w:val="OPCParaBase"/>
    <w:rsid w:val="00C74590"/>
    <w:pPr>
      <w:tabs>
        <w:tab w:val="right" w:pos="1089"/>
      </w:tabs>
      <w:spacing w:before="40" w:line="240" w:lineRule="atLeast"/>
      <w:ind w:left="1327" w:hanging="1327"/>
    </w:pPr>
    <w:rPr>
      <w:sz w:val="20"/>
    </w:rPr>
  </w:style>
  <w:style w:type="paragraph" w:customStyle="1" w:styleId="CTA3a">
    <w:name w:val="CTA 3(a)"/>
    <w:basedOn w:val="OPCParaBase"/>
    <w:rsid w:val="00C74590"/>
    <w:pPr>
      <w:tabs>
        <w:tab w:val="right" w:pos="556"/>
      </w:tabs>
      <w:spacing w:before="40" w:line="240" w:lineRule="atLeast"/>
      <w:ind w:left="805" w:hanging="805"/>
    </w:pPr>
    <w:rPr>
      <w:sz w:val="20"/>
    </w:rPr>
  </w:style>
  <w:style w:type="paragraph" w:customStyle="1" w:styleId="CTA3ai">
    <w:name w:val="CTA 3(a)(i)"/>
    <w:basedOn w:val="OPCParaBase"/>
    <w:rsid w:val="00C74590"/>
    <w:pPr>
      <w:tabs>
        <w:tab w:val="right" w:pos="1140"/>
      </w:tabs>
      <w:spacing w:before="40" w:line="240" w:lineRule="atLeast"/>
      <w:ind w:left="1361" w:hanging="1361"/>
    </w:pPr>
    <w:rPr>
      <w:sz w:val="20"/>
    </w:rPr>
  </w:style>
  <w:style w:type="paragraph" w:customStyle="1" w:styleId="CTA4a">
    <w:name w:val="CTA 4(a)"/>
    <w:basedOn w:val="OPCParaBase"/>
    <w:rsid w:val="00C74590"/>
    <w:pPr>
      <w:tabs>
        <w:tab w:val="right" w:pos="624"/>
      </w:tabs>
      <w:spacing w:before="40" w:line="240" w:lineRule="atLeast"/>
      <w:ind w:left="873" w:hanging="873"/>
    </w:pPr>
    <w:rPr>
      <w:sz w:val="20"/>
    </w:rPr>
  </w:style>
  <w:style w:type="paragraph" w:customStyle="1" w:styleId="CTA4ai">
    <w:name w:val="CTA 4(a)(i)"/>
    <w:basedOn w:val="OPCParaBase"/>
    <w:rsid w:val="00C74590"/>
    <w:pPr>
      <w:tabs>
        <w:tab w:val="right" w:pos="1213"/>
      </w:tabs>
      <w:spacing w:before="40" w:line="240" w:lineRule="atLeast"/>
      <w:ind w:left="1452" w:hanging="1452"/>
    </w:pPr>
    <w:rPr>
      <w:sz w:val="20"/>
    </w:rPr>
  </w:style>
  <w:style w:type="paragraph" w:customStyle="1" w:styleId="CTACAPS">
    <w:name w:val="CTA CAPS"/>
    <w:basedOn w:val="OPCParaBase"/>
    <w:rsid w:val="00C74590"/>
    <w:pPr>
      <w:spacing w:before="60" w:line="240" w:lineRule="atLeast"/>
    </w:pPr>
    <w:rPr>
      <w:sz w:val="20"/>
    </w:rPr>
  </w:style>
  <w:style w:type="paragraph" w:customStyle="1" w:styleId="CTAright">
    <w:name w:val="CTA right"/>
    <w:basedOn w:val="OPCParaBase"/>
    <w:rsid w:val="00C74590"/>
    <w:pPr>
      <w:spacing w:before="60" w:line="240" w:lineRule="auto"/>
      <w:jc w:val="right"/>
    </w:pPr>
    <w:rPr>
      <w:sz w:val="20"/>
    </w:rPr>
  </w:style>
  <w:style w:type="paragraph" w:customStyle="1" w:styleId="subsection">
    <w:name w:val="subsection"/>
    <w:aliases w:val="ss"/>
    <w:basedOn w:val="OPCParaBase"/>
    <w:rsid w:val="00C74590"/>
    <w:pPr>
      <w:tabs>
        <w:tab w:val="right" w:pos="1021"/>
      </w:tabs>
      <w:spacing w:before="180" w:line="240" w:lineRule="auto"/>
      <w:ind w:left="1134" w:hanging="1134"/>
    </w:pPr>
  </w:style>
  <w:style w:type="paragraph" w:customStyle="1" w:styleId="Definition">
    <w:name w:val="Definition"/>
    <w:aliases w:val="dd"/>
    <w:basedOn w:val="OPCParaBase"/>
    <w:rsid w:val="00C74590"/>
    <w:pPr>
      <w:spacing w:before="180" w:line="240" w:lineRule="auto"/>
      <w:ind w:left="1134"/>
    </w:pPr>
  </w:style>
  <w:style w:type="paragraph" w:customStyle="1" w:styleId="ETAsubitem">
    <w:name w:val="ETA(subitem)"/>
    <w:basedOn w:val="OPCParaBase"/>
    <w:rsid w:val="00C74590"/>
    <w:pPr>
      <w:tabs>
        <w:tab w:val="right" w:pos="340"/>
      </w:tabs>
      <w:spacing w:before="60" w:line="240" w:lineRule="auto"/>
      <w:ind w:left="454" w:hanging="454"/>
    </w:pPr>
    <w:rPr>
      <w:sz w:val="20"/>
    </w:rPr>
  </w:style>
  <w:style w:type="paragraph" w:customStyle="1" w:styleId="ETApara">
    <w:name w:val="ETA(para)"/>
    <w:basedOn w:val="OPCParaBase"/>
    <w:rsid w:val="00C74590"/>
    <w:pPr>
      <w:tabs>
        <w:tab w:val="right" w:pos="754"/>
      </w:tabs>
      <w:spacing w:before="60" w:line="240" w:lineRule="auto"/>
      <w:ind w:left="828" w:hanging="828"/>
    </w:pPr>
    <w:rPr>
      <w:sz w:val="20"/>
    </w:rPr>
  </w:style>
  <w:style w:type="paragraph" w:customStyle="1" w:styleId="ETAsubpara">
    <w:name w:val="ETA(subpara)"/>
    <w:basedOn w:val="OPCParaBase"/>
    <w:rsid w:val="00C74590"/>
    <w:pPr>
      <w:tabs>
        <w:tab w:val="right" w:pos="1083"/>
      </w:tabs>
      <w:spacing w:before="60" w:line="240" w:lineRule="auto"/>
      <w:ind w:left="1191" w:hanging="1191"/>
    </w:pPr>
    <w:rPr>
      <w:sz w:val="20"/>
    </w:rPr>
  </w:style>
  <w:style w:type="paragraph" w:customStyle="1" w:styleId="ETAsub-subpara">
    <w:name w:val="ETA(sub-subpara)"/>
    <w:basedOn w:val="OPCParaBase"/>
    <w:rsid w:val="00C74590"/>
    <w:pPr>
      <w:tabs>
        <w:tab w:val="right" w:pos="1412"/>
      </w:tabs>
      <w:spacing w:before="60" w:line="240" w:lineRule="auto"/>
      <w:ind w:left="1525" w:hanging="1525"/>
    </w:pPr>
    <w:rPr>
      <w:sz w:val="20"/>
    </w:rPr>
  </w:style>
  <w:style w:type="paragraph" w:customStyle="1" w:styleId="Formula">
    <w:name w:val="Formula"/>
    <w:basedOn w:val="OPCParaBase"/>
    <w:rsid w:val="00C74590"/>
    <w:pPr>
      <w:spacing w:line="240" w:lineRule="auto"/>
      <w:ind w:left="1134"/>
    </w:pPr>
    <w:rPr>
      <w:sz w:val="20"/>
    </w:rPr>
  </w:style>
  <w:style w:type="paragraph" w:styleId="Header">
    <w:name w:val="header"/>
    <w:basedOn w:val="OPCParaBase"/>
    <w:link w:val="HeaderChar"/>
    <w:unhideWhenUsed/>
    <w:rsid w:val="00C745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4590"/>
    <w:rPr>
      <w:rFonts w:eastAsia="Times New Roman" w:cs="Times New Roman"/>
      <w:sz w:val="16"/>
      <w:lang w:eastAsia="en-AU"/>
    </w:rPr>
  </w:style>
  <w:style w:type="paragraph" w:customStyle="1" w:styleId="House">
    <w:name w:val="House"/>
    <w:basedOn w:val="OPCParaBase"/>
    <w:rsid w:val="00C74590"/>
    <w:pPr>
      <w:spacing w:line="240" w:lineRule="auto"/>
    </w:pPr>
    <w:rPr>
      <w:sz w:val="28"/>
    </w:rPr>
  </w:style>
  <w:style w:type="paragraph" w:customStyle="1" w:styleId="Item">
    <w:name w:val="Item"/>
    <w:aliases w:val="i"/>
    <w:basedOn w:val="OPCParaBase"/>
    <w:next w:val="ItemHead"/>
    <w:rsid w:val="00C74590"/>
    <w:pPr>
      <w:keepLines/>
      <w:spacing w:before="80" w:line="240" w:lineRule="auto"/>
      <w:ind w:left="709"/>
    </w:pPr>
  </w:style>
  <w:style w:type="paragraph" w:customStyle="1" w:styleId="ItemHead">
    <w:name w:val="ItemHead"/>
    <w:aliases w:val="ih"/>
    <w:basedOn w:val="OPCParaBase"/>
    <w:next w:val="Item"/>
    <w:rsid w:val="00C745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4590"/>
    <w:pPr>
      <w:spacing w:line="240" w:lineRule="auto"/>
    </w:pPr>
    <w:rPr>
      <w:b/>
      <w:sz w:val="32"/>
    </w:rPr>
  </w:style>
  <w:style w:type="paragraph" w:customStyle="1" w:styleId="notedraft">
    <w:name w:val="note(draft)"/>
    <w:aliases w:val="nd"/>
    <w:basedOn w:val="OPCParaBase"/>
    <w:rsid w:val="00C74590"/>
    <w:pPr>
      <w:spacing w:before="240" w:line="240" w:lineRule="auto"/>
      <w:ind w:left="284" w:hanging="284"/>
    </w:pPr>
    <w:rPr>
      <w:i/>
      <w:sz w:val="24"/>
    </w:rPr>
  </w:style>
  <w:style w:type="paragraph" w:customStyle="1" w:styleId="notemargin">
    <w:name w:val="note(margin)"/>
    <w:aliases w:val="nm"/>
    <w:basedOn w:val="OPCParaBase"/>
    <w:rsid w:val="00C74590"/>
    <w:pPr>
      <w:tabs>
        <w:tab w:val="left" w:pos="709"/>
      </w:tabs>
      <w:spacing w:before="122" w:line="198" w:lineRule="exact"/>
      <w:ind w:left="709" w:hanging="709"/>
    </w:pPr>
    <w:rPr>
      <w:sz w:val="18"/>
    </w:rPr>
  </w:style>
  <w:style w:type="paragraph" w:customStyle="1" w:styleId="noteToPara">
    <w:name w:val="noteToPara"/>
    <w:aliases w:val="ntp"/>
    <w:basedOn w:val="OPCParaBase"/>
    <w:rsid w:val="00C74590"/>
    <w:pPr>
      <w:spacing w:before="122" w:line="198" w:lineRule="exact"/>
      <w:ind w:left="2353" w:hanging="709"/>
    </w:pPr>
    <w:rPr>
      <w:sz w:val="18"/>
    </w:rPr>
  </w:style>
  <w:style w:type="paragraph" w:customStyle="1" w:styleId="noteParlAmend">
    <w:name w:val="note(ParlAmend)"/>
    <w:aliases w:val="npp"/>
    <w:basedOn w:val="OPCParaBase"/>
    <w:next w:val="ParlAmend"/>
    <w:rsid w:val="00C74590"/>
    <w:pPr>
      <w:spacing w:line="240" w:lineRule="auto"/>
      <w:jc w:val="right"/>
    </w:pPr>
    <w:rPr>
      <w:rFonts w:ascii="Arial" w:hAnsi="Arial"/>
      <w:b/>
      <w:i/>
    </w:rPr>
  </w:style>
  <w:style w:type="paragraph" w:customStyle="1" w:styleId="notetext">
    <w:name w:val="note(text)"/>
    <w:aliases w:val="n"/>
    <w:basedOn w:val="OPCParaBase"/>
    <w:rsid w:val="00C74590"/>
    <w:pPr>
      <w:spacing w:before="122" w:line="198" w:lineRule="exact"/>
      <w:ind w:left="1985" w:hanging="851"/>
    </w:pPr>
    <w:rPr>
      <w:sz w:val="18"/>
    </w:rPr>
  </w:style>
  <w:style w:type="paragraph" w:customStyle="1" w:styleId="Page1">
    <w:name w:val="Page1"/>
    <w:basedOn w:val="OPCParaBase"/>
    <w:rsid w:val="00C74590"/>
    <w:pPr>
      <w:spacing w:before="400" w:line="240" w:lineRule="auto"/>
    </w:pPr>
    <w:rPr>
      <w:b/>
      <w:sz w:val="32"/>
    </w:rPr>
  </w:style>
  <w:style w:type="paragraph" w:customStyle="1" w:styleId="PageBreak">
    <w:name w:val="PageBreak"/>
    <w:aliases w:val="pb"/>
    <w:basedOn w:val="OPCParaBase"/>
    <w:rsid w:val="00C74590"/>
    <w:pPr>
      <w:spacing w:line="240" w:lineRule="auto"/>
    </w:pPr>
    <w:rPr>
      <w:sz w:val="20"/>
    </w:rPr>
  </w:style>
  <w:style w:type="paragraph" w:customStyle="1" w:styleId="paragraphsub">
    <w:name w:val="paragraph(sub)"/>
    <w:aliases w:val="aa"/>
    <w:basedOn w:val="OPCParaBase"/>
    <w:rsid w:val="00C74590"/>
    <w:pPr>
      <w:tabs>
        <w:tab w:val="right" w:pos="1985"/>
      </w:tabs>
      <w:spacing w:before="40" w:line="240" w:lineRule="auto"/>
      <w:ind w:left="2098" w:hanging="2098"/>
    </w:pPr>
  </w:style>
  <w:style w:type="paragraph" w:customStyle="1" w:styleId="paragraphsub-sub">
    <w:name w:val="paragraph(sub-sub)"/>
    <w:aliases w:val="aaa"/>
    <w:basedOn w:val="OPCParaBase"/>
    <w:rsid w:val="00C74590"/>
    <w:pPr>
      <w:tabs>
        <w:tab w:val="right" w:pos="2722"/>
      </w:tabs>
      <w:spacing w:before="40" w:line="240" w:lineRule="auto"/>
      <w:ind w:left="2835" w:hanging="2835"/>
    </w:pPr>
  </w:style>
  <w:style w:type="paragraph" w:customStyle="1" w:styleId="paragraph">
    <w:name w:val="paragraph"/>
    <w:aliases w:val="a"/>
    <w:basedOn w:val="OPCParaBase"/>
    <w:link w:val="paragraphChar"/>
    <w:rsid w:val="00C74590"/>
    <w:pPr>
      <w:tabs>
        <w:tab w:val="right" w:pos="1531"/>
      </w:tabs>
      <w:spacing w:before="40" w:line="240" w:lineRule="auto"/>
      <w:ind w:left="1644" w:hanging="1644"/>
    </w:pPr>
  </w:style>
  <w:style w:type="paragraph" w:customStyle="1" w:styleId="ParlAmend">
    <w:name w:val="ParlAmend"/>
    <w:aliases w:val="pp"/>
    <w:basedOn w:val="OPCParaBase"/>
    <w:rsid w:val="00C74590"/>
    <w:pPr>
      <w:spacing w:before="240" w:line="240" w:lineRule="atLeast"/>
      <w:ind w:hanging="567"/>
    </w:pPr>
    <w:rPr>
      <w:sz w:val="24"/>
    </w:rPr>
  </w:style>
  <w:style w:type="paragraph" w:customStyle="1" w:styleId="Penalty">
    <w:name w:val="Penalty"/>
    <w:basedOn w:val="OPCParaBase"/>
    <w:rsid w:val="00C74590"/>
    <w:pPr>
      <w:tabs>
        <w:tab w:val="left" w:pos="2977"/>
      </w:tabs>
      <w:spacing w:before="180" w:line="240" w:lineRule="auto"/>
      <w:ind w:left="1985" w:hanging="851"/>
    </w:pPr>
  </w:style>
  <w:style w:type="paragraph" w:customStyle="1" w:styleId="Portfolio">
    <w:name w:val="Portfolio"/>
    <w:basedOn w:val="OPCParaBase"/>
    <w:rsid w:val="00C74590"/>
    <w:pPr>
      <w:spacing w:line="240" w:lineRule="auto"/>
    </w:pPr>
    <w:rPr>
      <w:i/>
      <w:sz w:val="20"/>
    </w:rPr>
  </w:style>
  <w:style w:type="paragraph" w:customStyle="1" w:styleId="Preamble">
    <w:name w:val="Preamble"/>
    <w:basedOn w:val="OPCParaBase"/>
    <w:next w:val="Normal"/>
    <w:rsid w:val="00C745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4590"/>
    <w:pPr>
      <w:spacing w:line="240" w:lineRule="auto"/>
    </w:pPr>
    <w:rPr>
      <w:i/>
      <w:sz w:val="20"/>
    </w:rPr>
  </w:style>
  <w:style w:type="paragraph" w:customStyle="1" w:styleId="Session">
    <w:name w:val="Session"/>
    <w:basedOn w:val="OPCParaBase"/>
    <w:rsid w:val="00C74590"/>
    <w:pPr>
      <w:spacing w:line="240" w:lineRule="auto"/>
    </w:pPr>
    <w:rPr>
      <w:sz w:val="28"/>
    </w:rPr>
  </w:style>
  <w:style w:type="paragraph" w:customStyle="1" w:styleId="Sponsor">
    <w:name w:val="Sponsor"/>
    <w:basedOn w:val="OPCParaBase"/>
    <w:rsid w:val="00C74590"/>
    <w:pPr>
      <w:spacing w:line="240" w:lineRule="auto"/>
    </w:pPr>
    <w:rPr>
      <w:i/>
    </w:rPr>
  </w:style>
  <w:style w:type="paragraph" w:customStyle="1" w:styleId="Subitem">
    <w:name w:val="Subitem"/>
    <w:aliases w:val="iss"/>
    <w:basedOn w:val="OPCParaBase"/>
    <w:rsid w:val="00C74590"/>
    <w:pPr>
      <w:spacing w:before="180" w:line="240" w:lineRule="auto"/>
      <w:ind w:left="709" w:hanging="709"/>
    </w:pPr>
  </w:style>
  <w:style w:type="paragraph" w:customStyle="1" w:styleId="SubitemHead">
    <w:name w:val="SubitemHead"/>
    <w:aliases w:val="issh"/>
    <w:basedOn w:val="OPCParaBase"/>
    <w:rsid w:val="00C745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4590"/>
    <w:pPr>
      <w:spacing w:before="40" w:line="240" w:lineRule="auto"/>
      <w:ind w:left="1134"/>
    </w:pPr>
  </w:style>
  <w:style w:type="paragraph" w:customStyle="1" w:styleId="SubsectionHead">
    <w:name w:val="SubsectionHead"/>
    <w:aliases w:val="ssh"/>
    <w:basedOn w:val="OPCParaBase"/>
    <w:next w:val="subsection"/>
    <w:rsid w:val="00C74590"/>
    <w:pPr>
      <w:keepNext/>
      <w:keepLines/>
      <w:spacing w:before="240" w:line="240" w:lineRule="auto"/>
      <w:ind w:left="1134"/>
    </w:pPr>
    <w:rPr>
      <w:i/>
    </w:rPr>
  </w:style>
  <w:style w:type="paragraph" w:customStyle="1" w:styleId="Tablea">
    <w:name w:val="Table(a)"/>
    <w:aliases w:val="ta"/>
    <w:basedOn w:val="OPCParaBase"/>
    <w:rsid w:val="00C74590"/>
    <w:pPr>
      <w:spacing w:before="60" w:line="240" w:lineRule="auto"/>
      <w:ind w:left="284" w:hanging="284"/>
    </w:pPr>
    <w:rPr>
      <w:sz w:val="20"/>
    </w:rPr>
  </w:style>
  <w:style w:type="paragraph" w:customStyle="1" w:styleId="TableAA">
    <w:name w:val="Table(AA)"/>
    <w:aliases w:val="taaa"/>
    <w:basedOn w:val="OPCParaBase"/>
    <w:rsid w:val="00C745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45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4590"/>
    <w:pPr>
      <w:spacing w:before="60" w:line="240" w:lineRule="atLeast"/>
    </w:pPr>
    <w:rPr>
      <w:sz w:val="20"/>
    </w:rPr>
  </w:style>
  <w:style w:type="paragraph" w:customStyle="1" w:styleId="TLPBoxTextnote">
    <w:name w:val="TLPBoxText(note"/>
    <w:aliases w:val="right)"/>
    <w:basedOn w:val="OPCParaBase"/>
    <w:rsid w:val="00C745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45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4590"/>
    <w:pPr>
      <w:spacing w:before="122" w:line="198" w:lineRule="exact"/>
      <w:ind w:left="1985" w:hanging="851"/>
      <w:jc w:val="right"/>
    </w:pPr>
    <w:rPr>
      <w:sz w:val="18"/>
    </w:rPr>
  </w:style>
  <w:style w:type="paragraph" w:customStyle="1" w:styleId="TLPTableBullet">
    <w:name w:val="TLPTableBullet"/>
    <w:aliases w:val="ttb"/>
    <w:basedOn w:val="OPCParaBase"/>
    <w:rsid w:val="00C74590"/>
    <w:pPr>
      <w:spacing w:line="240" w:lineRule="exact"/>
      <w:ind w:left="284" w:hanging="284"/>
    </w:pPr>
    <w:rPr>
      <w:sz w:val="20"/>
    </w:rPr>
  </w:style>
  <w:style w:type="paragraph" w:styleId="TOC1">
    <w:name w:val="toc 1"/>
    <w:basedOn w:val="OPCParaBase"/>
    <w:next w:val="Normal"/>
    <w:uiPriority w:val="39"/>
    <w:semiHidden/>
    <w:unhideWhenUsed/>
    <w:rsid w:val="00C7459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7459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7459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7459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459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45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45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45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7459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4590"/>
    <w:pPr>
      <w:keepLines/>
      <w:spacing w:before="240" w:after="120" w:line="240" w:lineRule="auto"/>
      <w:ind w:left="794"/>
    </w:pPr>
    <w:rPr>
      <w:b/>
      <w:kern w:val="28"/>
      <w:sz w:val="20"/>
    </w:rPr>
  </w:style>
  <w:style w:type="paragraph" w:customStyle="1" w:styleId="TofSectsHeading">
    <w:name w:val="TofSects(Heading)"/>
    <w:basedOn w:val="OPCParaBase"/>
    <w:rsid w:val="00C74590"/>
    <w:pPr>
      <w:spacing w:before="240" w:after="120" w:line="240" w:lineRule="auto"/>
    </w:pPr>
    <w:rPr>
      <w:b/>
      <w:sz w:val="24"/>
    </w:rPr>
  </w:style>
  <w:style w:type="paragraph" w:customStyle="1" w:styleId="TofSectsSection">
    <w:name w:val="TofSects(Section)"/>
    <w:basedOn w:val="OPCParaBase"/>
    <w:rsid w:val="00C74590"/>
    <w:pPr>
      <w:keepLines/>
      <w:spacing w:before="40" w:line="240" w:lineRule="auto"/>
      <w:ind w:left="1588" w:hanging="794"/>
    </w:pPr>
    <w:rPr>
      <w:kern w:val="28"/>
      <w:sz w:val="18"/>
    </w:rPr>
  </w:style>
  <w:style w:type="paragraph" w:customStyle="1" w:styleId="TofSectsSubdiv">
    <w:name w:val="TofSects(Subdiv)"/>
    <w:basedOn w:val="OPCParaBase"/>
    <w:rsid w:val="00C74590"/>
    <w:pPr>
      <w:keepLines/>
      <w:spacing w:before="80" w:line="240" w:lineRule="auto"/>
      <w:ind w:left="1588" w:hanging="794"/>
    </w:pPr>
    <w:rPr>
      <w:kern w:val="28"/>
    </w:rPr>
  </w:style>
  <w:style w:type="paragraph" w:customStyle="1" w:styleId="WRStyle">
    <w:name w:val="WR Style"/>
    <w:aliases w:val="WR"/>
    <w:basedOn w:val="OPCParaBase"/>
    <w:rsid w:val="00C74590"/>
    <w:pPr>
      <w:spacing w:before="240" w:line="240" w:lineRule="auto"/>
      <w:ind w:left="284" w:hanging="284"/>
    </w:pPr>
    <w:rPr>
      <w:b/>
      <w:i/>
      <w:kern w:val="28"/>
      <w:sz w:val="24"/>
    </w:rPr>
  </w:style>
  <w:style w:type="paragraph" w:customStyle="1" w:styleId="notepara">
    <w:name w:val="note(para)"/>
    <w:aliases w:val="na"/>
    <w:basedOn w:val="OPCParaBase"/>
    <w:rsid w:val="00C74590"/>
    <w:pPr>
      <w:spacing w:before="40" w:line="198" w:lineRule="exact"/>
      <w:ind w:left="2354" w:hanging="369"/>
    </w:pPr>
    <w:rPr>
      <w:sz w:val="18"/>
    </w:rPr>
  </w:style>
  <w:style w:type="paragraph" w:styleId="Footer">
    <w:name w:val="footer"/>
    <w:link w:val="FooterChar"/>
    <w:rsid w:val="00C745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4590"/>
    <w:rPr>
      <w:rFonts w:eastAsia="Times New Roman" w:cs="Times New Roman"/>
      <w:sz w:val="22"/>
      <w:szCs w:val="24"/>
      <w:lang w:eastAsia="en-AU"/>
    </w:rPr>
  </w:style>
  <w:style w:type="character" w:styleId="LineNumber">
    <w:name w:val="line number"/>
    <w:basedOn w:val="OPCCharBase"/>
    <w:uiPriority w:val="99"/>
    <w:semiHidden/>
    <w:unhideWhenUsed/>
    <w:rsid w:val="00C74590"/>
    <w:rPr>
      <w:sz w:val="16"/>
    </w:rPr>
  </w:style>
  <w:style w:type="table" w:customStyle="1" w:styleId="CFlag">
    <w:name w:val="CFlag"/>
    <w:basedOn w:val="TableNormal"/>
    <w:uiPriority w:val="99"/>
    <w:rsid w:val="00C74590"/>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C74590"/>
    <w:rPr>
      <w:b/>
      <w:sz w:val="28"/>
      <w:szCs w:val="28"/>
    </w:rPr>
  </w:style>
  <w:style w:type="paragraph" w:customStyle="1" w:styleId="NotesHeading2">
    <w:name w:val="NotesHeading 2"/>
    <w:basedOn w:val="OPCParaBase"/>
    <w:next w:val="Normal"/>
    <w:rsid w:val="00C74590"/>
    <w:rPr>
      <w:b/>
      <w:sz w:val="28"/>
      <w:szCs w:val="28"/>
    </w:rPr>
  </w:style>
  <w:style w:type="paragraph" w:customStyle="1" w:styleId="SignCoverPageEnd">
    <w:name w:val="SignCoverPageEnd"/>
    <w:basedOn w:val="OPCParaBase"/>
    <w:next w:val="Normal"/>
    <w:rsid w:val="00C745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4590"/>
    <w:pPr>
      <w:pBdr>
        <w:top w:val="single" w:sz="4" w:space="1" w:color="auto"/>
      </w:pBdr>
      <w:spacing w:before="360"/>
      <w:ind w:right="397"/>
      <w:jc w:val="both"/>
    </w:pPr>
  </w:style>
  <w:style w:type="paragraph" w:customStyle="1" w:styleId="Paragraphsub-sub-sub">
    <w:name w:val="Paragraph(sub-sub-sub)"/>
    <w:aliases w:val="aaaa"/>
    <w:basedOn w:val="OPCParaBase"/>
    <w:rsid w:val="00C745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45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45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45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4590"/>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C74590"/>
    <w:pPr>
      <w:spacing w:before="120"/>
      <w:outlineLvl w:val="0"/>
    </w:pPr>
    <w:rPr>
      <w:b/>
      <w:sz w:val="28"/>
      <w:szCs w:val="28"/>
    </w:rPr>
  </w:style>
  <w:style w:type="paragraph" w:customStyle="1" w:styleId="ENotesHeading2">
    <w:name w:val="ENotesHeading 2"/>
    <w:aliases w:val="Enh2"/>
    <w:basedOn w:val="OPCParaBase"/>
    <w:next w:val="ENotesHeading3"/>
    <w:rsid w:val="00C74590"/>
    <w:pPr>
      <w:spacing w:before="120" w:after="120"/>
      <w:outlineLvl w:val="6"/>
    </w:pPr>
    <w:rPr>
      <w:b/>
      <w:sz w:val="24"/>
      <w:szCs w:val="28"/>
    </w:rPr>
  </w:style>
  <w:style w:type="paragraph" w:customStyle="1" w:styleId="ENotesHeading3">
    <w:name w:val="ENotesHeading 3"/>
    <w:aliases w:val="Enh3"/>
    <w:basedOn w:val="OPCParaBase"/>
    <w:next w:val="Normal"/>
    <w:rsid w:val="00C74590"/>
    <w:pPr>
      <w:spacing w:before="120" w:line="240" w:lineRule="auto"/>
      <w:outlineLvl w:val="7"/>
    </w:pPr>
    <w:rPr>
      <w:b/>
      <w:szCs w:val="24"/>
    </w:rPr>
  </w:style>
  <w:style w:type="paragraph" w:customStyle="1" w:styleId="ENotesText">
    <w:name w:val="ENotesText"/>
    <w:aliases w:val="Ent"/>
    <w:basedOn w:val="OPCParaBase"/>
    <w:next w:val="Normal"/>
    <w:rsid w:val="00C74590"/>
    <w:pPr>
      <w:spacing w:before="120"/>
    </w:pPr>
  </w:style>
  <w:style w:type="paragraph" w:customStyle="1" w:styleId="TableTextEndNotes">
    <w:name w:val="TableTextEndNotes"/>
    <w:aliases w:val="Tten"/>
    <w:basedOn w:val="Normal"/>
    <w:rsid w:val="00C74590"/>
    <w:pPr>
      <w:spacing w:before="60" w:line="240" w:lineRule="auto"/>
    </w:pPr>
    <w:rPr>
      <w:rFonts w:cs="Arial"/>
      <w:sz w:val="20"/>
      <w:szCs w:val="22"/>
    </w:rPr>
  </w:style>
  <w:style w:type="character" w:customStyle="1" w:styleId="ActHead7Char">
    <w:name w:val="ActHead 7 Char"/>
    <w:aliases w:val="ap Char"/>
    <w:link w:val="ActHead7"/>
    <w:rsid w:val="00F10780"/>
    <w:rPr>
      <w:rFonts w:ascii="Arial" w:eastAsia="Times New Roman" w:hAnsi="Arial" w:cs="Times New Roman"/>
      <w:b/>
      <w:kern w:val="28"/>
      <w:sz w:val="28"/>
      <w:lang w:eastAsia="en-AU"/>
    </w:rPr>
  </w:style>
  <w:style w:type="character" w:customStyle="1" w:styleId="paragraphChar">
    <w:name w:val="paragraph Char"/>
    <w:aliases w:val="a Char"/>
    <w:link w:val="paragraph"/>
    <w:rsid w:val="00F10780"/>
    <w:rPr>
      <w:rFonts w:eastAsia="Times New Roman" w:cs="Times New Roman"/>
      <w:sz w:val="22"/>
      <w:lang w:eastAsia="en-AU"/>
    </w:rPr>
  </w:style>
  <w:style w:type="character" w:customStyle="1" w:styleId="ActHead8Char">
    <w:name w:val="ActHead 8 Char"/>
    <w:aliases w:val="ad Char"/>
    <w:link w:val="ActHead8"/>
    <w:rsid w:val="00F10780"/>
    <w:rPr>
      <w:rFonts w:ascii="Arial" w:eastAsia="Times New Roman" w:hAnsi="Arial" w:cs="Times New Roman"/>
      <w:b/>
      <w:kern w:val="28"/>
      <w:sz w:val="26"/>
      <w:lang w:eastAsia="en-AU"/>
    </w:rPr>
  </w:style>
  <w:style w:type="paragraph" w:customStyle="1" w:styleId="SubPartCASA">
    <w:name w:val="SubPart(CASA)"/>
    <w:aliases w:val="csp"/>
    <w:basedOn w:val="OPCParaBase"/>
    <w:next w:val="ActHead3"/>
    <w:rsid w:val="00C74590"/>
    <w:pPr>
      <w:keepNext/>
      <w:keepLines/>
      <w:spacing w:before="280"/>
      <w:outlineLvl w:val="1"/>
    </w:pPr>
    <w:rPr>
      <w:b/>
      <w:kern w:val="28"/>
      <w:sz w:val="32"/>
    </w:rPr>
  </w:style>
  <w:style w:type="paragraph" w:customStyle="1" w:styleId="TableHeading">
    <w:name w:val="TableHeading"/>
    <w:aliases w:val="th"/>
    <w:basedOn w:val="OPCParaBase"/>
    <w:next w:val="Tabletext"/>
    <w:rsid w:val="00C74590"/>
    <w:pPr>
      <w:spacing w:before="60" w:line="240" w:lineRule="atLeast"/>
    </w:pPr>
    <w:rPr>
      <w:b/>
      <w:sz w:val="20"/>
    </w:rPr>
  </w:style>
  <w:style w:type="paragraph" w:customStyle="1" w:styleId="NoteToSubpara">
    <w:name w:val="NoteToSubpara"/>
    <w:aliases w:val="nts"/>
    <w:basedOn w:val="OPCParaBase"/>
    <w:rsid w:val="00C74590"/>
    <w:pPr>
      <w:spacing w:before="40" w:line="198" w:lineRule="exact"/>
      <w:ind w:left="2835" w:hanging="709"/>
    </w:pPr>
    <w:rPr>
      <w:sz w:val="18"/>
    </w:rPr>
  </w:style>
  <w:style w:type="paragraph" w:customStyle="1" w:styleId="ShortTP1">
    <w:name w:val="ShortTP1"/>
    <w:basedOn w:val="ShortT"/>
    <w:link w:val="ShortTP1Char"/>
    <w:rsid w:val="00BE2E59"/>
    <w:pPr>
      <w:spacing w:before="800"/>
    </w:pPr>
  </w:style>
  <w:style w:type="character" w:customStyle="1" w:styleId="OPCParaBaseChar">
    <w:name w:val="OPCParaBase Char"/>
    <w:basedOn w:val="DefaultParagraphFont"/>
    <w:link w:val="OPCParaBase"/>
    <w:rsid w:val="00BE2E59"/>
    <w:rPr>
      <w:rFonts w:eastAsia="Times New Roman" w:cs="Times New Roman"/>
      <w:sz w:val="22"/>
      <w:lang w:eastAsia="en-AU"/>
    </w:rPr>
  </w:style>
  <w:style w:type="character" w:customStyle="1" w:styleId="ShortTChar">
    <w:name w:val="ShortT Char"/>
    <w:basedOn w:val="OPCParaBaseChar"/>
    <w:link w:val="ShortT"/>
    <w:rsid w:val="00BE2E59"/>
    <w:rPr>
      <w:rFonts w:eastAsia="Times New Roman" w:cs="Times New Roman"/>
      <w:b/>
      <w:sz w:val="40"/>
      <w:lang w:eastAsia="en-AU"/>
    </w:rPr>
  </w:style>
  <w:style w:type="character" w:customStyle="1" w:styleId="ShortTP1Char">
    <w:name w:val="ShortTP1 Char"/>
    <w:basedOn w:val="ShortTChar"/>
    <w:link w:val="ShortTP1"/>
    <w:rsid w:val="00BE2E59"/>
    <w:rPr>
      <w:rFonts w:eastAsia="Times New Roman" w:cs="Times New Roman"/>
      <w:b/>
      <w:sz w:val="40"/>
      <w:lang w:eastAsia="en-AU"/>
    </w:rPr>
  </w:style>
  <w:style w:type="paragraph" w:customStyle="1" w:styleId="ActNoP1">
    <w:name w:val="ActNoP1"/>
    <w:basedOn w:val="Actno"/>
    <w:link w:val="ActNoP1Char"/>
    <w:rsid w:val="00BE2E59"/>
    <w:pPr>
      <w:spacing w:before="800"/>
    </w:pPr>
    <w:rPr>
      <w:sz w:val="28"/>
    </w:rPr>
  </w:style>
  <w:style w:type="character" w:customStyle="1" w:styleId="ActnoChar">
    <w:name w:val="Actno Char"/>
    <w:basedOn w:val="ShortTChar"/>
    <w:link w:val="Actno"/>
    <w:rsid w:val="00BE2E59"/>
    <w:rPr>
      <w:rFonts w:eastAsia="Times New Roman" w:cs="Times New Roman"/>
      <w:b/>
      <w:sz w:val="40"/>
      <w:lang w:eastAsia="en-AU"/>
    </w:rPr>
  </w:style>
  <w:style w:type="character" w:customStyle="1" w:styleId="ActNoP1Char">
    <w:name w:val="ActNoP1 Char"/>
    <w:basedOn w:val="ActnoChar"/>
    <w:link w:val="ActNoP1"/>
    <w:rsid w:val="00BE2E59"/>
    <w:rPr>
      <w:rFonts w:eastAsia="Times New Roman" w:cs="Times New Roman"/>
      <w:b/>
      <w:sz w:val="28"/>
      <w:lang w:eastAsia="en-AU"/>
    </w:rPr>
  </w:style>
  <w:style w:type="paragraph" w:customStyle="1" w:styleId="p1LinesBef">
    <w:name w:val="p1LinesBef"/>
    <w:basedOn w:val="Normal"/>
    <w:rsid w:val="00BE2E59"/>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BE2E59"/>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BE2E59"/>
  </w:style>
  <w:style w:type="character" w:customStyle="1" w:styleId="ShortTCPChar">
    <w:name w:val="ShortTCP Char"/>
    <w:basedOn w:val="ShortTChar"/>
    <w:link w:val="ShortTCP"/>
    <w:rsid w:val="00BE2E59"/>
    <w:rPr>
      <w:rFonts w:eastAsia="Times New Roman" w:cs="Times New Roman"/>
      <w:b/>
      <w:sz w:val="40"/>
      <w:lang w:eastAsia="en-AU"/>
    </w:rPr>
  </w:style>
  <w:style w:type="paragraph" w:customStyle="1" w:styleId="ActNoCP">
    <w:name w:val="ActNoCP"/>
    <w:basedOn w:val="Actno"/>
    <w:link w:val="ActNoCPChar"/>
    <w:rsid w:val="00BE2E59"/>
    <w:pPr>
      <w:spacing w:before="400"/>
    </w:pPr>
  </w:style>
  <w:style w:type="character" w:customStyle="1" w:styleId="ActNoCPChar">
    <w:name w:val="ActNoCP Char"/>
    <w:basedOn w:val="ActnoChar"/>
    <w:link w:val="ActNoCP"/>
    <w:rsid w:val="00BE2E59"/>
    <w:rPr>
      <w:rFonts w:eastAsia="Times New Roman" w:cs="Times New Roman"/>
      <w:b/>
      <w:sz w:val="40"/>
      <w:lang w:eastAsia="en-AU"/>
    </w:rPr>
  </w:style>
  <w:style w:type="paragraph" w:customStyle="1" w:styleId="AssentBk">
    <w:name w:val="AssentBk"/>
    <w:basedOn w:val="Normal"/>
    <w:rsid w:val="00BE2E59"/>
    <w:pPr>
      <w:spacing w:line="240" w:lineRule="auto"/>
    </w:pPr>
    <w:rPr>
      <w:rFonts w:eastAsia="Times New Roman" w:cs="Times New Roman"/>
      <w:sz w:val="20"/>
      <w:lang w:eastAsia="en-AU"/>
    </w:rPr>
  </w:style>
  <w:style w:type="paragraph" w:customStyle="1" w:styleId="AssentDt">
    <w:name w:val="AssentDt"/>
    <w:basedOn w:val="Normal"/>
    <w:rsid w:val="007429EE"/>
    <w:pPr>
      <w:spacing w:line="240" w:lineRule="auto"/>
    </w:pPr>
    <w:rPr>
      <w:rFonts w:eastAsia="Times New Roman" w:cs="Times New Roman"/>
      <w:sz w:val="20"/>
      <w:lang w:eastAsia="en-AU"/>
    </w:rPr>
  </w:style>
  <w:style w:type="paragraph" w:customStyle="1" w:styleId="2ndRd">
    <w:name w:val="2ndRd"/>
    <w:basedOn w:val="Normal"/>
    <w:rsid w:val="007429EE"/>
    <w:pPr>
      <w:spacing w:line="240" w:lineRule="auto"/>
    </w:pPr>
    <w:rPr>
      <w:rFonts w:eastAsia="Times New Roman" w:cs="Times New Roman"/>
      <w:sz w:val="20"/>
      <w:lang w:eastAsia="en-AU"/>
    </w:rPr>
  </w:style>
  <w:style w:type="paragraph" w:customStyle="1" w:styleId="ScalePlusRef">
    <w:name w:val="ScalePlusRef"/>
    <w:basedOn w:val="Normal"/>
    <w:rsid w:val="007429EE"/>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590"/>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74590"/>
  </w:style>
  <w:style w:type="paragraph" w:customStyle="1" w:styleId="OPCParaBase">
    <w:name w:val="OPCParaBase"/>
    <w:link w:val="OPCParaBaseChar"/>
    <w:qFormat/>
    <w:rsid w:val="00C74590"/>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C74590"/>
    <w:pPr>
      <w:spacing w:line="240" w:lineRule="auto"/>
    </w:pPr>
    <w:rPr>
      <w:b/>
      <w:sz w:val="40"/>
    </w:rPr>
  </w:style>
  <w:style w:type="paragraph" w:customStyle="1" w:styleId="ActHead1">
    <w:name w:val="ActHead 1"/>
    <w:aliases w:val="c"/>
    <w:basedOn w:val="OPCParaBase"/>
    <w:next w:val="Normal"/>
    <w:qFormat/>
    <w:rsid w:val="00C74590"/>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74590"/>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74590"/>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4590"/>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74590"/>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4590"/>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C74590"/>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link w:val="ActHead8Char"/>
    <w:qFormat/>
    <w:rsid w:val="00C74590"/>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4590"/>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C74590"/>
  </w:style>
  <w:style w:type="paragraph" w:customStyle="1" w:styleId="Blocks">
    <w:name w:val="Blocks"/>
    <w:aliases w:val="bb"/>
    <w:basedOn w:val="OPCParaBase"/>
    <w:qFormat/>
    <w:rsid w:val="00C74590"/>
    <w:pPr>
      <w:spacing w:line="240" w:lineRule="auto"/>
    </w:pPr>
    <w:rPr>
      <w:sz w:val="24"/>
    </w:rPr>
  </w:style>
  <w:style w:type="paragraph" w:customStyle="1" w:styleId="BoxText">
    <w:name w:val="BoxText"/>
    <w:aliases w:val="bt"/>
    <w:basedOn w:val="OPCParaBase"/>
    <w:qFormat/>
    <w:rsid w:val="00C74590"/>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4590"/>
    <w:rPr>
      <w:b/>
    </w:rPr>
  </w:style>
  <w:style w:type="paragraph" w:customStyle="1" w:styleId="BoxHeadItalic">
    <w:name w:val="BoxHeadItalic"/>
    <w:aliases w:val="bhi"/>
    <w:basedOn w:val="BoxText"/>
    <w:next w:val="BoxStep"/>
    <w:qFormat/>
    <w:rsid w:val="00C74590"/>
    <w:rPr>
      <w:i/>
    </w:rPr>
  </w:style>
  <w:style w:type="paragraph" w:customStyle="1" w:styleId="BoxList">
    <w:name w:val="BoxList"/>
    <w:aliases w:val="bl"/>
    <w:basedOn w:val="BoxText"/>
    <w:qFormat/>
    <w:rsid w:val="00C74590"/>
    <w:pPr>
      <w:ind w:left="1559" w:hanging="425"/>
    </w:pPr>
  </w:style>
  <w:style w:type="paragraph" w:customStyle="1" w:styleId="BoxNote">
    <w:name w:val="BoxNote"/>
    <w:aliases w:val="bn"/>
    <w:basedOn w:val="BoxText"/>
    <w:qFormat/>
    <w:rsid w:val="00C74590"/>
    <w:pPr>
      <w:tabs>
        <w:tab w:val="left" w:pos="1985"/>
      </w:tabs>
      <w:spacing w:before="122" w:line="198" w:lineRule="exact"/>
      <w:ind w:left="2948" w:hanging="1814"/>
    </w:pPr>
    <w:rPr>
      <w:sz w:val="18"/>
    </w:rPr>
  </w:style>
  <w:style w:type="paragraph" w:customStyle="1" w:styleId="BoxPara">
    <w:name w:val="BoxPara"/>
    <w:aliases w:val="bp"/>
    <w:basedOn w:val="BoxText"/>
    <w:qFormat/>
    <w:rsid w:val="00C74590"/>
    <w:pPr>
      <w:tabs>
        <w:tab w:val="right" w:pos="2268"/>
      </w:tabs>
      <w:ind w:left="2552" w:hanging="1418"/>
    </w:pPr>
  </w:style>
  <w:style w:type="paragraph" w:customStyle="1" w:styleId="BoxStep">
    <w:name w:val="BoxStep"/>
    <w:aliases w:val="bs"/>
    <w:basedOn w:val="BoxText"/>
    <w:qFormat/>
    <w:rsid w:val="00C74590"/>
    <w:pPr>
      <w:ind w:left="1985" w:hanging="851"/>
    </w:pPr>
  </w:style>
  <w:style w:type="character" w:customStyle="1" w:styleId="CharAmPartNo">
    <w:name w:val="CharAmPartNo"/>
    <w:basedOn w:val="OPCCharBase"/>
    <w:qFormat/>
    <w:rsid w:val="00C74590"/>
  </w:style>
  <w:style w:type="character" w:customStyle="1" w:styleId="CharAmPartText">
    <w:name w:val="CharAmPartText"/>
    <w:basedOn w:val="OPCCharBase"/>
    <w:qFormat/>
    <w:rsid w:val="00C74590"/>
  </w:style>
  <w:style w:type="character" w:customStyle="1" w:styleId="CharAmSchNo">
    <w:name w:val="CharAmSchNo"/>
    <w:basedOn w:val="OPCCharBase"/>
    <w:qFormat/>
    <w:rsid w:val="00C74590"/>
  </w:style>
  <w:style w:type="character" w:customStyle="1" w:styleId="CharAmSchText">
    <w:name w:val="CharAmSchText"/>
    <w:basedOn w:val="OPCCharBase"/>
    <w:qFormat/>
    <w:rsid w:val="00C74590"/>
  </w:style>
  <w:style w:type="character" w:customStyle="1" w:styleId="CharBoldItalic">
    <w:name w:val="CharBoldItalic"/>
    <w:basedOn w:val="OPCCharBase"/>
    <w:uiPriority w:val="1"/>
    <w:qFormat/>
    <w:rsid w:val="00C74590"/>
    <w:rPr>
      <w:b/>
      <w:i/>
    </w:rPr>
  </w:style>
  <w:style w:type="character" w:customStyle="1" w:styleId="CharChapNo">
    <w:name w:val="CharChapNo"/>
    <w:basedOn w:val="OPCCharBase"/>
    <w:uiPriority w:val="1"/>
    <w:qFormat/>
    <w:rsid w:val="00C74590"/>
  </w:style>
  <w:style w:type="character" w:customStyle="1" w:styleId="CharChapText">
    <w:name w:val="CharChapText"/>
    <w:basedOn w:val="OPCCharBase"/>
    <w:uiPriority w:val="1"/>
    <w:qFormat/>
    <w:rsid w:val="00C74590"/>
  </w:style>
  <w:style w:type="character" w:customStyle="1" w:styleId="CharDivNo">
    <w:name w:val="CharDivNo"/>
    <w:basedOn w:val="OPCCharBase"/>
    <w:uiPriority w:val="1"/>
    <w:qFormat/>
    <w:rsid w:val="00C74590"/>
  </w:style>
  <w:style w:type="character" w:customStyle="1" w:styleId="CharDivText">
    <w:name w:val="CharDivText"/>
    <w:basedOn w:val="OPCCharBase"/>
    <w:uiPriority w:val="1"/>
    <w:qFormat/>
    <w:rsid w:val="00C74590"/>
  </w:style>
  <w:style w:type="character" w:customStyle="1" w:styleId="CharItalic">
    <w:name w:val="CharItalic"/>
    <w:basedOn w:val="OPCCharBase"/>
    <w:uiPriority w:val="1"/>
    <w:qFormat/>
    <w:rsid w:val="00C74590"/>
    <w:rPr>
      <w:i/>
    </w:rPr>
  </w:style>
  <w:style w:type="character" w:customStyle="1" w:styleId="CharPartNo">
    <w:name w:val="CharPartNo"/>
    <w:basedOn w:val="OPCCharBase"/>
    <w:uiPriority w:val="1"/>
    <w:qFormat/>
    <w:rsid w:val="00C74590"/>
  </w:style>
  <w:style w:type="character" w:customStyle="1" w:styleId="CharPartText">
    <w:name w:val="CharPartText"/>
    <w:basedOn w:val="OPCCharBase"/>
    <w:uiPriority w:val="1"/>
    <w:qFormat/>
    <w:rsid w:val="00C74590"/>
  </w:style>
  <w:style w:type="character" w:customStyle="1" w:styleId="CharSectno">
    <w:name w:val="CharSectno"/>
    <w:basedOn w:val="OPCCharBase"/>
    <w:qFormat/>
    <w:rsid w:val="00C74590"/>
  </w:style>
  <w:style w:type="character" w:customStyle="1" w:styleId="CharSubdNo">
    <w:name w:val="CharSubdNo"/>
    <w:basedOn w:val="OPCCharBase"/>
    <w:uiPriority w:val="1"/>
    <w:qFormat/>
    <w:rsid w:val="00C74590"/>
  </w:style>
  <w:style w:type="character" w:customStyle="1" w:styleId="CharSubdText">
    <w:name w:val="CharSubdText"/>
    <w:basedOn w:val="OPCCharBase"/>
    <w:uiPriority w:val="1"/>
    <w:qFormat/>
    <w:rsid w:val="00C74590"/>
  </w:style>
  <w:style w:type="paragraph" w:customStyle="1" w:styleId="CTA--">
    <w:name w:val="CTA --"/>
    <w:basedOn w:val="OPCParaBase"/>
    <w:next w:val="Normal"/>
    <w:rsid w:val="00C74590"/>
    <w:pPr>
      <w:spacing w:before="60" w:line="240" w:lineRule="atLeast"/>
      <w:ind w:left="142" w:hanging="142"/>
    </w:pPr>
    <w:rPr>
      <w:sz w:val="20"/>
    </w:rPr>
  </w:style>
  <w:style w:type="paragraph" w:customStyle="1" w:styleId="CTA-">
    <w:name w:val="CTA -"/>
    <w:basedOn w:val="OPCParaBase"/>
    <w:rsid w:val="00C74590"/>
    <w:pPr>
      <w:spacing w:before="60" w:line="240" w:lineRule="atLeast"/>
      <w:ind w:left="85" w:hanging="85"/>
    </w:pPr>
    <w:rPr>
      <w:sz w:val="20"/>
    </w:rPr>
  </w:style>
  <w:style w:type="paragraph" w:customStyle="1" w:styleId="CTA---">
    <w:name w:val="CTA ---"/>
    <w:basedOn w:val="OPCParaBase"/>
    <w:next w:val="Normal"/>
    <w:rsid w:val="00C74590"/>
    <w:pPr>
      <w:spacing w:before="60" w:line="240" w:lineRule="atLeast"/>
      <w:ind w:left="198" w:hanging="198"/>
    </w:pPr>
    <w:rPr>
      <w:sz w:val="20"/>
    </w:rPr>
  </w:style>
  <w:style w:type="paragraph" w:customStyle="1" w:styleId="CTA----">
    <w:name w:val="CTA ----"/>
    <w:basedOn w:val="OPCParaBase"/>
    <w:next w:val="Normal"/>
    <w:rsid w:val="00C74590"/>
    <w:pPr>
      <w:spacing w:before="60" w:line="240" w:lineRule="atLeast"/>
      <w:ind w:left="255" w:hanging="255"/>
    </w:pPr>
    <w:rPr>
      <w:sz w:val="20"/>
    </w:rPr>
  </w:style>
  <w:style w:type="paragraph" w:customStyle="1" w:styleId="CTA1a">
    <w:name w:val="CTA 1(a)"/>
    <w:basedOn w:val="OPCParaBase"/>
    <w:rsid w:val="00C74590"/>
    <w:pPr>
      <w:tabs>
        <w:tab w:val="right" w:pos="414"/>
      </w:tabs>
      <w:spacing w:before="40" w:line="240" w:lineRule="atLeast"/>
      <w:ind w:left="675" w:hanging="675"/>
    </w:pPr>
    <w:rPr>
      <w:sz w:val="20"/>
    </w:rPr>
  </w:style>
  <w:style w:type="paragraph" w:customStyle="1" w:styleId="CTA1ai">
    <w:name w:val="CTA 1(a)(i)"/>
    <w:basedOn w:val="OPCParaBase"/>
    <w:rsid w:val="00C74590"/>
    <w:pPr>
      <w:tabs>
        <w:tab w:val="right" w:pos="1004"/>
      </w:tabs>
      <w:spacing w:before="40" w:line="240" w:lineRule="atLeast"/>
      <w:ind w:left="1253" w:hanging="1253"/>
    </w:pPr>
    <w:rPr>
      <w:sz w:val="20"/>
    </w:rPr>
  </w:style>
  <w:style w:type="paragraph" w:customStyle="1" w:styleId="CTA2a">
    <w:name w:val="CTA 2(a)"/>
    <w:basedOn w:val="OPCParaBase"/>
    <w:rsid w:val="00C74590"/>
    <w:pPr>
      <w:tabs>
        <w:tab w:val="right" w:pos="482"/>
      </w:tabs>
      <w:spacing w:before="40" w:line="240" w:lineRule="atLeast"/>
      <w:ind w:left="748" w:hanging="748"/>
    </w:pPr>
    <w:rPr>
      <w:sz w:val="20"/>
    </w:rPr>
  </w:style>
  <w:style w:type="paragraph" w:customStyle="1" w:styleId="CTA2ai">
    <w:name w:val="CTA 2(a)(i)"/>
    <w:basedOn w:val="OPCParaBase"/>
    <w:rsid w:val="00C74590"/>
    <w:pPr>
      <w:tabs>
        <w:tab w:val="right" w:pos="1089"/>
      </w:tabs>
      <w:spacing w:before="40" w:line="240" w:lineRule="atLeast"/>
      <w:ind w:left="1327" w:hanging="1327"/>
    </w:pPr>
    <w:rPr>
      <w:sz w:val="20"/>
    </w:rPr>
  </w:style>
  <w:style w:type="paragraph" w:customStyle="1" w:styleId="CTA3a">
    <w:name w:val="CTA 3(a)"/>
    <w:basedOn w:val="OPCParaBase"/>
    <w:rsid w:val="00C74590"/>
    <w:pPr>
      <w:tabs>
        <w:tab w:val="right" w:pos="556"/>
      </w:tabs>
      <w:spacing w:before="40" w:line="240" w:lineRule="atLeast"/>
      <w:ind w:left="805" w:hanging="805"/>
    </w:pPr>
    <w:rPr>
      <w:sz w:val="20"/>
    </w:rPr>
  </w:style>
  <w:style w:type="paragraph" w:customStyle="1" w:styleId="CTA3ai">
    <w:name w:val="CTA 3(a)(i)"/>
    <w:basedOn w:val="OPCParaBase"/>
    <w:rsid w:val="00C74590"/>
    <w:pPr>
      <w:tabs>
        <w:tab w:val="right" w:pos="1140"/>
      </w:tabs>
      <w:spacing w:before="40" w:line="240" w:lineRule="atLeast"/>
      <w:ind w:left="1361" w:hanging="1361"/>
    </w:pPr>
    <w:rPr>
      <w:sz w:val="20"/>
    </w:rPr>
  </w:style>
  <w:style w:type="paragraph" w:customStyle="1" w:styleId="CTA4a">
    <w:name w:val="CTA 4(a)"/>
    <w:basedOn w:val="OPCParaBase"/>
    <w:rsid w:val="00C74590"/>
    <w:pPr>
      <w:tabs>
        <w:tab w:val="right" w:pos="624"/>
      </w:tabs>
      <w:spacing w:before="40" w:line="240" w:lineRule="atLeast"/>
      <w:ind w:left="873" w:hanging="873"/>
    </w:pPr>
    <w:rPr>
      <w:sz w:val="20"/>
    </w:rPr>
  </w:style>
  <w:style w:type="paragraph" w:customStyle="1" w:styleId="CTA4ai">
    <w:name w:val="CTA 4(a)(i)"/>
    <w:basedOn w:val="OPCParaBase"/>
    <w:rsid w:val="00C74590"/>
    <w:pPr>
      <w:tabs>
        <w:tab w:val="right" w:pos="1213"/>
      </w:tabs>
      <w:spacing w:before="40" w:line="240" w:lineRule="atLeast"/>
      <w:ind w:left="1452" w:hanging="1452"/>
    </w:pPr>
    <w:rPr>
      <w:sz w:val="20"/>
    </w:rPr>
  </w:style>
  <w:style w:type="paragraph" w:customStyle="1" w:styleId="CTACAPS">
    <w:name w:val="CTA CAPS"/>
    <w:basedOn w:val="OPCParaBase"/>
    <w:rsid w:val="00C74590"/>
    <w:pPr>
      <w:spacing w:before="60" w:line="240" w:lineRule="atLeast"/>
    </w:pPr>
    <w:rPr>
      <w:sz w:val="20"/>
    </w:rPr>
  </w:style>
  <w:style w:type="paragraph" w:customStyle="1" w:styleId="CTAright">
    <w:name w:val="CTA right"/>
    <w:basedOn w:val="OPCParaBase"/>
    <w:rsid w:val="00C74590"/>
    <w:pPr>
      <w:spacing w:before="60" w:line="240" w:lineRule="auto"/>
      <w:jc w:val="right"/>
    </w:pPr>
    <w:rPr>
      <w:sz w:val="20"/>
    </w:rPr>
  </w:style>
  <w:style w:type="paragraph" w:customStyle="1" w:styleId="subsection">
    <w:name w:val="subsection"/>
    <w:aliases w:val="ss"/>
    <w:basedOn w:val="OPCParaBase"/>
    <w:rsid w:val="00C74590"/>
    <w:pPr>
      <w:tabs>
        <w:tab w:val="right" w:pos="1021"/>
      </w:tabs>
      <w:spacing w:before="180" w:line="240" w:lineRule="auto"/>
      <w:ind w:left="1134" w:hanging="1134"/>
    </w:pPr>
  </w:style>
  <w:style w:type="paragraph" w:customStyle="1" w:styleId="Definition">
    <w:name w:val="Definition"/>
    <w:aliases w:val="dd"/>
    <w:basedOn w:val="OPCParaBase"/>
    <w:rsid w:val="00C74590"/>
    <w:pPr>
      <w:spacing w:before="180" w:line="240" w:lineRule="auto"/>
      <w:ind w:left="1134"/>
    </w:pPr>
  </w:style>
  <w:style w:type="paragraph" w:customStyle="1" w:styleId="ETAsubitem">
    <w:name w:val="ETA(subitem)"/>
    <w:basedOn w:val="OPCParaBase"/>
    <w:rsid w:val="00C74590"/>
    <w:pPr>
      <w:tabs>
        <w:tab w:val="right" w:pos="340"/>
      </w:tabs>
      <w:spacing w:before="60" w:line="240" w:lineRule="auto"/>
      <w:ind w:left="454" w:hanging="454"/>
    </w:pPr>
    <w:rPr>
      <w:sz w:val="20"/>
    </w:rPr>
  </w:style>
  <w:style w:type="paragraph" w:customStyle="1" w:styleId="ETApara">
    <w:name w:val="ETA(para)"/>
    <w:basedOn w:val="OPCParaBase"/>
    <w:rsid w:val="00C74590"/>
    <w:pPr>
      <w:tabs>
        <w:tab w:val="right" w:pos="754"/>
      </w:tabs>
      <w:spacing w:before="60" w:line="240" w:lineRule="auto"/>
      <w:ind w:left="828" w:hanging="828"/>
    </w:pPr>
    <w:rPr>
      <w:sz w:val="20"/>
    </w:rPr>
  </w:style>
  <w:style w:type="paragraph" w:customStyle="1" w:styleId="ETAsubpara">
    <w:name w:val="ETA(subpara)"/>
    <w:basedOn w:val="OPCParaBase"/>
    <w:rsid w:val="00C74590"/>
    <w:pPr>
      <w:tabs>
        <w:tab w:val="right" w:pos="1083"/>
      </w:tabs>
      <w:spacing w:before="60" w:line="240" w:lineRule="auto"/>
      <w:ind w:left="1191" w:hanging="1191"/>
    </w:pPr>
    <w:rPr>
      <w:sz w:val="20"/>
    </w:rPr>
  </w:style>
  <w:style w:type="paragraph" w:customStyle="1" w:styleId="ETAsub-subpara">
    <w:name w:val="ETA(sub-subpara)"/>
    <w:basedOn w:val="OPCParaBase"/>
    <w:rsid w:val="00C74590"/>
    <w:pPr>
      <w:tabs>
        <w:tab w:val="right" w:pos="1412"/>
      </w:tabs>
      <w:spacing w:before="60" w:line="240" w:lineRule="auto"/>
      <w:ind w:left="1525" w:hanging="1525"/>
    </w:pPr>
    <w:rPr>
      <w:sz w:val="20"/>
    </w:rPr>
  </w:style>
  <w:style w:type="paragraph" w:customStyle="1" w:styleId="Formula">
    <w:name w:val="Formula"/>
    <w:basedOn w:val="OPCParaBase"/>
    <w:rsid w:val="00C74590"/>
    <w:pPr>
      <w:spacing w:line="240" w:lineRule="auto"/>
      <w:ind w:left="1134"/>
    </w:pPr>
    <w:rPr>
      <w:sz w:val="20"/>
    </w:rPr>
  </w:style>
  <w:style w:type="paragraph" w:styleId="Header">
    <w:name w:val="header"/>
    <w:basedOn w:val="OPCParaBase"/>
    <w:link w:val="HeaderChar"/>
    <w:unhideWhenUsed/>
    <w:rsid w:val="00C74590"/>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74590"/>
    <w:rPr>
      <w:rFonts w:eastAsia="Times New Roman" w:cs="Times New Roman"/>
      <w:sz w:val="16"/>
      <w:lang w:eastAsia="en-AU"/>
    </w:rPr>
  </w:style>
  <w:style w:type="paragraph" w:customStyle="1" w:styleId="House">
    <w:name w:val="House"/>
    <w:basedOn w:val="OPCParaBase"/>
    <w:rsid w:val="00C74590"/>
    <w:pPr>
      <w:spacing w:line="240" w:lineRule="auto"/>
    </w:pPr>
    <w:rPr>
      <w:sz w:val="28"/>
    </w:rPr>
  </w:style>
  <w:style w:type="paragraph" w:customStyle="1" w:styleId="Item">
    <w:name w:val="Item"/>
    <w:aliases w:val="i"/>
    <w:basedOn w:val="OPCParaBase"/>
    <w:next w:val="ItemHead"/>
    <w:rsid w:val="00C74590"/>
    <w:pPr>
      <w:keepLines/>
      <w:spacing w:before="80" w:line="240" w:lineRule="auto"/>
      <w:ind w:left="709"/>
    </w:pPr>
  </w:style>
  <w:style w:type="paragraph" w:customStyle="1" w:styleId="ItemHead">
    <w:name w:val="ItemHead"/>
    <w:aliases w:val="ih"/>
    <w:basedOn w:val="OPCParaBase"/>
    <w:next w:val="Item"/>
    <w:rsid w:val="00C74590"/>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4590"/>
    <w:pPr>
      <w:spacing w:line="240" w:lineRule="auto"/>
    </w:pPr>
    <w:rPr>
      <w:b/>
      <w:sz w:val="32"/>
    </w:rPr>
  </w:style>
  <w:style w:type="paragraph" w:customStyle="1" w:styleId="notedraft">
    <w:name w:val="note(draft)"/>
    <w:aliases w:val="nd"/>
    <w:basedOn w:val="OPCParaBase"/>
    <w:rsid w:val="00C74590"/>
    <w:pPr>
      <w:spacing w:before="240" w:line="240" w:lineRule="auto"/>
      <w:ind w:left="284" w:hanging="284"/>
    </w:pPr>
    <w:rPr>
      <w:i/>
      <w:sz w:val="24"/>
    </w:rPr>
  </w:style>
  <w:style w:type="paragraph" w:customStyle="1" w:styleId="notemargin">
    <w:name w:val="note(margin)"/>
    <w:aliases w:val="nm"/>
    <w:basedOn w:val="OPCParaBase"/>
    <w:rsid w:val="00C74590"/>
    <w:pPr>
      <w:tabs>
        <w:tab w:val="left" w:pos="709"/>
      </w:tabs>
      <w:spacing w:before="122" w:line="198" w:lineRule="exact"/>
      <w:ind w:left="709" w:hanging="709"/>
    </w:pPr>
    <w:rPr>
      <w:sz w:val="18"/>
    </w:rPr>
  </w:style>
  <w:style w:type="paragraph" w:customStyle="1" w:styleId="noteToPara">
    <w:name w:val="noteToPara"/>
    <w:aliases w:val="ntp"/>
    <w:basedOn w:val="OPCParaBase"/>
    <w:rsid w:val="00C74590"/>
    <w:pPr>
      <w:spacing w:before="122" w:line="198" w:lineRule="exact"/>
      <w:ind w:left="2353" w:hanging="709"/>
    </w:pPr>
    <w:rPr>
      <w:sz w:val="18"/>
    </w:rPr>
  </w:style>
  <w:style w:type="paragraph" w:customStyle="1" w:styleId="noteParlAmend">
    <w:name w:val="note(ParlAmend)"/>
    <w:aliases w:val="npp"/>
    <w:basedOn w:val="OPCParaBase"/>
    <w:next w:val="ParlAmend"/>
    <w:rsid w:val="00C74590"/>
    <w:pPr>
      <w:spacing w:line="240" w:lineRule="auto"/>
      <w:jc w:val="right"/>
    </w:pPr>
    <w:rPr>
      <w:rFonts w:ascii="Arial" w:hAnsi="Arial"/>
      <w:b/>
      <w:i/>
    </w:rPr>
  </w:style>
  <w:style w:type="paragraph" w:customStyle="1" w:styleId="notetext">
    <w:name w:val="note(text)"/>
    <w:aliases w:val="n"/>
    <w:basedOn w:val="OPCParaBase"/>
    <w:rsid w:val="00C74590"/>
    <w:pPr>
      <w:spacing w:before="122" w:line="198" w:lineRule="exact"/>
      <w:ind w:left="1985" w:hanging="851"/>
    </w:pPr>
    <w:rPr>
      <w:sz w:val="18"/>
    </w:rPr>
  </w:style>
  <w:style w:type="paragraph" w:customStyle="1" w:styleId="Page1">
    <w:name w:val="Page1"/>
    <w:basedOn w:val="OPCParaBase"/>
    <w:rsid w:val="00C74590"/>
    <w:pPr>
      <w:spacing w:before="400" w:line="240" w:lineRule="auto"/>
    </w:pPr>
    <w:rPr>
      <w:b/>
      <w:sz w:val="32"/>
    </w:rPr>
  </w:style>
  <w:style w:type="paragraph" w:customStyle="1" w:styleId="PageBreak">
    <w:name w:val="PageBreak"/>
    <w:aliases w:val="pb"/>
    <w:basedOn w:val="OPCParaBase"/>
    <w:rsid w:val="00C74590"/>
    <w:pPr>
      <w:spacing w:line="240" w:lineRule="auto"/>
    </w:pPr>
    <w:rPr>
      <w:sz w:val="20"/>
    </w:rPr>
  </w:style>
  <w:style w:type="paragraph" w:customStyle="1" w:styleId="paragraphsub">
    <w:name w:val="paragraph(sub)"/>
    <w:aliases w:val="aa"/>
    <w:basedOn w:val="OPCParaBase"/>
    <w:rsid w:val="00C74590"/>
    <w:pPr>
      <w:tabs>
        <w:tab w:val="right" w:pos="1985"/>
      </w:tabs>
      <w:spacing w:before="40" w:line="240" w:lineRule="auto"/>
      <w:ind w:left="2098" w:hanging="2098"/>
    </w:pPr>
  </w:style>
  <w:style w:type="paragraph" w:customStyle="1" w:styleId="paragraphsub-sub">
    <w:name w:val="paragraph(sub-sub)"/>
    <w:aliases w:val="aaa"/>
    <w:basedOn w:val="OPCParaBase"/>
    <w:rsid w:val="00C74590"/>
    <w:pPr>
      <w:tabs>
        <w:tab w:val="right" w:pos="2722"/>
      </w:tabs>
      <w:spacing w:before="40" w:line="240" w:lineRule="auto"/>
      <w:ind w:left="2835" w:hanging="2835"/>
    </w:pPr>
  </w:style>
  <w:style w:type="paragraph" w:customStyle="1" w:styleId="paragraph">
    <w:name w:val="paragraph"/>
    <w:aliases w:val="a"/>
    <w:basedOn w:val="OPCParaBase"/>
    <w:link w:val="paragraphChar"/>
    <w:rsid w:val="00C74590"/>
    <w:pPr>
      <w:tabs>
        <w:tab w:val="right" w:pos="1531"/>
      </w:tabs>
      <w:spacing w:before="40" w:line="240" w:lineRule="auto"/>
      <w:ind w:left="1644" w:hanging="1644"/>
    </w:pPr>
  </w:style>
  <w:style w:type="paragraph" w:customStyle="1" w:styleId="ParlAmend">
    <w:name w:val="ParlAmend"/>
    <w:aliases w:val="pp"/>
    <w:basedOn w:val="OPCParaBase"/>
    <w:rsid w:val="00C74590"/>
    <w:pPr>
      <w:spacing w:before="240" w:line="240" w:lineRule="atLeast"/>
      <w:ind w:hanging="567"/>
    </w:pPr>
    <w:rPr>
      <w:sz w:val="24"/>
    </w:rPr>
  </w:style>
  <w:style w:type="paragraph" w:customStyle="1" w:styleId="Penalty">
    <w:name w:val="Penalty"/>
    <w:basedOn w:val="OPCParaBase"/>
    <w:rsid w:val="00C74590"/>
    <w:pPr>
      <w:tabs>
        <w:tab w:val="left" w:pos="2977"/>
      </w:tabs>
      <w:spacing w:before="180" w:line="240" w:lineRule="auto"/>
      <w:ind w:left="1985" w:hanging="851"/>
    </w:pPr>
  </w:style>
  <w:style w:type="paragraph" w:customStyle="1" w:styleId="Portfolio">
    <w:name w:val="Portfolio"/>
    <w:basedOn w:val="OPCParaBase"/>
    <w:rsid w:val="00C74590"/>
    <w:pPr>
      <w:spacing w:line="240" w:lineRule="auto"/>
    </w:pPr>
    <w:rPr>
      <w:i/>
      <w:sz w:val="20"/>
    </w:rPr>
  </w:style>
  <w:style w:type="paragraph" w:customStyle="1" w:styleId="Preamble">
    <w:name w:val="Preamble"/>
    <w:basedOn w:val="OPCParaBase"/>
    <w:next w:val="Normal"/>
    <w:rsid w:val="00C74590"/>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4590"/>
    <w:pPr>
      <w:spacing w:line="240" w:lineRule="auto"/>
    </w:pPr>
    <w:rPr>
      <w:i/>
      <w:sz w:val="20"/>
    </w:rPr>
  </w:style>
  <w:style w:type="paragraph" w:customStyle="1" w:styleId="Session">
    <w:name w:val="Session"/>
    <w:basedOn w:val="OPCParaBase"/>
    <w:rsid w:val="00C74590"/>
    <w:pPr>
      <w:spacing w:line="240" w:lineRule="auto"/>
    </w:pPr>
    <w:rPr>
      <w:sz w:val="28"/>
    </w:rPr>
  </w:style>
  <w:style w:type="paragraph" w:customStyle="1" w:styleId="Sponsor">
    <w:name w:val="Sponsor"/>
    <w:basedOn w:val="OPCParaBase"/>
    <w:rsid w:val="00C74590"/>
    <w:pPr>
      <w:spacing w:line="240" w:lineRule="auto"/>
    </w:pPr>
    <w:rPr>
      <w:i/>
    </w:rPr>
  </w:style>
  <w:style w:type="paragraph" w:customStyle="1" w:styleId="Subitem">
    <w:name w:val="Subitem"/>
    <w:aliases w:val="iss"/>
    <w:basedOn w:val="OPCParaBase"/>
    <w:rsid w:val="00C74590"/>
    <w:pPr>
      <w:spacing w:before="180" w:line="240" w:lineRule="auto"/>
      <w:ind w:left="709" w:hanging="709"/>
    </w:pPr>
  </w:style>
  <w:style w:type="paragraph" w:customStyle="1" w:styleId="SubitemHead">
    <w:name w:val="SubitemHead"/>
    <w:aliases w:val="issh"/>
    <w:basedOn w:val="OPCParaBase"/>
    <w:rsid w:val="00C74590"/>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4590"/>
    <w:pPr>
      <w:spacing w:before="40" w:line="240" w:lineRule="auto"/>
      <w:ind w:left="1134"/>
    </w:pPr>
  </w:style>
  <w:style w:type="paragraph" w:customStyle="1" w:styleId="SubsectionHead">
    <w:name w:val="SubsectionHead"/>
    <w:aliases w:val="ssh"/>
    <w:basedOn w:val="OPCParaBase"/>
    <w:next w:val="subsection"/>
    <w:rsid w:val="00C74590"/>
    <w:pPr>
      <w:keepNext/>
      <w:keepLines/>
      <w:spacing w:before="240" w:line="240" w:lineRule="auto"/>
      <w:ind w:left="1134"/>
    </w:pPr>
    <w:rPr>
      <w:i/>
    </w:rPr>
  </w:style>
  <w:style w:type="paragraph" w:customStyle="1" w:styleId="Tablea">
    <w:name w:val="Table(a)"/>
    <w:aliases w:val="ta"/>
    <w:basedOn w:val="OPCParaBase"/>
    <w:rsid w:val="00C74590"/>
    <w:pPr>
      <w:spacing w:before="60" w:line="240" w:lineRule="auto"/>
      <w:ind w:left="284" w:hanging="284"/>
    </w:pPr>
    <w:rPr>
      <w:sz w:val="20"/>
    </w:rPr>
  </w:style>
  <w:style w:type="paragraph" w:customStyle="1" w:styleId="TableAA">
    <w:name w:val="Table(AA)"/>
    <w:aliases w:val="taaa"/>
    <w:basedOn w:val="OPCParaBase"/>
    <w:rsid w:val="00C74590"/>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4590"/>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4590"/>
    <w:pPr>
      <w:spacing w:before="60" w:line="240" w:lineRule="atLeast"/>
    </w:pPr>
    <w:rPr>
      <w:sz w:val="20"/>
    </w:rPr>
  </w:style>
  <w:style w:type="paragraph" w:customStyle="1" w:styleId="TLPBoxTextnote">
    <w:name w:val="TLPBoxText(note"/>
    <w:aliases w:val="right)"/>
    <w:basedOn w:val="OPCParaBase"/>
    <w:rsid w:val="00C7459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459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4590"/>
    <w:pPr>
      <w:spacing w:before="122" w:line="198" w:lineRule="exact"/>
      <w:ind w:left="1985" w:hanging="851"/>
      <w:jc w:val="right"/>
    </w:pPr>
    <w:rPr>
      <w:sz w:val="18"/>
    </w:rPr>
  </w:style>
  <w:style w:type="paragraph" w:customStyle="1" w:styleId="TLPTableBullet">
    <w:name w:val="TLPTableBullet"/>
    <w:aliases w:val="ttb"/>
    <w:basedOn w:val="OPCParaBase"/>
    <w:rsid w:val="00C74590"/>
    <w:pPr>
      <w:spacing w:line="240" w:lineRule="exact"/>
      <w:ind w:left="284" w:hanging="284"/>
    </w:pPr>
    <w:rPr>
      <w:sz w:val="20"/>
    </w:rPr>
  </w:style>
  <w:style w:type="paragraph" w:styleId="TOC1">
    <w:name w:val="toc 1"/>
    <w:basedOn w:val="OPCParaBase"/>
    <w:next w:val="Normal"/>
    <w:uiPriority w:val="39"/>
    <w:semiHidden/>
    <w:unhideWhenUsed/>
    <w:rsid w:val="00C74590"/>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C74590"/>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C74590"/>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C74590"/>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C74590"/>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C74590"/>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4590"/>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C74590"/>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C74590"/>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C74590"/>
    <w:pPr>
      <w:keepLines/>
      <w:spacing w:before="240" w:after="120" w:line="240" w:lineRule="auto"/>
      <w:ind w:left="794"/>
    </w:pPr>
    <w:rPr>
      <w:b/>
      <w:kern w:val="28"/>
      <w:sz w:val="20"/>
    </w:rPr>
  </w:style>
  <w:style w:type="paragraph" w:customStyle="1" w:styleId="TofSectsHeading">
    <w:name w:val="TofSects(Heading)"/>
    <w:basedOn w:val="OPCParaBase"/>
    <w:rsid w:val="00C74590"/>
    <w:pPr>
      <w:spacing w:before="240" w:after="120" w:line="240" w:lineRule="auto"/>
    </w:pPr>
    <w:rPr>
      <w:b/>
      <w:sz w:val="24"/>
    </w:rPr>
  </w:style>
  <w:style w:type="paragraph" w:customStyle="1" w:styleId="TofSectsSection">
    <w:name w:val="TofSects(Section)"/>
    <w:basedOn w:val="OPCParaBase"/>
    <w:rsid w:val="00C74590"/>
    <w:pPr>
      <w:keepLines/>
      <w:spacing w:before="40" w:line="240" w:lineRule="auto"/>
      <w:ind w:left="1588" w:hanging="794"/>
    </w:pPr>
    <w:rPr>
      <w:kern w:val="28"/>
      <w:sz w:val="18"/>
    </w:rPr>
  </w:style>
  <w:style w:type="paragraph" w:customStyle="1" w:styleId="TofSectsSubdiv">
    <w:name w:val="TofSects(Subdiv)"/>
    <w:basedOn w:val="OPCParaBase"/>
    <w:rsid w:val="00C74590"/>
    <w:pPr>
      <w:keepLines/>
      <w:spacing w:before="80" w:line="240" w:lineRule="auto"/>
      <w:ind w:left="1588" w:hanging="794"/>
    </w:pPr>
    <w:rPr>
      <w:kern w:val="28"/>
    </w:rPr>
  </w:style>
  <w:style w:type="paragraph" w:customStyle="1" w:styleId="WRStyle">
    <w:name w:val="WR Style"/>
    <w:aliases w:val="WR"/>
    <w:basedOn w:val="OPCParaBase"/>
    <w:rsid w:val="00C74590"/>
    <w:pPr>
      <w:spacing w:before="240" w:line="240" w:lineRule="auto"/>
      <w:ind w:left="284" w:hanging="284"/>
    </w:pPr>
    <w:rPr>
      <w:b/>
      <w:i/>
      <w:kern w:val="28"/>
      <w:sz w:val="24"/>
    </w:rPr>
  </w:style>
  <w:style w:type="paragraph" w:customStyle="1" w:styleId="notepara">
    <w:name w:val="note(para)"/>
    <w:aliases w:val="na"/>
    <w:basedOn w:val="OPCParaBase"/>
    <w:rsid w:val="00C74590"/>
    <w:pPr>
      <w:spacing w:before="40" w:line="198" w:lineRule="exact"/>
      <w:ind w:left="2354" w:hanging="369"/>
    </w:pPr>
    <w:rPr>
      <w:sz w:val="18"/>
    </w:rPr>
  </w:style>
  <w:style w:type="paragraph" w:styleId="Footer">
    <w:name w:val="footer"/>
    <w:link w:val="FooterChar"/>
    <w:rsid w:val="00C74590"/>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74590"/>
    <w:rPr>
      <w:rFonts w:eastAsia="Times New Roman" w:cs="Times New Roman"/>
      <w:sz w:val="22"/>
      <w:szCs w:val="24"/>
      <w:lang w:eastAsia="en-AU"/>
    </w:rPr>
  </w:style>
  <w:style w:type="character" w:styleId="LineNumber">
    <w:name w:val="line number"/>
    <w:basedOn w:val="OPCCharBase"/>
    <w:uiPriority w:val="99"/>
    <w:semiHidden/>
    <w:unhideWhenUsed/>
    <w:rsid w:val="00C74590"/>
    <w:rPr>
      <w:sz w:val="16"/>
    </w:rPr>
  </w:style>
  <w:style w:type="table" w:customStyle="1" w:styleId="CFlag">
    <w:name w:val="CFlag"/>
    <w:basedOn w:val="TableNormal"/>
    <w:uiPriority w:val="99"/>
    <w:rsid w:val="00C74590"/>
    <w:rPr>
      <w:rFonts w:eastAsia="Times New Roman" w:cs="Times New Roman"/>
      <w:lang w:eastAsia="en-AU"/>
    </w:rPr>
    <w:tblPr>
      <w:tblInd w:w="0" w:type="dxa"/>
      <w:tblCellMar>
        <w:top w:w="0" w:type="dxa"/>
        <w:left w:w="108" w:type="dxa"/>
        <w:bottom w:w="0" w:type="dxa"/>
        <w:right w:w="108" w:type="dxa"/>
      </w:tblCellMar>
    </w:tblPr>
  </w:style>
  <w:style w:type="paragraph" w:customStyle="1" w:styleId="NotesHeading1">
    <w:name w:val="NotesHeading 1"/>
    <w:basedOn w:val="OPCParaBase"/>
    <w:next w:val="Normal"/>
    <w:rsid w:val="00C74590"/>
    <w:rPr>
      <w:b/>
      <w:sz w:val="28"/>
      <w:szCs w:val="28"/>
    </w:rPr>
  </w:style>
  <w:style w:type="paragraph" w:customStyle="1" w:styleId="NotesHeading2">
    <w:name w:val="NotesHeading 2"/>
    <w:basedOn w:val="OPCParaBase"/>
    <w:next w:val="Normal"/>
    <w:rsid w:val="00C74590"/>
    <w:rPr>
      <w:b/>
      <w:sz w:val="28"/>
      <w:szCs w:val="28"/>
    </w:rPr>
  </w:style>
  <w:style w:type="paragraph" w:customStyle="1" w:styleId="SignCoverPageEnd">
    <w:name w:val="SignCoverPageEnd"/>
    <w:basedOn w:val="OPCParaBase"/>
    <w:next w:val="Normal"/>
    <w:rsid w:val="00C74590"/>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74590"/>
    <w:pPr>
      <w:pBdr>
        <w:top w:val="single" w:sz="4" w:space="1" w:color="auto"/>
      </w:pBdr>
      <w:spacing w:before="360"/>
      <w:ind w:right="397"/>
      <w:jc w:val="both"/>
    </w:pPr>
  </w:style>
  <w:style w:type="paragraph" w:customStyle="1" w:styleId="Paragraphsub-sub-sub">
    <w:name w:val="Paragraph(sub-sub-sub)"/>
    <w:aliases w:val="aaaa"/>
    <w:basedOn w:val="OPCParaBase"/>
    <w:rsid w:val="00C7459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74590"/>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4590"/>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4590"/>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4590"/>
    <w:pPr>
      <w:tabs>
        <w:tab w:val="right" w:pos="1412"/>
      </w:tabs>
      <w:spacing w:before="60" w:line="240" w:lineRule="auto"/>
      <w:ind w:left="1525" w:hanging="1525"/>
    </w:pPr>
    <w:rPr>
      <w:sz w:val="20"/>
    </w:rPr>
  </w:style>
  <w:style w:type="paragraph" w:customStyle="1" w:styleId="ENotesHeading1">
    <w:name w:val="ENotesHeading 1"/>
    <w:aliases w:val="Enh1"/>
    <w:basedOn w:val="OPCParaBase"/>
    <w:next w:val="ENotesHeading2"/>
    <w:rsid w:val="00C74590"/>
    <w:pPr>
      <w:spacing w:before="120"/>
      <w:outlineLvl w:val="0"/>
    </w:pPr>
    <w:rPr>
      <w:b/>
      <w:sz w:val="28"/>
      <w:szCs w:val="28"/>
    </w:rPr>
  </w:style>
  <w:style w:type="paragraph" w:customStyle="1" w:styleId="ENotesHeading2">
    <w:name w:val="ENotesHeading 2"/>
    <w:aliases w:val="Enh2"/>
    <w:basedOn w:val="OPCParaBase"/>
    <w:next w:val="ENotesHeading3"/>
    <w:rsid w:val="00C74590"/>
    <w:pPr>
      <w:spacing w:before="120" w:after="120"/>
      <w:outlineLvl w:val="6"/>
    </w:pPr>
    <w:rPr>
      <w:b/>
      <w:sz w:val="24"/>
      <w:szCs w:val="28"/>
    </w:rPr>
  </w:style>
  <w:style w:type="paragraph" w:customStyle="1" w:styleId="ENotesHeading3">
    <w:name w:val="ENotesHeading 3"/>
    <w:aliases w:val="Enh3"/>
    <w:basedOn w:val="OPCParaBase"/>
    <w:next w:val="Normal"/>
    <w:rsid w:val="00C74590"/>
    <w:pPr>
      <w:spacing w:before="120" w:line="240" w:lineRule="auto"/>
      <w:outlineLvl w:val="7"/>
    </w:pPr>
    <w:rPr>
      <w:b/>
      <w:szCs w:val="24"/>
    </w:rPr>
  </w:style>
  <w:style w:type="paragraph" w:customStyle="1" w:styleId="ENotesText">
    <w:name w:val="ENotesText"/>
    <w:aliases w:val="Ent"/>
    <w:basedOn w:val="OPCParaBase"/>
    <w:next w:val="Normal"/>
    <w:rsid w:val="00C74590"/>
    <w:pPr>
      <w:spacing w:before="120"/>
    </w:pPr>
  </w:style>
  <w:style w:type="paragraph" w:customStyle="1" w:styleId="TableTextEndNotes">
    <w:name w:val="TableTextEndNotes"/>
    <w:aliases w:val="Tten"/>
    <w:basedOn w:val="Normal"/>
    <w:rsid w:val="00C74590"/>
    <w:pPr>
      <w:spacing w:before="60" w:line="240" w:lineRule="auto"/>
    </w:pPr>
    <w:rPr>
      <w:rFonts w:cs="Arial"/>
      <w:sz w:val="20"/>
      <w:szCs w:val="22"/>
    </w:rPr>
  </w:style>
  <w:style w:type="character" w:customStyle="1" w:styleId="ActHead7Char">
    <w:name w:val="ActHead 7 Char"/>
    <w:aliases w:val="ap Char"/>
    <w:link w:val="ActHead7"/>
    <w:rsid w:val="00F10780"/>
    <w:rPr>
      <w:rFonts w:ascii="Arial" w:eastAsia="Times New Roman" w:hAnsi="Arial" w:cs="Times New Roman"/>
      <w:b/>
      <w:kern w:val="28"/>
      <w:sz w:val="28"/>
      <w:lang w:eastAsia="en-AU"/>
    </w:rPr>
  </w:style>
  <w:style w:type="character" w:customStyle="1" w:styleId="paragraphChar">
    <w:name w:val="paragraph Char"/>
    <w:aliases w:val="a Char"/>
    <w:link w:val="paragraph"/>
    <w:rsid w:val="00F10780"/>
    <w:rPr>
      <w:rFonts w:eastAsia="Times New Roman" w:cs="Times New Roman"/>
      <w:sz w:val="22"/>
      <w:lang w:eastAsia="en-AU"/>
    </w:rPr>
  </w:style>
  <w:style w:type="character" w:customStyle="1" w:styleId="ActHead8Char">
    <w:name w:val="ActHead 8 Char"/>
    <w:aliases w:val="ad Char"/>
    <w:link w:val="ActHead8"/>
    <w:rsid w:val="00F10780"/>
    <w:rPr>
      <w:rFonts w:ascii="Arial" w:eastAsia="Times New Roman" w:hAnsi="Arial" w:cs="Times New Roman"/>
      <w:b/>
      <w:kern w:val="28"/>
      <w:sz w:val="26"/>
      <w:lang w:eastAsia="en-AU"/>
    </w:rPr>
  </w:style>
  <w:style w:type="paragraph" w:customStyle="1" w:styleId="SubPartCASA">
    <w:name w:val="SubPart(CASA)"/>
    <w:aliases w:val="csp"/>
    <w:basedOn w:val="OPCParaBase"/>
    <w:next w:val="ActHead3"/>
    <w:rsid w:val="00C74590"/>
    <w:pPr>
      <w:keepNext/>
      <w:keepLines/>
      <w:spacing w:before="280"/>
      <w:outlineLvl w:val="1"/>
    </w:pPr>
    <w:rPr>
      <w:b/>
      <w:kern w:val="28"/>
      <w:sz w:val="32"/>
    </w:rPr>
  </w:style>
  <w:style w:type="paragraph" w:customStyle="1" w:styleId="TableHeading">
    <w:name w:val="TableHeading"/>
    <w:aliases w:val="th"/>
    <w:basedOn w:val="OPCParaBase"/>
    <w:next w:val="Tabletext"/>
    <w:rsid w:val="00C74590"/>
    <w:pPr>
      <w:spacing w:before="60" w:line="240" w:lineRule="atLeast"/>
    </w:pPr>
    <w:rPr>
      <w:b/>
      <w:sz w:val="20"/>
    </w:rPr>
  </w:style>
  <w:style w:type="paragraph" w:customStyle="1" w:styleId="NoteToSubpara">
    <w:name w:val="NoteToSubpara"/>
    <w:aliases w:val="nts"/>
    <w:basedOn w:val="OPCParaBase"/>
    <w:rsid w:val="00C74590"/>
    <w:pPr>
      <w:spacing w:before="40" w:line="198" w:lineRule="exact"/>
      <w:ind w:left="2835" w:hanging="709"/>
    </w:pPr>
    <w:rPr>
      <w:sz w:val="18"/>
    </w:rPr>
  </w:style>
  <w:style w:type="paragraph" w:customStyle="1" w:styleId="ShortTP1">
    <w:name w:val="ShortTP1"/>
    <w:basedOn w:val="ShortT"/>
    <w:link w:val="ShortTP1Char"/>
    <w:rsid w:val="00BE2E59"/>
    <w:pPr>
      <w:spacing w:before="800"/>
    </w:pPr>
  </w:style>
  <w:style w:type="character" w:customStyle="1" w:styleId="OPCParaBaseChar">
    <w:name w:val="OPCParaBase Char"/>
    <w:basedOn w:val="DefaultParagraphFont"/>
    <w:link w:val="OPCParaBase"/>
    <w:rsid w:val="00BE2E59"/>
    <w:rPr>
      <w:rFonts w:eastAsia="Times New Roman" w:cs="Times New Roman"/>
      <w:sz w:val="22"/>
      <w:lang w:eastAsia="en-AU"/>
    </w:rPr>
  </w:style>
  <w:style w:type="character" w:customStyle="1" w:styleId="ShortTChar">
    <w:name w:val="ShortT Char"/>
    <w:basedOn w:val="OPCParaBaseChar"/>
    <w:link w:val="ShortT"/>
    <w:rsid w:val="00BE2E59"/>
    <w:rPr>
      <w:rFonts w:eastAsia="Times New Roman" w:cs="Times New Roman"/>
      <w:b/>
      <w:sz w:val="40"/>
      <w:lang w:eastAsia="en-AU"/>
    </w:rPr>
  </w:style>
  <w:style w:type="character" w:customStyle="1" w:styleId="ShortTP1Char">
    <w:name w:val="ShortTP1 Char"/>
    <w:basedOn w:val="ShortTChar"/>
    <w:link w:val="ShortTP1"/>
    <w:rsid w:val="00BE2E59"/>
    <w:rPr>
      <w:rFonts w:eastAsia="Times New Roman" w:cs="Times New Roman"/>
      <w:b/>
      <w:sz w:val="40"/>
      <w:lang w:eastAsia="en-AU"/>
    </w:rPr>
  </w:style>
  <w:style w:type="paragraph" w:customStyle="1" w:styleId="ActNoP1">
    <w:name w:val="ActNoP1"/>
    <w:basedOn w:val="Actno"/>
    <w:link w:val="ActNoP1Char"/>
    <w:rsid w:val="00BE2E59"/>
    <w:pPr>
      <w:spacing w:before="800"/>
    </w:pPr>
    <w:rPr>
      <w:sz w:val="28"/>
    </w:rPr>
  </w:style>
  <w:style w:type="character" w:customStyle="1" w:styleId="ActnoChar">
    <w:name w:val="Actno Char"/>
    <w:basedOn w:val="ShortTChar"/>
    <w:link w:val="Actno"/>
    <w:rsid w:val="00BE2E59"/>
    <w:rPr>
      <w:rFonts w:eastAsia="Times New Roman" w:cs="Times New Roman"/>
      <w:b/>
      <w:sz w:val="40"/>
      <w:lang w:eastAsia="en-AU"/>
    </w:rPr>
  </w:style>
  <w:style w:type="character" w:customStyle="1" w:styleId="ActNoP1Char">
    <w:name w:val="ActNoP1 Char"/>
    <w:basedOn w:val="ActnoChar"/>
    <w:link w:val="ActNoP1"/>
    <w:rsid w:val="00BE2E59"/>
    <w:rPr>
      <w:rFonts w:eastAsia="Times New Roman" w:cs="Times New Roman"/>
      <w:b/>
      <w:sz w:val="28"/>
      <w:lang w:eastAsia="en-AU"/>
    </w:rPr>
  </w:style>
  <w:style w:type="paragraph" w:customStyle="1" w:styleId="p1LinesBef">
    <w:name w:val="p1LinesBef"/>
    <w:basedOn w:val="Normal"/>
    <w:rsid w:val="00BE2E59"/>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BE2E59"/>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BE2E59"/>
  </w:style>
  <w:style w:type="character" w:customStyle="1" w:styleId="ShortTCPChar">
    <w:name w:val="ShortTCP Char"/>
    <w:basedOn w:val="ShortTChar"/>
    <w:link w:val="ShortTCP"/>
    <w:rsid w:val="00BE2E59"/>
    <w:rPr>
      <w:rFonts w:eastAsia="Times New Roman" w:cs="Times New Roman"/>
      <w:b/>
      <w:sz w:val="40"/>
      <w:lang w:eastAsia="en-AU"/>
    </w:rPr>
  </w:style>
  <w:style w:type="paragraph" w:customStyle="1" w:styleId="ActNoCP">
    <w:name w:val="ActNoCP"/>
    <w:basedOn w:val="Actno"/>
    <w:link w:val="ActNoCPChar"/>
    <w:rsid w:val="00BE2E59"/>
    <w:pPr>
      <w:spacing w:before="400"/>
    </w:pPr>
  </w:style>
  <w:style w:type="character" w:customStyle="1" w:styleId="ActNoCPChar">
    <w:name w:val="ActNoCP Char"/>
    <w:basedOn w:val="ActnoChar"/>
    <w:link w:val="ActNoCP"/>
    <w:rsid w:val="00BE2E59"/>
    <w:rPr>
      <w:rFonts w:eastAsia="Times New Roman" w:cs="Times New Roman"/>
      <w:b/>
      <w:sz w:val="40"/>
      <w:lang w:eastAsia="en-AU"/>
    </w:rPr>
  </w:style>
  <w:style w:type="paragraph" w:customStyle="1" w:styleId="AssentBk">
    <w:name w:val="AssentBk"/>
    <w:basedOn w:val="Normal"/>
    <w:rsid w:val="00BE2E59"/>
    <w:pPr>
      <w:spacing w:line="240" w:lineRule="auto"/>
    </w:pPr>
    <w:rPr>
      <w:rFonts w:eastAsia="Times New Roman" w:cs="Times New Roman"/>
      <w:sz w:val="20"/>
      <w:lang w:eastAsia="en-AU"/>
    </w:rPr>
  </w:style>
  <w:style w:type="paragraph" w:customStyle="1" w:styleId="AssentDt">
    <w:name w:val="AssentDt"/>
    <w:basedOn w:val="Normal"/>
    <w:rsid w:val="007429EE"/>
    <w:pPr>
      <w:spacing w:line="240" w:lineRule="auto"/>
    </w:pPr>
    <w:rPr>
      <w:rFonts w:eastAsia="Times New Roman" w:cs="Times New Roman"/>
      <w:sz w:val="20"/>
      <w:lang w:eastAsia="en-AU"/>
    </w:rPr>
  </w:style>
  <w:style w:type="paragraph" w:customStyle="1" w:styleId="2ndRd">
    <w:name w:val="2ndRd"/>
    <w:basedOn w:val="Normal"/>
    <w:rsid w:val="007429EE"/>
    <w:pPr>
      <w:spacing w:line="240" w:lineRule="auto"/>
    </w:pPr>
    <w:rPr>
      <w:rFonts w:eastAsia="Times New Roman" w:cs="Times New Roman"/>
      <w:sz w:val="20"/>
      <w:lang w:eastAsia="en-AU"/>
    </w:rPr>
  </w:style>
  <w:style w:type="paragraph" w:customStyle="1" w:styleId="ScalePlusRef">
    <w:name w:val="ScalePlusRef"/>
    <w:basedOn w:val="Normal"/>
    <w:rsid w:val="007429EE"/>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microsoft.com/office/2007/relationships/stylesWithEffects" Target="stylesWithEffect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ttsa\AppData\Roaming\Microsoft\Template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18</Pages>
  <Words>2877</Words>
  <Characters>14644</Characters>
  <Application>Microsoft Office Word</Application>
  <DocSecurity>4</DocSecurity>
  <PresentationFormat/>
  <Lines>406</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17281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2013-02-12T01:17:00Z</cp:lastPrinted>
  <dcterms:created xsi:type="dcterms:W3CDTF">2013-07-09T03:34:00Z</dcterms:created>
  <dcterms:modified xsi:type="dcterms:W3CDTF">2013-07-09T03:34:00Z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Aged Care Quality Agency (Transitional Provisions) Act 2013</vt:lpwstr>
  </property>
  <property fmtid="{D5CDD505-2E9C-101B-9397-08002B2CF9AE}" pid="3" name="Actno">
    <vt:lpwstr>No. 78, 2013</vt:lpwstr>
  </property>
  <property fmtid="{D5CDD505-2E9C-101B-9397-08002B2CF9AE}" pid="4" name="Class">
    <vt:lpwstr/>
  </property>
  <property fmtid="{D5CDD505-2E9C-101B-9397-08002B2CF9AE}" pid="5" name="Type">
    <vt:lpwstr>BILL</vt:lpwstr>
  </property>
  <property fmtid="{D5CDD505-2E9C-101B-9397-08002B2CF9AE}" pid="6" name="DocType">
    <vt:lpwstr>AMD</vt:lpwstr>
  </property>
  <property fmtid="{D5CDD505-2E9C-101B-9397-08002B2CF9AE}" pid="7" name="Classification">
    <vt:lpwstr> </vt:lpwstr>
  </property>
  <property fmtid="{D5CDD505-2E9C-101B-9397-08002B2CF9AE}" pid="8" name="ID">
    <vt:lpwstr>OPC4981</vt:lpwstr>
  </property>
</Properties>
</file>