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2127" w:rsidRDefault="00D02127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4pt;height:78pt" o:ole="" fillcolor="window">
            <v:imagedata r:id="rId8" o:title=""/>
          </v:shape>
          <o:OLEObject Type="Embed" ProgID="Word.Picture.8" ShapeID="_x0000_i1025" DrawAspect="Content" ObjectID="_1432714882" r:id="rId9"/>
        </w:object>
      </w:r>
    </w:p>
    <w:p w:rsidR="00D02127" w:rsidRDefault="00D02127"/>
    <w:p w:rsidR="00D02127" w:rsidRDefault="00D02127" w:rsidP="00D02127">
      <w:pPr>
        <w:spacing w:line="240" w:lineRule="auto"/>
      </w:pPr>
    </w:p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715914" w:rsidRPr="00390B6D" w:rsidRDefault="000802F2" w:rsidP="00715914">
      <w:pPr>
        <w:pStyle w:val="ShortT"/>
      </w:pPr>
      <w:r w:rsidRPr="00390B6D">
        <w:t>Not</w:t>
      </w:r>
      <w:r w:rsidR="00DD25A4">
        <w:noBreakHyphen/>
      </w:r>
      <w:r w:rsidRPr="00390B6D">
        <w:t>for</w:t>
      </w:r>
      <w:r w:rsidR="00DD25A4">
        <w:noBreakHyphen/>
      </w:r>
      <w:r w:rsidR="00D208EE" w:rsidRPr="00390B6D">
        <w:t>p</w:t>
      </w:r>
      <w:r w:rsidRPr="00390B6D">
        <w:t xml:space="preserve">rofit Sector Freedom to Advocate </w:t>
      </w:r>
      <w:r w:rsidR="00D02127">
        <w:t>Act</w:t>
      </w:r>
      <w:r w:rsidRPr="00390B6D">
        <w:t xml:space="preserve"> 2013</w:t>
      </w:r>
    </w:p>
    <w:p w:rsidR="00715914" w:rsidRPr="00390B6D" w:rsidRDefault="00715914" w:rsidP="00715914"/>
    <w:p w:rsidR="00715914" w:rsidRPr="00390B6D" w:rsidRDefault="00715914" w:rsidP="00D02127">
      <w:pPr>
        <w:pStyle w:val="Actno"/>
        <w:spacing w:before="400"/>
      </w:pPr>
      <w:r w:rsidRPr="00390B6D">
        <w:t>No.</w:t>
      </w:r>
      <w:r w:rsidR="00324303">
        <w:t xml:space="preserve"> 56</w:t>
      </w:r>
      <w:r w:rsidR="001F5D5E" w:rsidRPr="00390B6D">
        <w:t>, 201</w:t>
      </w:r>
      <w:r w:rsidR="00990ED3" w:rsidRPr="00390B6D">
        <w:t>3</w:t>
      </w:r>
    </w:p>
    <w:p w:rsidR="00715914" w:rsidRPr="00390B6D" w:rsidRDefault="00715914" w:rsidP="00715914"/>
    <w:p w:rsidR="00D02127" w:rsidRDefault="00D02127" w:rsidP="00D02127"/>
    <w:p w:rsidR="00D02127" w:rsidRDefault="00D02127" w:rsidP="00D02127"/>
    <w:p w:rsidR="00D02127" w:rsidRDefault="00D02127" w:rsidP="00D02127"/>
    <w:p w:rsidR="00D02127" w:rsidRDefault="00D02127" w:rsidP="00D02127"/>
    <w:p w:rsidR="00715914" w:rsidRPr="00390B6D" w:rsidRDefault="00D02127" w:rsidP="002D2E44">
      <w:pPr>
        <w:pStyle w:val="LongT"/>
      </w:pPr>
      <w:r>
        <w:t>An Act</w:t>
      </w:r>
      <w:r w:rsidR="00715914" w:rsidRPr="00390B6D">
        <w:t xml:space="preserve"> </w:t>
      </w:r>
      <w:r w:rsidR="00830F38" w:rsidRPr="00390B6D">
        <w:t xml:space="preserve">to prohibit Commonwealth </w:t>
      </w:r>
      <w:r w:rsidR="00EE1107" w:rsidRPr="00390B6D">
        <w:t>agreements from restricting or preventing not</w:t>
      </w:r>
      <w:r w:rsidR="00DD25A4">
        <w:noBreakHyphen/>
      </w:r>
      <w:r w:rsidR="00EE1107" w:rsidRPr="00390B6D">
        <w:t>for</w:t>
      </w:r>
      <w:r w:rsidR="00DD25A4">
        <w:noBreakHyphen/>
      </w:r>
      <w:r w:rsidR="00EE1107" w:rsidRPr="00390B6D">
        <w:t>profit entities from commenting on, adv</w:t>
      </w:r>
      <w:r w:rsidR="00CB18E3" w:rsidRPr="00390B6D">
        <w:t>ocating support for or opposing</w:t>
      </w:r>
      <w:r w:rsidR="00EE1107" w:rsidRPr="00390B6D">
        <w:t xml:space="preserve"> changes to Commonwealth</w:t>
      </w:r>
      <w:r w:rsidR="00830F38" w:rsidRPr="00390B6D">
        <w:t xml:space="preserve"> law, policy or practice, </w:t>
      </w:r>
      <w:r w:rsidR="00715914" w:rsidRPr="00390B6D">
        <w:t>and for related purposes</w:t>
      </w:r>
    </w:p>
    <w:p w:rsidR="00715914" w:rsidRPr="00390B6D" w:rsidRDefault="00715914" w:rsidP="00715914">
      <w:pPr>
        <w:pStyle w:val="Header"/>
        <w:tabs>
          <w:tab w:val="clear" w:pos="4150"/>
          <w:tab w:val="clear" w:pos="8307"/>
        </w:tabs>
      </w:pPr>
      <w:r w:rsidRPr="00390B6D">
        <w:rPr>
          <w:rStyle w:val="CharChapNo"/>
        </w:rPr>
        <w:t xml:space="preserve"> </w:t>
      </w:r>
      <w:r w:rsidRPr="00390B6D">
        <w:rPr>
          <w:rStyle w:val="CharChapText"/>
        </w:rPr>
        <w:t xml:space="preserve"> </w:t>
      </w:r>
    </w:p>
    <w:p w:rsidR="00715914" w:rsidRPr="00390B6D" w:rsidRDefault="00715914" w:rsidP="00715914">
      <w:pPr>
        <w:pStyle w:val="Header"/>
        <w:tabs>
          <w:tab w:val="clear" w:pos="4150"/>
          <w:tab w:val="clear" w:pos="8307"/>
        </w:tabs>
      </w:pPr>
      <w:r w:rsidRPr="00390B6D">
        <w:rPr>
          <w:rStyle w:val="CharPartNo"/>
        </w:rPr>
        <w:t xml:space="preserve"> </w:t>
      </w:r>
      <w:r w:rsidRPr="00390B6D">
        <w:rPr>
          <w:rStyle w:val="CharPartText"/>
        </w:rPr>
        <w:t xml:space="preserve"> </w:t>
      </w:r>
    </w:p>
    <w:p w:rsidR="00715914" w:rsidRPr="00390B6D" w:rsidRDefault="00715914" w:rsidP="00715914">
      <w:pPr>
        <w:pStyle w:val="Header"/>
        <w:tabs>
          <w:tab w:val="clear" w:pos="4150"/>
          <w:tab w:val="clear" w:pos="8307"/>
        </w:tabs>
      </w:pPr>
      <w:r w:rsidRPr="00390B6D">
        <w:rPr>
          <w:rStyle w:val="CharDivNo"/>
        </w:rPr>
        <w:t xml:space="preserve"> </w:t>
      </w:r>
      <w:r w:rsidRPr="00390B6D">
        <w:rPr>
          <w:rStyle w:val="CharDivText"/>
        </w:rPr>
        <w:t xml:space="preserve"> </w:t>
      </w:r>
    </w:p>
    <w:p w:rsidR="00715914" w:rsidRPr="00390B6D" w:rsidRDefault="00715914" w:rsidP="00715914">
      <w:pPr>
        <w:sectPr w:rsidR="00715914" w:rsidRPr="00390B6D" w:rsidSect="00D0212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390B6D" w:rsidRDefault="00715914" w:rsidP="002D2E44">
      <w:pPr>
        <w:rPr>
          <w:sz w:val="36"/>
        </w:rPr>
      </w:pPr>
      <w:r w:rsidRPr="00390B6D">
        <w:rPr>
          <w:sz w:val="36"/>
        </w:rPr>
        <w:lastRenderedPageBreak/>
        <w:t>Contents</w:t>
      </w:r>
    </w:p>
    <w:bookmarkStart w:id="1" w:name="BKCheck15B_1"/>
    <w:bookmarkEnd w:id="1"/>
    <w:p w:rsidR="00D02127" w:rsidRDefault="00D021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02127">
        <w:rPr>
          <w:noProof/>
        </w:rPr>
        <w:tab/>
      </w:r>
      <w:r w:rsidRPr="00D02127">
        <w:rPr>
          <w:noProof/>
        </w:rPr>
        <w:fldChar w:fldCharType="begin"/>
      </w:r>
      <w:r w:rsidRPr="00D02127">
        <w:rPr>
          <w:noProof/>
        </w:rPr>
        <w:instrText xml:space="preserve"> PAGEREF _Toc357605656 \h </w:instrText>
      </w:r>
      <w:r w:rsidRPr="00D02127">
        <w:rPr>
          <w:noProof/>
        </w:rPr>
      </w:r>
      <w:r w:rsidRPr="00D02127">
        <w:rPr>
          <w:noProof/>
        </w:rPr>
        <w:fldChar w:fldCharType="separate"/>
      </w:r>
      <w:r w:rsidR="00286378">
        <w:rPr>
          <w:noProof/>
        </w:rPr>
        <w:t>2</w:t>
      </w:r>
      <w:r w:rsidRPr="00D02127">
        <w:rPr>
          <w:noProof/>
        </w:rPr>
        <w:fldChar w:fldCharType="end"/>
      </w:r>
    </w:p>
    <w:p w:rsidR="00D02127" w:rsidRDefault="00D021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02127">
        <w:rPr>
          <w:noProof/>
        </w:rPr>
        <w:tab/>
      </w:r>
      <w:r w:rsidRPr="00D02127">
        <w:rPr>
          <w:noProof/>
        </w:rPr>
        <w:fldChar w:fldCharType="begin"/>
      </w:r>
      <w:r w:rsidRPr="00D02127">
        <w:rPr>
          <w:noProof/>
        </w:rPr>
        <w:instrText xml:space="preserve"> PAGEREF _Toc357605657 \h </w:instrText>
      </w:r>
      <w:r w:rsidRPr="00D02127">
        <w:rPr>
          <w:noProof/>
        </w:rPr>
      </w:r>
      <w:r w:rsidRPr="00D02127">
        <w:rPr>
          <w:noProof/>
        </w:rPr>
        <w:fldChar w:fldCharType="separate"/>
      </w:r>
      <w:r w:rsidR="00286378">
        <w:rPr>
          <w:noProof/>
        </w:rPr>
        <w:t>2</w:t>
      </w:r>
      <w:r w:rsidRPr="00D02127">
        <w:rPr>
          <w:noProof/>
        </w:rPr>
        <w:fldChar w:fldCharType="end"/>
      </w:r>
    </w:p>
    <w:p w:rsidR="00D02127" w:rsidRDefault="00D021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Definitions</w:t>
      </w:r>
      <w:r w:rsidRPr="00D02127">
        <w:rPr>
          <w:noProof/>
        </w:rPr>
        <w:tab/>
      </w:r>
      <w:r w:rsidRPr="00D02127">
        <w:rPr>
          <w:noProof/>
        </w:rPr>
        <w:fldChar w:fldCharType="begin"/>
      </w:r>
      <w:r w:rsidRPr="00D02127">
        <w:rPr>
          <w:noProof/>
        </w:rPr>
        <w:instrText xml:space="preserve"> PAGEREF _Toc357605658 \h </w:instrText>
      </w:r>
      <w:r w:rsidRPr="00D02127">
        <w:rPr>
          <w:noProof/>
        </w:rPr>
      </w:r>
      <w:r w:rsidRPr="00D02127">
        <w:rPr>
          <w:noProof/>
        </w:rPr>
        <w:fldChar w:fldCharType="separate"/>
      </w:r>
      <w:r w:rsidR="00286378">
        <w:rPr>
          <w:noProof/>
        </w:rPr>
        <w:t>2</w:t>
      </w:r>
      <w:r w:rsidRPr="00D02127">
        <w:rPr>
          <w:noProof/>
        </w:rPr>
        <w:fldChar w:fldCharType="end"/>
      </w:r>
    </w:p>
    <w:p w:rsidR="00D02127" w:rsidRDefault="00D021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Agency not to include prohibited content in Commonwealth agreement</w:t>
      </w:r>
      <w:r w:rsidRPr="00D02127">
        <w:rPr>
          <w:noProof/>
        </w:rPr>
        <w:tab/>
      </w:r>
      <w:r w:rsidRPr="00D02127">
        <w:rPr>
          <w:noProof/>
        </w:rPr>
        <w:fldChar w:fldCharType="begin"/>
      </w:r>
      <w:r w:rsidRPr="00D02127">
        <w:rPr>
          <w:noProof/>
        </w:rPr>
        <w:instrText xml:space="preserve"> PAGEREF _Toc357605659 \h </w:instrText>
      </w:r>
      <w:r w:rsidRPr="00D02127">
        <w:rPr>
          <w:noProof/>
        </w:rPr>
      </w:r>
      <w:r w:rsidRPr="00D02127">
        <w:rPr>
          <w:noProof/>
        </w:rPr>
        <w:fldChar w:fldCharType="separate"/>
      </w:r>
      <w:r w:rsidR="00286378">
        <w:rPr>
          <w:noProof/>
        </w:rPr>
        <w:t>3</w:t>
      </w:r>
      <w:r w:rsidRPr="00D02127">
        <w:rPr>
          <w:noProof/>
        </w:rPr>
        <w:fldChar w:fldCharType="end"/>
      </w:r>
    </w:p>
    <w:p w:rsidR="00D02127" w:rsidRDefault="00D021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Prohibited content</w:t>
      </w:r>
      <w:r w:rsidRPr="00D02127">
        <w:rPr>
          <w:noProof/>
        </w:rPr>
        <w:tab/>
      </w:r>
      <w:r w:rsidRPr="00D02127">
        <w:rPr>
          <w:noProof/>
        </w:rPr>
        <w:fldChar w:fldCharType="begin"/>
      </w:r>
      <w:r w:rsidRPr="00D02127">
        <w:rPr>
          <w:noProof/>
        </w:rPr>
        <w:instrText xml:space="preserve"> PAGEREF _Toc357605660 \h </w:instrText>
      </w:r>
      <w:r w:rsidRPr="00D02127">
        <w:rPr>
          <w:noProof/>
        </w:rPr>
      </w:r>
      <w:r w:rsidRPr="00D02127">
        <w:rPr>
          <w:noProof/>
        </w:rPr>
        <w:fldChar w:fldCharType="separate"/>
      </w:r>
      <w:r w:rsidR="00286378">
        <w:rPr>
          <w:noProof/>
        </w:rPr>
        <w:t>3</w:t>
      </w:r>
      <w:r w:rsidRPr="00D02127">
        <w:rPr>
          <w:noProof/>
        </w:rPr>
        <w:fldChar w:fldCharType="end"/>
      </w:r>
    </w:p>
    <w:p w:rsidR="00D02127" w:rsidRDefault="00D021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Compensation for acquisition of property</w:t>
      </w:r>
      <w:r w:rsidRPr="00D02127">
        <w:rPr>
          <w:noProof/>
        </w:rPr>
        <w:tab/>
      </w:r>
      <w:r w:rsidRPr="00D02127">
        <w:rPr>
          <w:noProof/>
        </w:rPr>
        <w:fldChar w:fldCharType="begin"/>
      </w:r>
      <w:r w:rsidRPr="00D02127">
        <w:rPr>
          <w:noProof/>
        </w:rPr>
        <w:instrText xml:space="preserve"> PAGEREF _Toc357605661 \h </w:instrText>
      </w:r>
      <w:r w:rsidRPr="00D02127">
        <w:rPr>
          <w:noProof/>
        </w:rPr>
      </w:r>
      <w:r w:rsidRPr="00D02127">
        <w:rPr>
          <w:noProof/>
        </w:rPr>
        <w:fldChar w:fldCharType="separate"/>
      </w:r>
      <w:r w:rsidR="00286378">
        <w:rPr>
          <w:noProof/>
        </w:rPr>
        <w:t>3</w:t>
      </w:r>
      <w:r w:rsidRPr="00D02127">
        <w:rPr>
          <w:noProof/>
        </w:rPr>
        <w:fldChar w:fldCharType="end"/>
      </w:r>
    </w:p>
    <w:p w:rsidR="00D02127" w:rsidRDefault="00D0212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Application</w:t>
      </w:r>
      <w:r w:rsidRPr="00D02127">
        <w:rPr>
          <w:noProof/>
        </w:rPr>
        <w:tab/>
      </w:r>
      <w:r w:rsidRPr="00D02127">
        <w:rPr>
          <w:noProof/>
        </w:rPr>
        <w:fldChar w:fldCharType="begin"/>
      </w:r>
      <w:r w:rsidRPr="00D02127">
        <w:rPr>
          <w:noProof/>
        </w:rPr>
        <w:instrText xml:space="preserve"> PAGEREF _Toc357605662 \h </w:instrText>
      </w:r>
      <w:r w:rsidRPr="00D02127">
        <w:rPr>
          <w:noProof/>
        </w:rPr>
      </w:r>
      <w:r w:rsidRPr="00D02127">
        <w:rPr>
          <w:noProof/>
        </w:rPr>
        <w:fldChar w:fldCharType="separate"/>
      </w:r>
      <w:r w:rsidR="00286378">
        <w:rPr>
          <w:noProof/>
        </w:rPr>
        <w:t>4</w:t>
      </w:r>
      <w:r w:rsidRPr="00D02127">
        <w:rPr>
          <w:noProof/>
        </w:rPr>
        <w:fldChar w:fldCharType="end"/>
      </w:r>
    </w:p>
    <w:p w:rsidR="00715914" w:rsidRPr="00390B6D" w:rsidRDefault="00D02127" w:rsidP="00715914">
      <w:r>
        <w:fldChar w:fldCharType="end"/>
      </w:r>
    </w:p>
    <w:p w:rsidR="00715914" w:rsidRPr="00390B6D" w:rsidRDefault="00715914" w:rsidP="00715914">
      <w:pPr>
        <w:sectPr w:rsidR="00715914" w:rsidRPr="00390B6D" w:rsidSect="00D0212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D02127" w:rsidRDefault="00D02127">
      <w:r>
        <w:object w:dxaOrig="2146" w:dyaOrig="1561">
          <v:shape id="_x0000_i1026" type="#_x0000_t75" style="width:107.4pt;height:78pt" o:ole="" fillcolor="window">
            <v:imagedata r:id="rId8" o:title=""/>
          </v:shape>
          <o:OLEObject Type="Embed" ProgID="Word.Picture.8" ShapeID="_x0000_i1026" DrawAspect="Content" ObjectID="_1432714883" r:id="rId21"/>
        </w:object>
      </w:r>
    </w:p>
    <w:p w:rsidR="00D02127" w:rsidRDefault="00D02127"/>
    <w:p w:rsidR="00D02127" w:rsidRDefault="00D02127" w:rsidP="00D02127">
      <w:pPr>
        <w:spacing w:line="240" w:lineRule="auto"/>
      </w:pPr>
    </w:p>
    <w:p w:rsidR="00D02127" w:rsidRDefault="00240EB9" w:rsidP="00D02127">
      <w:pPr>
        <w:pStyle w:val="ShortTP1"/>
      </w:pPr>
      <w:fldSimple w:instr=" STYLEREF ShortT ">
        <w:r w:rsidR="00286378">
          <w:rPr>
            <w:noProof/>
          </w:rPr>
          <w:t>Not-for-profit Sector Freedom to Advocate Act 2013</w:t>
        </w:r>
      </w:fldSimple>
    </w:p>
    <w:p w:rsidR="00D02127" w:rsidRDefault="00240EB9" w:rsidP="00D02127">
      <w:pPr>
        <w:pStyle w:val="ActNoP1"/>
      </w:pPr>
      <w:fldSimple w:instr=" STYLEREF Actno ">
        <w:r w:rsidR="00286378">
          <w:rPr>
            <w:noProof/>
          </w:rPr>
          <w:t>No. 56, 2013</w:t>
        </w:r>
      </w:fldSimple>
    </w:p>
    <w:p w:rsidR="00D02127" w:rsidRDefault="00D02127">
      <w:pPr>
        <w:pStyle w:val="p1LinesBef"/>
      </w:pPr>
    </w:p>
    <w:p w:rsidR="00D02127" w:rsidRDefault="00D02127">
      <w:pPr>
        <w:spacing w:line="40" w:lineRule="exact"/>
        <w:rPr>
          <w:b/>
          <w:sz w:val="28"/>
        </w:rPr>
      </w:pPr>
    </w:p>
    <w:p w:rsidR="00D02127" w:rsidRDefault="00D02127">
      <w:pPr>
        <w:pStyle w:val="p1LinesAfter"/>
      </w:pPr>
    </w:p>
    <w:p w:rsidR="00715914" w:rsidRPr="00390B6D" w:rsidRDefault="00D02127" w:rsidP="00390B6D">
      <w:pPr>
        <w:pStyle w:val="Page1"/>
      </w:pPr>
      <w:r>
        <w:t>An Act</w:t>
      </w:r>
      <w:r w:rsidR="00715914" w:rsidRPr="00390B6D">
        <w:t xml:space="preserve"> </w:t>
      </w:r>
      <w:r w:rsidR="00B4506F" w:rsidRPr="00390B6D">
        <w:t>to prohibit Common</w:t>
      </w:r>
      <w:r w:rsidR="00D208EE" w:rsidRPr="00390B6D">
        <w:t xml:space="preserve">wealth agreements from </w:t>
      </w:r>
      <w:r w:rsidR="002F1274" w:rsidRPr="00390B6D">
        <w:t>restricting</w:t>
      </w:r>
      <w:r w:rsidR="00D208EE" w:rsidRPr="00390B6D">
        <w:t xml:space="preserve"> or</w:t>
      </w:r>
      <w:r w:rsidR="00B4506F" w:rsidRPr="00390B6D">
        <w:t xml:space="preserve"> preventing not</w:t>
      </w:r>
      <w:r w:rsidR="00DD25A4">
        <w:noBreakHyphen/>
      </w:r>
      <w:r w:rsidR="00B4506F" w:rsidRPr="00390B6D">
        <w:t>for</w:t>
      </w:r>
      <w:r w:rsidR="00DD25A4">
        <w:noBreakHyphen/>
      </w:r>
      <w:r w:rsidR="00B4506F" w:rsidRPr="00390B6D">
        <w:t>profit entities f</w:t>
      </w:r>
      <w:r w:rsidR="00830F38" w:rsidRPr="00390B6D">
        <w:t>rom commenting on, advocating support for</w:t>
      </w:r>
      <w:r w:rsidR="00EE1107" w:rsidRPr="00390B6D">
        <w:t xml:space="preserve"> or opposing</w:t>
      </w:r>
      <w:r w:rsidR="00830F38" w:rsidRPr="00390B6D">
        <w:t xml:space="preserve"> changes to Commonwealth law, policy or practice</w:t>
      </w:r>
      <w:r w:rsidR="00B4506F" w:rsidRPr="00390B6D">
        <w:t>, and for related purposes</w:t>
      </w:r>
    </w:p>
    <w:p w:rsidR="00324303" w:rsidRDefault="00324303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13 June 2013</w:t>
      </w:r>
      <w:r>
        <w:rPr>
          <w:sz w:val="24"/>
        </w:rPr>
        <w:t>]</w:t>
      </w:r>
    </w:p>
    <w:p w:rsidR="00715914" w:rsidRPr="00390B6D" w:rsidRDefault="00715914" w:rsidP="00390B6D">
      <w:pPr>
        <w:spacing w:before="240" w:line="240" w:lineRule="auto"/>
        <w:rPr>
          <w:sz w:val="32"/>
        </w:rPr>
      </w:pPr>
      <w:r w:rsidRPr="00390B6D">
        <w:rPr>
          <w:sz w:val="32"/>
        </w:rPr>
        <w:t>The Parliament of Australia enacts:</w:t>
      </w:r>
    </w:p>
    <w:p w:rsidR="00715914" w:rsidRPr="00390B6D" w:rsidRDefault="00715914" w:rsidP="00390B6D">
      <w:pPr>
        <w:pStyle w:val="ActHead5"/>
      </w:pPr>
      <w:bookmarkStart w:id="2" w:name="_Toc357605656"/>
      <w:r w:rsidRPr="00390B6D">
        <w:rPr>
          <w:rStyle w:val="CharSectno"/>
        </w:rPr>
        <w:lastRenderedPageBreak/>
        <w:t>1</w:t>
      </w:r>
      <w:r w:rsidRPr="00390B6D">
        <w:t xml:space="preserve">  Short title</w:t>
      </w:r>
      <w:bookmarkEnd w:id="2"/>
    </w:p>
    <w:p w:rsidR="00715914" w:rsidRPr="00390B6D" w:rsidRDefault="00715914" w:rsidP="00390B6D">
      <w:pPr>
        <w:pStyle w:val="subsection"/>
      </w:pPr>
      <w:r w:rsidRPr="00390B6D">
        <w:tab/>
      </w:r>
      <w:r w:rsidRPr="00390B6D">
        <w:tab/>
        <w:t xml:space="preserve">This Act may be cited as the </w:t>
      </w:r>
      <w:r w:rsidR="00B4506F" w:rsidRPr="00390B6D">
        <w:rPr>
          <w:i/>
        </w:rPr>
        <w:t>Not</w:t>
      </w:r>
      <w:r w:rsidR="00DD25A4">
        <w:rPr>
          <w:i/>
        </w:rPr>
        <w:noBreakHyphen/>
      </w:r>
      <w:r w:rsidR="00B4506F" w:rsidRPr="00390B6D">
        <w:rPr>
          <w:i/>
        </w:rPr>
        <w:t>for</w:t>
      </w:r>
      <w:r w:rsidR="00DD25A4">
        <w:rPr>
          <w:i/>
        </w:rPr>
        <w:noBreakHyphen/>
      </w:r>
      <w:r w:rsidR="00DC4875" w:rsidRPr="00390B6D">
        <w:rPr>
          <w:i/>
        </w:rPr>
        <w:t xml:space="preserve">profit </w:t>
      </w:r>
      <w:r w:rsidR="00B4506F" w:rsidRPr="00390B6D">
        <w:rPr>
          <w:i/>
        </w:rPr>
        <w:t xml:space="preserve">Sector Freedom to Advocate </w:t>
      </w:r>
      <w:r w:rsidR="001F5D5E" w:rsidRPr="00390B6D">
        <w:rPr>
          <w:i/>
        </w:rPr>
        <w:t>Act 201</w:t>
      </w:r>
      <w:r w:rsidR="00990ED3" w:rsidRPr="00390B6D">
        <w:rPr>
          <w:i/>
        </w:rPr>
        <w:t>3</w:t>
      </w:r>
      <w:r w:rsidRPr="00390B6D">
        <w:t>.</w:t>
      </w:r>
    </w:p>
    <w:p w:rsidR="00715914" w:rsidRPr="00390B6D" w:rsidRDefault="00715914" w:rsidP="00390B6D">
      <w:pPr>
        <w:pStyle w:val="ActHead5"/>
      </w:pPr>
      <w:bookmarkStart w:id="3" w:name="_Toc357605657"/>
      <w:r w:rsidRPr="00390B6D">
        <w:rPr>
          <w:rStyle w:val="CharSectno"/>
        </w:rPr>
        <w:t>2</w:t>
      </w:r>
      <w:r w:rsidRPr="00390B6D">
        <w:t xml:space="preserve">  Commencement</w:t>
      </w:r>
      <w:bookmarkEnd w:id="3"/>
    </w:p>
    <w:p w:rsidR="00DC4875" w:rsidRPr="00390B6D" w:rsidRDefault="00DC4875" w:rsidP="00390B6D">
      <w:pPr>
        <w:pStyle w:val="subsection"/>
      </w:pPr>
      <w:r w:rsidRPr="00390B6D">
        <w:tab/>
      </w:r>
      <w:r w:rsidRPr="00390B6D">
        <w:tab/>
        <w:t>This Act commences on the day after this Act receives the Royal Assent.</w:t>
      </w:r>
    </w:p>
    <w:p w:rsidR="0080491E" w:rsidRPr="00390B6D" w:rsidRDefault="00B4506F" w:rsidP="00390B6D">
      <w:pPr>
        <w:pStyle w:val="ActHead5"/>
      </w:pPr>
      <w:bookmarkStart w:id="4" w:name="_Toc357605658"/>
      <w:r w:rsidRPr="00390B6D">
        <w:rPr>
          <w:rStyle w:val="CharSectno"/>
        </w:rPr>
        <w:t>3</w:t>
      </w:r>
      <w:r w:rsidRPr="00390B6D">
        <w:t xml:space="preserve">  </w:t>
      </w:r>
      <w:r w:rsidR="0080491E" w:rsidRPr="00390B6D">
        <w:t>Definitions</w:t>
      </w:r>
      <w:bookmarkEnd w:id="4"/>
    </w:p>
    <w:p w:rsidR="0080491E" w:rsidRPr="00390B6D" w:rsidRDefault="0080491E" w:rsidP="00390B6D">
      <w:pPr>
        <w:pStyle w:val="subsection"/>
      </w:pPr>
      <w:r w:rsidRPr="00390B6D">
        <w:tab/>
      </w:r>
      <w:r w:rsidRPr="00390B6D">
        <w:tab/>
        <w:t>In this Act:</w:t>
      </w:r>
    </w:p>
    <w:p w:rsidR="0080491E" w:rsidRPr="00390B6D" w:rsidRDefault="0080491E" w:rsidP="00390B6D">
      <w:pPr>
        <w:pStyle w:val="Definition"/>
      </w:pPr>
      <w:r w:rsidRPr="00390B6D">
        <w:rPr>
          <w:b/>
          <w:i/>
        </w:rPr>
        <w:t>agency</w:t>
      </w:r>
      <w:r w:rsidRPr="00390B6D">
        <w:t xml:space="preserve"> means an entity mentioned in </w:t>
      </w:r>
      <w:r w:rsidR="00390B6D" w:rsidRPr="00390B6D">
        <w:t>paragraph (</w:t>
      </w:r>
      <w:r w:rsidR="00EE1107" w:rsidRPr="00390B6D">
        <w:t>a), (b), (c), (d), (e), (f)</w:t>
      </w:r>
      <w:r w:rsidRPr="00390B6D">
        <w:t xml:space="preserve"> or (h) of the definition of </w:t>
      </w:r>
      <w:r w:rsidRPr="00390B6D">
        <w:rPr>
          <w:b/>
          <w:i/>
        </w:rPr>
        <w:t>agency</w:t>
      </w:r>
      <w:r w:rsidRPr="00390B6D">
        <w:t xml:space="preserve"> in subsection</w:t>
      </w:r>
      <w:r w:rsidR="00390B6D" w:rsidRPr="00390B6D">
        <w:t> </w:t>
      </w:r>
      <w:r w:rsidRPr="00390B6D">
        <w:t xml:space="preserve">6(1) of the </w:t>
      </w:r>
      <w:r w:rsidRPr="00390B6D">
        <w:rPr>
          <w:i/>
        </w:rPr>
        <w:t>Privacy Act 1988</w:t>
      </w:r>
      <w:r w:rsidRPr="00390B6D">
        <w:t>.</w:t>
      </w:r>
    </w:p>
    <w:p w:rsidR="0080491E" w:rsidRPr="00390B6D" w:rsidRDefault="0080491E" w:rsidP="00390B6D">
      <w:pPr>
        <w:pStyle w:val="Definition"/>
      </w:pPr>
      <w:r w:rsidRPr="00390B6D">
        <w:rPr>
          <w:b/>
          <w:i/>
        </w:rPr>
        <w:t>Commonwealth agreement</w:t>
      </w:r>
      <w:r w:rsidRPr="00390B6D">
        <w:t xml:space="preserve"> means a </w:t>
      </w:r>
      <w:r w:rsidR="00EE1107" w:rsidRPr="00390B6D">
        <w:t xml:space="preserve">legally </w:t>
      </w:r>
      <w:r w:rsidRPr="00390B6D">
        <w:t>binding agreement between an agency (on behalf of the Commonwealth) and a not</w:t>
      </w:r>
      <w:r w:rsidR="00DD25A4">
        <w:noBreakHyphen/>
      </w:r>
      <w:r w:rsidRPr="00390B6D">
        <w:t>for</w:t>
      </w:r>
      <w:r w:rsidR="00DD25A4">
        <w:noBreakHyphen/>
      </w:r>
      <w:r w:rsidRPr="00390B6D">
        <w:t>profit entity.</w:t>
      </w:r>
    </w:p>
    <w:p w:rsidR="00A76D0D" w:rsidRPr="00390B6D" w:rsidRDefault="00EE1107" w:rsidP="00390B6D">
      <w:pPr>
        <w:pStyle w:val="Definition"/>
      </w:pPr>
      <w:r w:rsidRPr="00390B6D">
        <w:rPr>
          <w:b/>
          <w:i/>
        </w:rPr>
        <w:t>confidential information</w:t>
      </w:r>
      <w:r w:rsidRPr="00390B6D">
        <w:t xml:space="preserve"> means information, </w:t>
      </w:r>
      <w:r w:rsidR="00A76D0D" w:rsidRPr="00390B6D">
        <w:t xml:space="preserve">the </w:t>
      </w:r>
      <w:r w:rsidRPr="00390B6D">
        <w:t>disclosure</w:t>
      </w:r>
      <w:r w:rsidR="00A76D0D" w:rsidRPr="00390B6D">
        <w:t xml:space="preserve"> of which:</w:t>
      </w:r>
    </w:p>
    <w:p w:rsidR="00EE1107" w:rsidRPr="00390B6D" w:rsidRDefault="00A76D0D" w:rsidP="00390B6D">
      <w:pPr>
        <w:pStyle w:val="paragraph"/>
      </w:pPr>
      <w:r w:rsidRPr="00390B6D">
        <w:tab/>
        <w:t>(a)</w:t>
      </w:r>
      <w:r w:rsidRPr="00390B6D">
        <w:tab/>
      </w:r>
      <w:r w:rsidR="00EE1107" w:rsidRPr="00390B6D">
        <w:t>would found an action for breach of confidence</w:t>
      </w:r>
      <w:r w:rsidRPr="00390B6D">
        <w:t>; or</w:t>
      </w:r>
    </w:p>
    <w:p w:rsidR="00A76D0D" w:rsidRPr="00390B6D" w:rsidRDefault="00A76D0D" w:rsidP="00390B6D">
      <w:pPr>
        <w:pStyle w:val="paragraph"/>
      </w:pPr>
      <w:r w:rsidRPr="00390B6D">
        <w:tab/>
        <w:t>(b)</w:t>
      </w:r>
      <w:r w:rsidRPr="00390B6D">
        <w:tab/>
        <w:t>would disclose:</w:t>
      </w:r>
    </w:p>
    <w:p w:rsidR="00A76D0D" w:rsidRPr="00390B6D" w:rsidRDefault="00A76D0D" w:rsidP="00390B6D">
      <w:pPr>
        <w:pStyle w:val="paragraphsub"/>
      </w:pPr>
      <w:r w:rsidRPr="00390B6D">
        <w:tab/>
        <w:t>(i)</w:t>
      </w:r>
      <w:r w:rsidRPr="00390B6D">
        <w:tab/>
        <w:t>trade secrets; or</w:t>
      </w:r>
    </w:p>
    <w:p w:rsidR="009963D7" w:rsidRPr="00390B6D" w:rsidRDefault="00A76D0D" w:rsidP="00390B6D">
      <w:pPr>
        <w:pStyle w:val="paragraphsub"/>
      </w:pPr>
      <w:r w:rsidRPr="00390B6D">
        <w:tab/>
        <w:t>(ii)</w:t>
      </w:r>
      <w:r w:rsidRPr="00390B6D">
        <w:tab/>
        <w:t>any other information having a commercial value that would be, or could reasonably be expected to be, destroyed or diminished if the information were disclosed</w:t>
      </w:r>
      <w:r w:rsidR="009963D7" w:rsidRPr="00390B6D">
        <w:t>; or</w:t>
      </w:r>
    </w:p>
    <w:p w:rsidR="00A76D0D" w:rsidRPr="00390B6D" w:rsidRDefault="009963D7" w:rsidP="00390B6D">
      <w:pPr>
        <w:pStyle w:val="paragraph"/>
      </w:pPr>
      <w:r w:rsidRPr="00390B6D">
        <w:tab/>
        <w:t>(c)</w:t>
      </w:r>
      <w:r w:rsidRPr="00390B6D">
        <w:tab/>
      </w:r>
      <w:r w:rsidR="00E411D4" w:rsidRPr="00390B6D">
        <w:t>would be a disclosure of information likely to prejudice national security (within the meaning of subsection</w:t>
      </w:r>
      <w:r w:rsidR="00390B6D" w:rsidRPr="00390B6D">
        <w:t> </w:t>
      </w:r>
      <w:r w:rsidR="00E411D4" w:rsidRPr="00390B6D">
        <w:t xml:space="preserve">17(1) of the </w:t>
      </w:r>
      <w:r w:rsidR="00E411D4" w:rsidRPr="00390B6D">
        <w:rPr>
          <w:i/>
        </w:rPr>
        <w:t>National Security Information (Criminal and Civil Proceedings) Act 2004</w:t>
      </w:r>
      <w:r w:rsidR="00E411D4" w:rsidRPr="00390B6D">
        <w:t>).</w:t>
      </w:r>
    </w:p>
    <w:p w:rsidR="003A7E1C" w:rsidRPr="00390B6D" w:rsidRDefault="0080491E" w:rsidP="00390B6D">
      <w:pPr>
        <w:pStyle w:val="Definition"/>
      </w:pPr>
      <w:r w:rsidRPr="00390B6D">
        <w:rPr>
          <w:b/>
          <w:i/>
        </w:rPr>
        <w:t>not</w:t>
      </w:r>
      <w:r w:rsidR="00DD25A4">
        <w:rPr>
          <w:b/>
          <w:i/>
        </w:rPr>
        <w:noBreakHyphen/>
      </w:r>
      <w:r w:rsidRPr="00390B6D">
        <w:rPr>
          <w:b/>
          <w:i/>
        </w:rPr>
        <w:t>for</w:t>
      </w:r>
      <w:r w:rsidR="00DD25A4">
        <w:rPr>
          <w:b/>
          <w:i/>
        </w:rPr>
        <w:noBreakHyphen/>
      </w:r>
      <w:r w:rsidRPr="00390B6D">
        <w:rPr>
          <w:b/>
          <w:i/>
        </w:rPr>
        <w:t xml:space="preserve">profit entity </w:t>
      </w:r>
      <w:r w:rsidRPr="00390B6D">
        <w:t>means</w:t>
      </w:r>
      <w:r w:rsidR="003A7E1C" w:rsidRPr="00390B6D">
        <w:t>:</w:t>
      </w:r>
    </w:p>
    <w:p w:rsidR="0080491E" w:rsidRPr="00390B6D" w:rsidRDefault="003A7E1C" w:rsidP="00390B6D">
      <w:pPr>
        <w:pStyle w:val="paragraph"/>
      </w:pPr>
      <w:r w:rsidRPr="00390B6D">
        <w:tab/>
        <w:t>(a)</w:t>
      </w:r>
      <w:r w:rsidRPr="00390B6D">
        <w:tab/>
        <w:t xml:space="preserve">an entity that is entitled to be registered under the </w:t>
      </w:r>
      <w:r w:rsidRPr="00390B6D">
        <w:rPr>
          <w:i/>
        </w:rPr>
        <w:t>Australian Charities and Not</w:t>
      </w:r>
      <w:r w:rsidR="00DD25A4">
        <w:rPr>
          <w:i/>
        </w:rPr>
        <w:noBreakHyphen/>
      </w:r>
      <w:r w:rsidRPr="00390B6D">
        <w:rPr>
          <w:i/>
        </w:rPr>
        <w:t>for</w:t>
      </w:r>
      <w:r w:rsidR="00DD25A4">
        <w:rPr>
          <w:i/>
        </w:rPr>
        <w:noBreakHyphen/>
      </w:r>
      <w:r w:rsidRPr="00390B6D">
        <w:rPr>
          <w:i/>
        </w:rPr>
        <w:t>profits Commission Act 2012</w:t>
      </w:r>
      <w:r w:rsidRPr="00390B6D">
        <w:t>; or</w:t>
      </w:r>
    </w:p>
    <w:p w:rsidR="003A7E1C" w:rsidRPr="00390B6D" w:rsidRDefault="003A7E1C" w:rsidP="00390B6D">
      <w:pPr>
        <w:pStyle w:val="paragraph"/>
      </w:pPr>
      <w:r w:rsidRPr="00390B6D">
        <w:lastRenderedPageBreak/>
        <w:tab/>
        <w:t>(b</w:t>
      </w:r>
      <w:r w:rsidR="0080491E" w:rsidRPr="00390B6D">
        <w:t>)</w:t>
      </w:r>
      <w:r w:rsidR="0080491E" w:rsidRPr="00390B6D">
        <w:tab/>
      </w:r>
      <w:r w:rsidRPr="00390B6D">
        <w:t>a non</w:t>
      </w:r>
      <w:r w:rsidR="00DD25A4">
        <w:noBreakHyphen/>
      </w:r>
      <w:r w:rsidRPr="00390B6D">
        <w:t xml:space="preserve">profit body (within the meaning of the </w:t>
      </w:r>
      <w:r w:rsidRPr="00390B6D">
        <w:rPr>
          <w:i/>
        </w:rPr>
        <w:t>Electronic Transactions Act 1999</w:t>
      </w:r>
      <w:r w:rsidRPr="00390B6D">
        <w:t>).</w:t>
      </w:r>
    </w:p>
    <w:p w:rsidR="0080491E" w:rsidRPr="00390B6D" w:rsidRDefault="0080491E" w:rsidP="00390B6D">
      <w:pPr>
        <w:pStyle w:val="Definition"/>
      </w:pPr>
      <w:r w:rsidRPr="00390B6D">
        <w:rPr>
          <w:b/>
          <w:i/>
        </w:rPr>
        <w:t>prohibited content</w:t>
      </w:r>
      <w:r w:rsidRPr="00390B6D">
        <w:t xml:space="preserve"> has the meaning given by section</w:t>
      </w:r>
      <w:r w:rsidR="00390B6D" w:rsidRPr="00390B6D">
        <w:t> </w:t>
      </w:r>
      <w:r w:rsidRPr="00390B6D">
        <w:t>5.</w:t>
      </w:r>
    </w:p>
    <w:p w:rsidR="0080491E" w:rsidRPr="00390B6D" w:rsidRDefault="0080491E" w:rsidP="00390B6D">
      <w:pPr>
        <w:pStyle w:val="ActHead5"/>
      </w:pPr>
      <w:bookmarkStart w:id="5" w:name="_Toc357605659"/>
      <w:r w:rsidRPr="00390B6D">
        <w:rPr>
          <w:rStyle w:val="CharSectno"/>
        </w:rPr>
        <w:t>4</w:t>
      </w:r>
      <w:r w:rsidRPr="00390B6D">
        <w:t xml:space="preserve">  Agency not to include prohibited content in Commonwealth agreement</w:t>
      </w:r>
      <w:bookmarkEnd w:id="5"/>
    </w:p>
    <w:p w:rsidR="00B4506F" w:rsidRPr="00390B6D" w:rsidRDefault="00B4506F" w:rsidP="00390B6D">
      <w:pPr>
        <w:pStyle w:val="subsection"/>
      </w:pPr>
      <w:r w:rsidRPr="00390B6D">
        <w:tab/>
        <w:t>(1)</w:t>
      </w:r>
      <w:r w:rsidRPr="00390B6D">
        <w:tab/>
      </w:r>
      <w:r w:rsidR="00751B34" w:rsidRPr="00390B6D">
        <w:t xml:space="preserve">An </w:t>
      </w:r>
      <w:r w:rsidR="00D208EE" w:rsidRPr="00390B6D">
        <w:t xml:space="preserve">agency </w:t>
      </w:r>
      <w:r w:rsidRPr="00390B6D">
        <w:t xml:space="preserve">must not include prohibited </w:t>
      </w:r>
      <w:r w:rsidR="001E3287" w:rsidRPr="00390B6D">
        <w:t>content</w:t>
      </w:r>
      <w:r w:rsidRPr="00390B6D">
        <w:t xml:space="preserve"> in </w:t>
      </w:r>
      <w:r w:rsidR="00C236B4" w:rsidRPr="00390B6D">
        <w:t>a Commonwealth agreement</w:t>
      </w:r>
      <w:r w:rsidRPr="00390B6D">
        <w:t>.</w:t>
      </w:r>
    </w:p>
    <w:p w:rsidR="00B4506F" w:rsidRPr="00390B6D" w:rsidRDefault="00B4506F" w:rsidP="00390B6D">
      <w:pPr>
        <w:pStyle w:val="subsection"/>
      </w:pPr>
      <w:r w:rsidRPr="00390B6D">
        <w:tab/>
        <w:t>(2)</w:t>
      </w:r>
      <w:r w:rsidRPr="00390B6D">
        <w:tab/>
      </w:r>
      <w:r w:rsidR="00484FB7" w:rsidRPr="00390B6D">
        <w:t xml:space="preserve">If, apart from this subsection, </w:t>
      </w:r>
      <w:r w:rsidRPr="00390B6D">
        <w:t xml:space="preserve">a Commonwealth agreement includes prohibited content, </w:t>
      </w:r>
      <w:r w:rsidR="002D2E44" w:rsidRPr="00390B6D">
        <w:t xml:space="preserve">that </w:t>
      </w:r>
      <w:r w:rsidR="001E3287" w:rsidRPr="00390B6D">
        <w:t xml:space="preserve">prohibited content </w:t>
      </w:r>
      <w:r w:rsidRPr="00390B6D">
        <w:t>is void.</w:t>
      </w:r>
    </w:p>
    <w:p w:rsidR="0080491E" w:rsidRPr="00390B6D" w:rsidRDefault="0080491E" w:rsidP="00390B6D">
      <w:pPr>
        <w:pStyle w:val="ActHead5"/>
      </w:pPr>
      <w:bookmarkStart w:id="6" w:name="_Toc357605660"/>
      <w:r w:rsidRPr="00390B6D">
        <w:rPr>
          <w:rStyle w:val="CharSectno"/>
        </w:rPr>
        <w:t>5</w:t>
      </w:r>
      <w:r w:rsidRPr="00390B6D">
        <w:t xml:space="preserve">  Prohibited content</w:t>
      </w:r>
      <w:bookmarkEnd w:id="6"/>
    </w:p>
    <w:p w:rsidR="0080491E" w:rsidRPr="00390B6D" w:rsidRDefault="0080491E" w:rsidP="00390B6D">
      <w:pPr>
        <w:pStyle w:val="subsection"/>
      </w:pPr>
      <w:r w:rsidRPr="00390B6D">
        <w:tab/>
        <w:t>(1)</w:t>
      </w:r>
      <w:r w:rsidRPr="00390B6D">
        <w:tab/>
      </w:r>
      <w:r w:rsidRPr="00390B6D">
        <w:rPr>
          <w:b/>
          <w:i/>
        </w:rPr>
        <w:t>Prohibited content</w:t>
      </w:r>
      <w:r w:rsidRPr="00390B6D">
        <w:t xml:space="preserve"> is any requirement that restricts or prevents a not</w:t>
      </w:r>
      <w:r w:rsidR="00DD25A4">
        <w:noBreakHyphen/>
      </w:r>
      <w:r w:rsidRPr="00390B6D">
        <w:t xml:space="preserve">for profit entity </w:t>
      </w:r>
      <w:r w:rsidR="00EE1107" w:rsidRPr="00390B6D">
        <w:t>(including staff of the not</w:t>
      </w:r>
      <w:r w:rsidR="00DD25A4">
        <w:noBreakHyphen/>
      </w:r>
      <w:r w:rsidR="00EE1107" w:rsidRPr="00390B6D">
        <w:t>for</w:t>
      </w:r>
      <w:r w:rsidR="00DD25A4">
        <w:noBreakHyphen/>
      </w:r>
      <w:r w:rsidR="00EE1107" w:rsidRPr="00390B6D">
        <w:t xml:space="preserve">profit entity) </w:t>
      </w:r>
      <w:r w:rsidRPr="00390B6D">
        <w:t xml:space="preserve">from commenting on, </w:t>
      </w:r>
      <w:r w:rsidR="00EE1107" w:rsidRPr="00390B6D">
        <w:t xml:space="preserve">advocating support for or opposing </w:t>
      </w:r>
      <w:r w:rsidRPr="00390B6D">
        <w:t xml:space="preserve">a change to any matter established by law, policy or practice </w:t>
      </w:r>
      <w:r w:rsidR="009507E9" w:rsidRPr="00390B6D">
        <w:t>of</w:t>
      </w:r>
      <w:r w:rsidRPr="00390B6D">
        <w:t xml:space="preserve"> the Commonwealth.</w:t>
      </w:r>
    </w:p>
    <w:p w:rsidR="0080491E" w:rsidRPr="00390B6D" w:rsidRDefault="0080491E" w:rsidP="00390B6D">
      <w:pPr>
        <w:pStyle w:val="subsection"/>
      </w:pPr>
      <w:r w:rsidRPr="00390B6D">
        <w:tab/>
        <w:t>(2)</w:t>
      </w:r>
      <w:r w:rsidRPr="00390B6D">
        <w:tab/>
        <w:t xml:space="preserve">However, the requirement is not </w:t>
      </w:r>
      <w:r w:rsidRPr="00390B6D">
        <w:rPr>
          <w:b/>
          <w:i/>
        </w:rPr>
        <w:t>prohibited content</w:t>
      </w:r>
      <w:r w:rsidRPr="00390B6D">
        <w:t xml:space="preserve"> to the extent that it restricts or prevents a not</w:t>
      </w:r>
      <w:r w:rsidR="00DD25A4">
        <w:noBreakHyphen/>
      </w:r>
      <w:r w:rsidRPr="00390B6D">
        <w:t>for profit entity from disclosing information that:</w:t>
      </w:r>
    </w:p>
    <w:p w:rsidR="0080491E" w:rsidRPr="00390B6D" w:rsidRDefault="0080491E" w:rsidP="00390B6D">
      <w:pPr>
        <w:pStyle w:val="paragraph"/>
      </w:pPr>
      <w:r w:rsidRPr="00390B6D">
        <w:tab/>
        <w:t>(a)</w:t>
      </w:r>
      <w:r w:rsidRPr="00390B6D">
        <w:tab/>
        <w:t xml:space="preserve">is </w:t>
      </w:r>
      <w:r w:rsidR="00EE1107" w:rsidRPr="00390B6D">
        <w:t>confidential information</w:t>
      </w:r>
      <w:r w:rsidRPr="00390B6D">
        <w:t>; or</w:t>
      </w:r>
    </w:p>
    <w:p w:rsidR="0080491E" w:rsidRPr="00390B6D" w:rsidRDefault="0080491E" w:rsidP="00390B6D">
      <w:pPr>
        <w:pStyle w:val="paragraph"/>
      </w:pPr>
      <w:r w:rsidRPr="00390B6D">
        <w:tab/>
        <w:t>(b)</w:t>
      </w:r>
      <w:r w:rsidRPr="00390B6D">
        <w:tab/>
        <w:t xml:space="preserve">is personal information (within the meaning of the </w:t>
      </w:r>
      <w:r w:rsidRPr="00390B6D">
        <w:rPr>
          <w:i/>
        </w:rPr>
        <w:t>Privacy Act 1988</w:t>
      </w:r>
      <w:r w:rsidRPr="00390B6D">
        <w:t>).</w:t>
      </w:r>
    </w:p>
    <w:p w:rsidR="00747E02" w:rsidRPr="00390B6D" w:rsidRDefault="0080491E" w:rsidP="00390B6D">
      <w:pPr>
        <w:pStyle w:val="ActHead5"/>
      </w:pPr>
      <w:bookmarkStart w:id="7" w:name="_Toc357605661"/>
      <w:r w:rsidRPr="00390B6D">
        <w:rPr>
          <w:rStyle w:val="CharSectno"/>
        </w:rPr>
        <w:t>6</w:t>
      </w:r>
      <w:r w:rsidR="00747E02" w:rsidRPr="00390B6D">
        <w:t xml:space="preserve">  Compensation for acquisition of property</w:t>
      </w:r>
      <w:bookmarkEnd w:id="7"/>
    </w:p>
    <w:p w:rsidR="00747E02" w:rsidRPr="00390B6D" w:rsidRDefault="00747E02" w:rsidP="00390B6D">
      <w:pPr>
        <w:pStyle w:val="subsection"/>
      </w:pPr>
      <w:r w:rsidRPr="00390B6D">
        <w:tab/>
        <w:t>(1)</w:t>
      </w:r>
      <w:r w:rsidRPr="00390B6D">
        <w:tab/>
        <w:t>If the operation of this Act would result in an acquisition of property from a person otherwise than on just terms, the Commonwealth is liable to pay a reasonable amount of compensation to the person.</w:t>
      </w:r>
    </w:p>
    <w:p w:rsidR="00747E02" w:rsidRPr="00390B6D" w:rsidRDefault="00747E02" w:rsidP="00390B6D">
      <w:pPr>
        <w:pStyle w:val="subsection"/>
      </w:pPr>
      <w:r w:rsidRPr="00390B6D">
        <w:tab/>
        <w:t>(2)</w:t>
      </w:r>
      <w:r w:rsidRPr="00390B6D">
        <w:tab/>
        <w:t xml:space="preserve">If the Commonwealth and the person do not agree on the amount of the compensation, the person may institute proceedings in </w:t>
      </w:r>
      <w:r w:rsidR="002F1274" w:rsidRPr="00390B6D">
        <w:t>the Federal Court of Australia</w:t>
      </w:r>
      <w:r w:rsidRPr="00390B6D">
        <w:t xml:space="preserve"> for the recovery from the Commonwealth of such reasonable amount of compensation as the </w:t>
      </w:r>
      <w:r w:rsidR="00B93A22" w:rsidRPr="00390B6D">
        <w:t>C</w:t>
      </w:r>
      <w:r w:rsidRPr="00390B6D">
        <w:t>ourt determines.</w:t>
      </w:r>
    </w:p>
    <w:p w:rsidR="00747E02" w:rsidRPr="00390B6D" w:rsidRDefault="00747E02" w:rsidP="00390B6D">
      <w:pPr>
        <w:pStyle w:val="subsection"/>
      </w:pPr>
      <w:r w:rsidRPr="00390B6D">
        <w:lastRenderedPageBreak/>
        <w:tab/>
        <w:t>(3)</w:t>
      </w:r>
      <w:r w:rsidRPr="00390B6D">
        <w:tab/>
        <w:t>In this section:</w:t>
      </w:r>
    </w:p>
    <w:p w:rsidR="00747E02" w:rsidRPr="00390B6D" w:rsidRDefault="00747E02" w:rsidP="00390B6D">
      <w:pPr>
        <w:pStyle w:val="Definition"/>
      </w:pPr>
      <w:r w:rsidRPr="00390B6D">
        <w:rPr>
          <w:b/>
          <w:i/>
        </w:rPr>
        <w:t>acquisition of property</w:t>
      </w:r>
      <w:r w:rsidRPr="00390B6D">
        <w:t xml:space="preserve"> has the same meaning as in paragraph</w:t>
      </w:r>
      <w:r w:rsidR="00390B6D" w:rsidRPr="00390B6D">
        <w:t> </w:t>
      </w:r>
      <w:r w:rsidRPr="00390B6D">
        <w:t>51(xxxi) of the Constitution.</w:t>
      </w:r>
    </w:p>
    <w:p w:rsidR="00747E02" w:rsidRPr="00390B6D" w:rsidRDefault="00747E02" w:rsidP="00390B6D">
      <w:pPr>
        <w:pStyle w:val="Definition"/>
      </w:pPr>
      <w:r w:rsidRPr="00390B6D">
        <w:rPr>
          <w:b/>
          <w:i/>
        </w:rPr>
        <w:t>just terms</w:t>
      </w:r>
      <w:r w:rsidRPr="00390B6D">
        <w:t xml:space="preserve"> has the same meaning as in paragraph</w:t>
      </w:r>
      <w:r w:rsidR="00390B6D" w:rsidRPr="00390B6D">
        <w:t> </w:t>
      </w:r>
      <w:r w:rsidRPr="00390B6D">
        <w:t>51(xxxi) of the Constitution.</w:t>
      </w:r>
    </w:p>
    <w:p w:rsidR="00B34758" w:rsidRPr="00390B6D" w:rsidRDefault="0080491E" w:rsidP="00390B6D">
      <w:pPr>
        <w:pStyle w:val="ActHead5"/>
      </w:pPr>
      <w:bookmarkStart w:id="8" w:name="_Toc357605662"/>
      <w:r w:rsidRPr="00390B6D">
        <w:rPr>
          <w:rStyle w:val="CharSectno"/>
        </w:rPr>
        <w:t>7</w:t>
      </w:r>
      <w:r w:rsidR="00B34758" w:rsidRPr="00390B6D">
        <w:t xml:space="preserve">  Application</w:t>
      </w:r>
      <w:bookmarkEnd w:id="8"/>
    </w:p>
    <w:p w:rsidR="00B34758" w:rsidRPr="00390B6D" w:rsidRDefault="00B34758" w:rsidP="00390B6D">
      <w:pPr>
        <w:pStyle w:val="subsection"/>
      </w:pPr>
      <w:r w:rsidRPr="00390B6D">
        <w:tab/>
        <w:t>(1)</w:t>
      </w:r>
      <w:r w:rsidRPr="00390B6D">
        <w:tab/>
        <w:t>This Act applies to</w:t>
      </w:r>
      <w:r w:rsidR="00C236B4" w:rsidRPr="00390B6D">
        <w:t xml:space="preserve"> a Commonwealth agreement</w:t>
      </w:r>
      <w:r w:rsidRPr="00390B6D">
        <w:t xml:space="preserve"> entered into before, on or after </w:t>
      </w:r>
      <w:r w:rsidR="00CB18E3" w:rsidRPr="00390B6D">
        <w:t xml:space="preserve">the commencement of </w:t>
      </w:r>
      <w:r w:rsidRPr="00390B6D">
        <w:t>this Act.</w:t>
      </w:r>
    </w:p>
    <w:p w:rsidR="00B34758" w:rsidRPr="00390B6D" w:rsidRDefault="00B34758" w:rsidP="00390B6D">
      <w:pPr>
        <w:pStyle w:val="subsection"/>
      </w:pPr>
      <w:r w:rsidRPr="00390B6D">
        <w:tab/>
        <w:t>(2)</w:t>
      </w:r>
      <w:r w:rsidRPr="00390B6D">
        <w:tab/>
        <w:t xml:space="preserve">Despite </w:t>
      </w:r>
      <w:r w:rsidR="00390B6D" w:rsidRPr="00390B6D">
        <w:t>subsection (</w:t>
      </w:r>
      <w:r w:rsidR="00484FB7" w:rsidRPr="00390B6D">
        <w:t>1</w:t>
      </w:r>
      <w:r w:rsidRPr="00390B6D">
        <w:t>), subsection</w:t>
      </w:r>
      <w:r w:rsidR="00390B6D" w:rsidRPr="00390B6D">
        <w:t> </w:t>
      </w:r>
      <w:r w:rsidR="0080491E" w:rsidRPr="00390B6D">
        <w:t>4</w:t>
      </w:r>
      <w:r w:rsidRPr="00390B6D">
        <w:t>(1) applies to</w:t>
      </w:r>
      <w:r w:rsidR="00C236B4" w:rsidRPr="00390B6D">
        <w:t xml:space="preserve"> a Commonwealth agreement</w:t>
      </w:r>
      <w:r w:rsidRPr="00390B6D">
        <w:t xml:space="preserve"> entered into on or after</w:t>
      </w:r>
      <w:r w:rsidR="00484FB7" w:rsidRPr="00390B6D">
        <w:t xml:space="preserve"> the commencement of </w:t>
      </w:r>
      <w:r w:rsidRPr="00390B6D">
        <w:t>this Act.</w:t>
      </w:r>
    </w:p>
    <w:p w:rsidR="00484FB7" w:rsidRPr="00390B6D" w:rsidRDefault="00484FB7" w:rsidP="00390B6D">
      <w:pPr>
        <w:pStyle w:val="subsection"/>
      </w:pPr>
      <w:r w:rsidRPr="00390B6D">
        <w:tab/>
        <w:t>(3)</w:t>
      </w:r>
      <w:r w:rsidRPr="00390B6D">
        <w:tab/>
      </w:r>
      <w:r w:rsidR="00390B6D" w:rsidRPr="00390B6D">
        <w:t>Subsection (</w:t>
      </w:r>
      <w:r w:rsidRPr="00390B6D">
        <w:t>4) applies if, immediately before the commencement of this Act, a Commonwealth agreement includes prohibited content.</w:t>
      </w:r>
    </w:p>
    <w:p w:rsidR="00484FB7" w:rsidRPr="00390B6D" w:rsidRDefault="00484FB7" w:rsidP="00390B6D">
      <w:pPr>
        <w:pStyle w:val="subsection"/>
      </w:pPr>
      <w:r w:rsidRPr="00390B6D">
        <w:tab/>
        <w:t>(4)</w:t>
      </w:r>
      <w:r w:rsidRPr="00390B6D">
        <w:tab/>
        <w:t xml:space="preserve">Despite </w:t>
      </w:r>
      <w:r w:rsidR="00390B6D" w:rsidRPr="00390B6D">
        <w:t>subsection (</w:t>
      </w:r>
      <w:r w:rsidRPr="00390B6D">
        <w:t>1):</w:t>
      </w:r>
    </w:p>
    <w:p w:rsidR="00484FB7" w:rsidRPr="00390B6D" w:rsidRDefault="00484FB7" w:rsidP="00390B6D">
      <w:pPr>
        <w:pStyle w:val="paragraph"/>
      </w:pPr>
      <w:r w:rsidRPr="00390B6D">
        <w:tab/>
        <w:t>(a)</w:t>
      </w:r>
      <w:r w:rsidRPr="00390B6D">
        <w:tab/>
      </w:r>
      <w:r w:rsidR="00747E02" w:rsidRPr="00390B6D">
        <w:t>subsection</w:t>
      </w:r>
      <w:r w:rsidR="00390B6D" w:rsidRPr="00390B6D">
        <w:t> </w:t>
      </w:r>
      <w:r w:rsidR="0080491E" w:rsidRPr="00390B6D">
        <w:t>4</w:t>
      </w:r>
      <w:r w:rsidR="00747E02" w:rsidRPr="00390B6D">
        <w:t xml:space="preserve">(2) has the effect </w:t>
      </w:r>
      <w:r w:rsidRPr="00390B6D">
        <w:t>that prohibited content in the Commonwealth agreement becomes void on the commencement of this Act; and</w:t>
      </w:r>
    </w:p>
    <w:p w:rsidR="00D02127" w:rsidRDefault="00484FB7" w:rsidP="00390B6D">
      <w:pPr>
        <w:pStyle w:val="paragraph"/>
      </w:pPr>
      <w:r w:rsidRPr="00390B6D">
        <w:tab/>
        <w:t>(b)</w:t>
      </w:r>
      <w:r w:rsidRPr="00390B6D">
        <w:tab/>
      </w:r>
      <w:r w:rsidR="00390B6D" w:rsidRPr="00390B6D">
        <w:t>paragraph (</w:t>
      </w:r>
      <w:r w:rsidR="00747E02" w:rsidRPr="00390B6D">
        <w:t>a) does not affect any right, privilege, obligation or liability acquired, accrued or incurred under the prohibited content before the commencement of this Act.</w:t>
      </w:r>
    </w:p>
    <w:p w:rsidR="00D02127" w:rsidRPr="00D54373" w:rsidRDefault="00D02127" w:rsidP="00324303">
      <w:pPr>
        <w:pStyle w:val="AssentBk"/>
        <w:keepNext/>
        <w:rPr>
          <w:sz w:val="22"/>
          <w:szCs w:val="22"/>
        </w:rPr>
      </w:pPr>
    </w:p>
    <w:p w:rsidR="00324303" w:rsidRDefault="00324303">
      <w:pPr>
        <w:pStyle w:val="2ndRd"/>
        <w:keepNext/>
        <w:pBdr>
          <w:top w:val="single" w:sz="2" w:space="1" w:color="auto"/>
        </w:pBdr>
      </w:pPr>
    </w:p>
    <w:p w:rsidR="00324303" w:rsidRDefault="00324303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324303" w:rsidRDefault="00324303">
      <w:pPr>
        <w:pStyle w:val="2ndRd"/>
        <w:keepNext/>
        <w:spacing w:line="260" w:lineRule="atLeast"/>
      </w:pPr>
      <w:r>
        <w:rPr>
          <w:i/>
        </w:rPr>
        <w:t>Senate on 13 March 2013</w:t>
      </w:r>
    </w:p>
    <w:p w:rsidR="00324303" w:rsidRDefault="00324303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28 May 2013</w:t>
      </w:r>
      <w:r>
        <w:t>]</w:t>
      </w:r>
    </w:p>
    <w:p w:rsidR="00324303" w:rsidRDefault="00324303"/>
    <w:p w:rsidR="00D02127" w:rsidRPr="00324303" w:rsidRDefault="00324303" w:rsidP="00324303">
      <w:pPr>
        <w:framePr w:hSpace="180" w:wrap="around" w:vAnchor="text" w:hAnchor="page" w:x="2413" w:y="1381"/>
      </w:pPr>
      <w:r>
        <w:t>(49/13)</w:t>
      </w:r>
    </w:p>
    <w:p w:rsidR="00324303" w:rsidRDefault="00324303"/>
    <w:sectPr w:rsidR="00324303" w:rsidSect="00D0212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F2" w:rsidRDefault="000802F2" w:rsidP="00715914">
      <w:pPr>
        <w:spacing w:line="240" w:lineRule="auto"/>
      </w:pPr>
      <w:r>
        <w:separator/>
      </w:r>
    </w:p>
  </w:endnote>
  <w:endnote w:type="continuationSeparator" w:id="0">
    <w:p w:rsidR="000802F2" w:rsidRDefault="000802F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6D" w:rsidRDefault="00390B6D" w:rsidP="00390B6D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303" w:rsidRDefault="00324303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324303" w:rsidRDefault="00324303"/>
  <w:p w:rsidR="00390B6D" w:rsidRDefault="00390B6D" w:rsidP="00390B6D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390B6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390B6D">
    <w:pPr>
      <w:pBdr>
        <w:top w:val="single" w:sz="6" w:space="1" w:color="auto"/>
      </w:pBdr>
      <w:spacing w:before="120"/>
      <w:rPr>
        <w:sz w:val="18"/>
      </w:rPr>
    </w:pPr>
  </w:p>
  <w:p w:rsidR="00715914" w:rsidRPr="00ED79B6" w:rsidRDefault="00F83989" w:rsidP="00715914">
    <w:pPr>
      <w:jc w:val="right"/>
      <w:rPr>
        <w:i/>
        <w:sz w:val="18"/>
      </w:rPr>
    </w:pPr>
    <w:r w:rsidRPr="00ED79B6">
      <w:rPr>
        <w:i/>
        <w:sz w:val="18"/>
      </w:rPr>
      <w:fldChar w:fldCharType="begin"/>
    </w:r>
    <w:r w:rsidR="00DD25A4">
      <w:rPr>
        <w:i/>
        <w:sz w:val="18"/>
      </w:rPr>
      <w:instrText xml:space="preserve"> DOCPROPERTY ShortT </w:instrText>
    </w:r>
    <w:r w:rsidRPr="00ED79B6">
      <w:rPr>
        <w:i/>
        <w:sz w:val="18"/>
      </w:rPr>
      <w:fldChar w:fldCharType="separate"/>
    </w:r>
    <w:r w:rsidR="00286378">
      <w:rPr>
        <w:i/>
        <w:sz w:val="18"/>
      </w:rPr>
      <w:t>Not</w:t>
    </w:r>
    <w:r w:rsidR="00286378">
      <w:rPr>
        <w:i/>
        <w:sz w:val="18"/>
      </w:rPr>
      <w:noBreakHyphen/>
      <w:t>for</w:t>
    </w:r>
    <w:r w:rsidR="00286378">
      <w:rPr>
        <w:i/>
        <w:sz w:val="18"/>
      </w:rPr>
      <w:noBreakHyphen/>
      <w:t>profit Sector Freedom to Advocate Act 2013</w:t>
    </w:r>
    <w:r w:rsidRPr="00ED79B6">
      <w:rPr>
        <w:i/>
        <w:sz w:val="18"/>
      </w:rPr>
      <w:fldChar w:fldCharType="end"/>
    </w:r>
    <w:r w:rsidR="00715914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DD25A4">
      <w:rPr>
        <w:i/>
        <w:sz w:val="18"/>
      </w:rPr>
      <w:instrText xml:space="preserve"> DOCPROPERTY ActNo </w:instrText>
    </w:r>
    <w:r w:rsidRPr="00ED79B6">
      <w:rPr>
        <w:i/>
        <w:sz w:val="18"/>
      </w:rPr>
      <w:fldChar w:fldCharType="separate"/>
    </w:r>
    <w:r w:rsidR="00286378">
      <w:rPr>
        <w:i/>
        <w:sz w:val="18"/>
      </w:rPr>
      <w:t>No. 56, 2013</w:t>
    </w:r>
    <w:r w:rsidRPr="00ED79B6">
      <w:rPr>
        <w:i/>
        <w:sz w:val="18"/>
      </w:rPr>
      <w:fldChar w:fldCharType="end"/>
    </w:r>
    <w:r w:rsidR="00715914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715914"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286378">
      <w:rPr>
        <w:i/>
        <w:noProof/>
        <w:sz w:val="18"/>
      </w:rPr>
      <w:t>iv</w:t>
    </w:r>
    <w:r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390B6D">
    <w:pPr>
      <w:pBdr>
        <w:top w:val="single" w:sz="6" w:space="1" w:color="auto"/>
      </w:pBdr>
      <w:spacing w:before="120"/>
      <w:rPr>
        <w:sz w:val="18"/>
      </w:rPr>
    </w:pPr>
  </w:p>
  <w:p w:rsidR="00715914" w:rsidRPr="00ED79B6" w:rsidRDefault="00F83989" w:rsidP="00715914">
    <w:pPr>
      <w:rPr>
        <w:i/>
        <w:sz w:val="18"/>
      </w:rPr>
    </w:pPr>
    <w:r w:rsidRPr="00ED79B6">
      <w:rPr>
        <w:i/>
        <w:sz w:val="18"/>
      </w:rPr>
      <w:fldChar w:fldCharType="begin"/>
    </w:r>
    <w:r w:rsidR="00715914"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9140ED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="00715914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DD25A4">
      <w:rPr>
        <w:i/>
        <w:sz w:val="18"/>
      </w:rPr>
      <w:instrText xml:space="preserve"> DOCPROPERTY ShortT </w:instrText>
    </w:r>
    <w:r w:rsidRPr="00ED79B6">
      <w:rPr>
        <w:i/>
        <w:sz w:val="18"/>
      </w:rPr>
      <w:fldChar w:fldCharType="separate"/>
    </w:r>
    <w:r w:rsidR="00286378">
      <w:rPr>
        <w:i/>
        <w:sz w:val="18"/>
      </w:rPr>
      <w:t>Not</w:t>
    </w:r>
    <w:r w:rsidR="00286378">
      <w:rPr>
        <w:i/>
        <w:sz w:val="18"/>
      </w:rPr>
      <w:noBreakHyphen/>
      <w:t>for</w:t>
    </w:r>
    <w:r w:rsidR="00286378">
      <w:rPr>
        <w:i/>
        <w:sz w:val="18"/>
      </w:rPr>
      <w:noBreakHyphen/>
      <w:t>profit Sector Freedom to Advocate Act 2013</w:t>
    </w:r>
    <w:r w:rsidRPr="00ED79B6">
      <w:rPr>
        <w:i/>
        <w:sz w:val="18"/>
      </w:rPr>
      <w:fldChar w:fldCharType="end"/>
    </w:r>
    <w:r w:rsidR="00715914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DD25A4">
      <w:rPr>
        <w:i/>
        <w:sz w:val="18"/>
      </w:rPr>
      <w:instrText xml:space="preserve"> DOCPROPERTY ActNo </w:instrText>
    </w:r>
    <w:r w:rsidRPr="00ED79B6">
      <w:rPr>
        <w:i/>
        <w:sz w:val="18"/>
      </w:rPr>
      <w:fldChar w:fldCharType="separate"/>
    </w:r>
    <w:r w:rsidR="00286378">
      <w:rPr>
        <w:i/>
        <w:sz w:val="18"/>
      </w:rPr>
      <w:t>No. 56, 2013</w:t>
    </w:r>
    <w:r w:rsidRPr="00ED79B6">
      <w:rPr>
        <w:i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390B6D">
    <w:pPr>
      <w:pBdr>
        <w:top w:val="single" w:sz="6" w:space="1" w:color="auto"/>
      </w:pBdr>
      <w:spacing w:before="120"/>
      <w:rPr>
        <w:sz w:val="18"/>
      </w:rPr>
    </w:pPr>
  </w:p>
  <w:p w:rsidR="00715914" w:rsidRPr="007A1328" w:rsidRDefault="00F83989" w:rsidP="00715914">
    <w:pPr>
      <w:rPr>
        <w:i/>
        <w:sz w:val="18"/>
      </w:rPr>
    </w:pPr>
    <w:r w:rsidRPr="007A1328">
      <w:rPr>
        <w:i/>
        <w:sz w:val="18"/>
      </w:rPr>
      <w:fldChar w:fldCharType="begin"/>
    </w:r>
    <w:r w:rsidR="00715914"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9140ED">
      <w:rPr>
        <w:i/>
        <w:noProof/>
        <w:sz w:val="18"/>
      </w:rPr>
      <w:t>4</w:t>
    </w:r>
    <w:r w:rsidRPr="007A1328">
      <w:rPr>
        <w:i/>
        <w:sz w:val="18"/>
      </w:rPr>
      <w:fldChar w:fldCharType="end"/>
    </w:r>
    <w:r w:rsidR="00715914" w:rsidRPr="007A1328">
      <w:rPr>
        <w:i/>
        <w:sz w:val="18"/>
      </w:rPr>
      <w:t xml:space="preserve">            </w:t>
    </w:r>
    <w:r w:rsidRPr="007A1328">
      <w:rPr>
        <w:i/>
        <w:sz w:val="18"/>
      </w:rPr>
      <w:fldChar w:fldCharType="begin"/>
    </w:r>
    <w:r w:rsidR="00DD25A4">
      <w:rPr>
        <w:i/>
        <w:sz w:val="18"/>
      </w:rPr>
      <w:instrText xml:space="preserve"> DOCPROPERTY ShortT </w:instrText>
    </w:r>
    <w:r w:rsidRPr="007A1328">
      <w:rPr>
        <w:i/>
        <w:sz w:val="18"/>
      </w:rPr>
      <w:fldChar w:fldCharType="separate"/>
    </w:r>
    <w:r w:rsidR="00286378">
      <w:rPr>
        <w:i/>
        <w:sz w:val="18"/>
      </w:rPr>
      <w:t>Not</w:t>
    </w:r>
    <w:r w:rsidR="00286378">
      <w:rPr>
        <w:i/>
        <w:sz w:val="18"/>
      </w:rPr>
      <w:noBreakHyphen/>
      <w:t>for</w:t>
    </w:r>
    <w:r w:rsidR="00286378">
      <w:rPr>
        <w:i/>
        <w:sz w:val="18"/>
      </w:rPr>
      <w:noBreakHyphen/>
      <w:t>profit Sector Freedom to Advocate Act 2013</w:t>
    </w:r>
    <w:r w:rsidRPr="007A1328">
      <w:rPr>
        <w:i/>
        <w:sz w:val="18"/>
      </w:rPr>
      <w:fldChar w:fldCharType="end"/>
    </w:r>
    <w:r w:rsidR="00715914"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 w:rsidR="00DD25A4">
      <w:rPr>
        <w:i/>
        <w:sz w:val="18"/>
      </w:rPr>
      <w:instrText xml:space="preserve"> DOCPROPERTY ActNo </w:instrText>
    </w:r>
    <w:r w:rsidRPr="007A1328">
      <w:rPr>
        <w:i/>
        <w:sz w:val="18"/>
      </w:rPr>
      <w:fldChar w:fldCharType="separate"/>
    </w:r>
    <w:r w:rsidR="00286378">
      <w:rPr>
        <w:i/>
        <w:sz w:val="18"/>
      </w:rPr>
      <w:t>No. 56, 2013</w:t>
    </w:r>
    <w:r w:rsidRPr="007A1328">
      <w:rPr>
        <w:i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390B6D">
    <w:pPr>
      <w:pBdr>
        <w:top w:val="single" w:sz="6" w:space="1" w:color="auto"/>
      </w:pBdr>
      <w:spacing w:before="120"/>
      <w:rPr>
        <w:sz w:val="18"/>
      </w:rPr>
    </w:pPr>
  </w:p>
  <w:p w:rsidR="00715914" w:rsidRPr="007A1328" w:rsidRDefault="00F83989" w:rsidP="00715914">
    <w:pPr>
      <w:jc w:val="right"/>
      <w:rPr>
        <w:i/>
        <w:sz w:val="18"/>
      </w:rPr>
    </w:pPr>
    <w:r w:rsidRPr="007A1328">
      <w:rPr>
        <w:i/>
        <w:sz w:val="18"/>
      </w:rPr>
      <w:fldChar w:fldCharType="begin"/>
    </w:r>
    <w:r w:rsidR="00DD25A4">
      <w:rPr>
        <w:i/>
        <w:sz w:val="18"/>
      </w:rPr>
      <w:instrText xml:space="preserve"> DOCPROPERTY ShortT </w:instrText>
    </w:r>
    <w:r w:rsidRPr="007A1328">
      <w:rPr>
        <w:i/>
        <w:sz w:val="18"/>
      </w:rPr>
      <w:fldChar w:fldCharType="separate"/>
    </w:r>
    <w:r w:rsidR="00286378">
      <w:rPr>
        <w:i/>
        <w:sz w:val="18"/>
      </w:rPr>
      <w:t>Not</w:t>
    </w:r>
    <w:r w:rsidR="00286378">
      <w:rPr>
        <w:i/>
        <w:sz w:val="18"/>
      </w:rPr>
      <w:noBreakHyphen/>
      <w:t>for</w:t>
    </w:r>
    <w:r w:rsidR="00286378">
      <w:rPr>
        <w:i/>
        <w:sz w:val="18"/>
      </w:rPr>
      <w:noBreakHyphen/>
      <w:t>profit Sector Freedom to Advocate Act 2013</w:t>
    </w:r>
    <w:r w:rsidRPr="007A1328">
      <w:rPr>
        <w:i/>
        <w:sz w:val="18"/>
      </w:rPr>
      <w:fldChar w:fldCharType="end"/>
    </w:r>
    <w:r w:rsidR="00715914"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 w:rsidR="00DD25A4">
      <w:rPr>
        <w:i/>
        <w:sz w:val="18"/>
      </w:rPr>
      <w:instrText xml:space="preserve"> DOCPROPERTY ActNo </w:instrText>
    </w:r>
    <w:r w:rsidRPr="007A1328">
      <w:rPr>
        <w:i/>
        <w:sz w:val="18"/>
      </w:rPr>
      <w:fldChar w:fldCharType="separate"/>
    </w:r>
    <w:r w:rsidR="00286378">
      <w:rPr>
        <w:i/>
        <w:sz w:val="18"/>
      </w:rPr>
      <w:t>No. 56, 2013</w:t>
    </w:r>
    <w:r w:rsidRPr="007A1328">
      <w:rPr>
        <w:i/>
        <w:sz w:val="18"/>
      </w:rPr>
      <w:fldChar w:fldCharType="end"/>
    </w:r>
    <w:r w:rsidR="00715914" w:rsidRPr="007A1328">
      <w:rPr>
        <w:i/>
        <w:sz w:val="18"/>
      </w:rPr>
      <w:t xml:space="preserve">            </w:t>
    </w:r>
    <w:r w:rsidRPr="007A1328">
      <w:rPr>
        <w:i/>
        <w:sz w:val="18"/>
      </w:rPr>
      <w:fldChar w:fldCharType="begin"/>
    </w:r>
    <w:r w:rsidR="00715914"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9140ED">
      <w:rPr>
        <w:i/>
        <w:noProof/>
        <w:sz w:val="18"/>
      </w:rPr>
      <w:t>3</w:t>
    </w:r>
    <w:r w:rsidRPr="007A1328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390B6D">
    <w:pPr>
      <w:pBdr>
        <w:top w:val="single" w:sz="6" w:space="1" w:color="auto"/>
      </w:pBdr>
      <w:spacing w:before="120"/>
      <w:rPr>
        <w:sz w:val="18"/>
      </w:rPr>
    </w:pPr>
  </w:p>
  <w:p w:rsidR="00715914" w:rsidRPr="007A1328" w:rsidRDefault="00F83989" w:rsidP="00715914">
    <w:pPr>
      <w:jc w:val="right"/>
      <w:rPr>
        <w:i/>
        <w:sz w:val="18"/>
      </w:rPr>
    </w:pPr>
    <w:r w:rsidRPr="007A1328">
      <w:rPr>
        <w:i/>
        <w:sz w:val="18"/>
      </w:rPr>
      <w:fldChar w:fldCharType="begin"/>
    </w:r>
    <w:r w:rsidR="00DD25A4">
      <w:rPr>
        <w:i/>
        <w:sz w:val="18"/>
      </w:rPr>
      <w:instrText xml:space="preserve"> DOCPROPERTY ShortT </w:instrText>
    </w:r>
    <w:r w:rsidRPr="007A1328">
      <w:rPr>
        <w:i/>
        <w:sz w:val="18"/>
      </w:rPr>
      <w:fldChar w:fldCharType="separate"/>
    </w:r>
    <w:r w:rsidR="00286378">
      <w:rPr>
        <w:i/>
        <w:sz w:val="18"/>
      </w:rPr>
      <w:t>Not</w:t>
    </w:r>
    <w:r w:rsidR="00286378">
      <w:rPr>
        <w:i/>
        <w:sz w:val="18"/>
      </w:rPr>
      <w:noBreakHyphen/>
      <w:t>for</w:t>
    </w:r>
    <w:r w:rsidR="00286378">
      <w:rPr>
        <w:i/>
        <w:sz w:val="18"/>
      </w:rPr>
      <w:noBreakHyphen/>
      <w:t>profit Sector Freedom to Advocate Act 2013</w:t>
    </w:r>
    <w:r w:rsidRPr="007A1328">
      <w:rPr>
        <w:i/>
        <w:sz w:val="18"/>
      </w:rPr>
      <w:fldChar w:fldCharType="end"/>
    </w:r>
    <w:r w:rsidR="00715914"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 w:rsidR="00DD25A4">
      <w:rPr>
        <w:i/>
        <w:sz w:val="18"/>
      </w:rPr>
      <w:instrText xml:space="preserve"> DOCPROPERTY ActNo </w:instrText>
    </w:r>
    <w:r w:rsidRPr="007A1328">
      <w:rPr>
        <w:i/>
        <w:sz w:val="18"/>
      </w:rPr>
      <w:fldChar w:fldCharType="separate"/>
    </w:r>
    <w:r w:rsidR="00286378">
      <w:rPr>
        <w:i/>
        <w:sz w:val="18"/>
      </w:rPr>
      <w:t>No. 56, 2013</w:t>
    </w:r>
    <w:r w:rsidRPr="007A1328">
      <w:rPr>
        <w:i/>
        <w:sz w:val="18"/>
      </w:rPr>
      <w:fldChar w:fldCharType="end"/>
    </w:r>
    <w:r w:rsidR="00715914" w:rsidRPr="007A1328">
      <w:rPr>
        <w:i/>
        <w:sz w:val="18"/>
      </w:rPr>
      <w:t xml:space="preserve">       </w:t>
    </w:r>
    <w:r w:rsidRPr="007A1328">
      <w:rPr>
        <w:i/>
        <w:sz w:val="18"/>
      </w:rPr>
      <w:fldChar w:fldCharType="begin"/>
    </w:r>
    <w:r w:rsidR="00715914" w:rsidRPr="007A1328">
      <w:rPr>
        <w:i/>
        <w:sz w:val="18"/>
      </w:rPr>
      <w:instrText xml:space="preserve"> PAGE </w:instrText>
    </w:r>
    <w:r w:rsidRPr="007A1328">
      <w:rPr>
        <w:i/>
        <w:sz w:val="18"/>
      </w:rPr>
      <w:fldChar w:fldCharType="separate"/>
    </w:r>
    <w:r w:rsidR="009140ED">
      <w:rPr>
        <w:i/>
        <w:noProof/>
        <w:sz w:val="18"/>
      </w:rPr>
      <w:t>1</w:t>
    </w:r>
    <w:r w:rsidRPr="007A1328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F2" w:rsidRDefault="000802F2" w:rsidP="00715914">
      <w:pPr>
        <w:spacing w:line="240" w:lineRule="auto"/>
      </w:pPr>
      <w:r>
        <w:separator/>
      </w:r>
    </w:p>
  </w:footnote>
  <w:footnote w:type="continuationSeparator" w:id="0">
    <w:p w:rsidR="000802F2" w:rsidRDefault="000802F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Bdr>
        <w:bottom w:val="single" w:sz="12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15914" w:rsidP="00715914">
    <w:pPr>
      <w:pBdr>
        <w:bottom w:val="single" w:sz="6" w:space="1" w:color="auto"/>
      </w:pBdr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140ED">
      <w:rPr>
        <w:noProof/>
        <w:sz w:val="24"/>
      </w:rPr>
      <w:t>7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15914" w:rsidP="00715914">
    <w:pPr>
      <w:pBdr>
        <w:bottom w:val="single" w:sz="6" w:space="1" w:color="auto"/>
      </w:pBdr>
      <w:jc w:val="right"/>
      <w:rPr>
        <w:sz w:val="24"/>
      </w:rPr>
    </w:pPr>
    <w:r w:rsidRPr="007A1328">
      <w:rPr>
        <w:sz w:val="24"/>
      </w:rPr>
      <w:t xml:space="preserve">Section </w:t>
    </w:r>
    <w:r w:rsidR="00F83989"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140ED">
      <w:rPr>
        <w:noProof/>
        <w:sz w:val="24"/>
      </w:rPr>
      <w:t>4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FADF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238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2C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9AC5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B4D5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A4B6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34D1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120D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64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980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DC409D"/>
    <w:multiLevelType w:val="hybridMultilevel"/>
    <w:tmpl w:val="6E10DC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F2"/>
    <w:rsid w:val="00006CF8"/>
    <w:rsid w:val="000136AF"/>
    <w:rsid w:val="0004098A"/>
    <w:rsid w:val="000519D3"/>
    <w:rsid w:val="000614BF"/>
    <w:rsid w:val="000802F2"/>
    <w:rsid w:val="00087D46"/>
    <w:rsid w:val="000C3336"/>
    <w:rsid w:val="000C3393"/>
    <w:rsid w:val="000D05EF"/>
    <w:rsid w:val="000D3ECD"/>
    <w:rsid w:val="000E2261"/>
    <w:rsid w:val="000E3F92"/>
    <w:rsid w:val="000F21C1"/>
    <w:rsid w:val="000F5F83"/>
    <w:rsid w:val="0010745C"/>
    <w:rsid w:val="00132E95"/>
    <w:rsid w:val="00163A52"/>
    <w:rsid w:val="00166C2F"/>
    <w:rsid w:val="001939E1"/>
    <w:rsid w:val="00195382"/>
    <w:rsid w:val="001C69C4"/>
    <w:rsid w:val="001C7CE1"/>
    <w:rsid w:val="001D11E9"/>
    <w:rsid w:val="001D37EF"/>
    <w:rsid w:val="001E3287"/>
    <w:rsid w:val="001E3590"/>
    <w:rsid w:val="001E7407"/>
    <w:rsid w:val="001F5D5E"/>
    <w:rsid w:val="001F6219"/>
    <w:rsid w:val="001F7C82"/>
    <w:rsid w:val="00205BC6"/>
    <w:rsid w:val="002065DA"/>
    <w:rsid w:val="002142D3"/>
    <w:rsid w:val="00236C23"/>
    <w:rsid w:val="0024010F"/>
    <w:rsid w:val="00240749"/>
    <w:rsid w:val="00240EB9"/>
    <w:rsid w:val="002564A4"/>
    <w:rsid w:val="0026490B"/>
    <w:rsid w:val="00266B97"/>
    <w:rsid w:val="00266E21"/>
    <w:rsid w:val="00286378"/>
    <w:rsid w:val="00297ECB"/>
    <w:rsid w:val="002C56A9"/>
    <w:rsid w:val="002D043A"/>
    <w:rsid w:val="002D2E44"/>
    <w:rsid w:val="002D6224"/>
    <w:rsid w:val="002F1274"/>
    <w:rsid w:val="002F2D8B"/>
    <w:rsid w:val="00316036"/>
    <w:rsid w:val="00324303"/>
    <w:rsid w:val="003415D3"/>
    <w:rsid w:val="00343B7E"/>
    <w:rsid w:val="00352B0F"/>
    <w:rsid w:val="00360459"/>
    <w:rsid w:val="003609FE"/>
    <w:rsid w:val="00364EFF"/>
    <w:rsid w:val="00377E83"/>
    <w:rsid w:val="00390B6D"/>
    <w:rsid w:val="00393B45"/>
    <w:rsid w:val="00394D9B"/>
    <w:rsid w:val="003A7E1C"/>
    <w:rsid w:val="003C764B"/>
    <w:rsid w:val="003D0BFE"/>
    <w:rsid w:val="003D5700"/>
    <w:rsid w:val="003D7FB5"/>
    <w:rsid w:val="003E00F8"/>
    <w:rsid w:val="004116CD"/>
    <w:rsid w:val="00417EB9"/>
    <w:rsid w:val="00424CA9"/>
    <w:rsid w:val="00435C6B"/>
    <w:rsid w:val="0044291A"/>
    <w:rsid w:val="00484FB7"/>
    <w:rsid w:val="00496F97"/>
    <w:rsid w:val="004A7F60"/>
    <w:rsid w:val="004B38C1"/>
    <w:rsid w:val="004E7BEC"/>
    <w:rsid w:val="00516B8D"/>
    <w:rsid w:val="00536523"/>
    <w:rsid w:val="00537FBC"/>
    <w:rsid w:val="00542B1D"/>
    <w:rsid w:val="00555ACF"/>
    <w:rsid w:val="00576319"/>
    <w:rsid w:val="00581E15"/>
    <w:rsid w:val="00584059"/>
    <w:rsid w:val="00584811"/>
    <w:rsid w:val="00590971"/>
    <w:rsid w:val="00593AA6"/>
    <w:rsid w:val="00594161"/>
    <w:rsid w:val="00594749"/>
    <w:rsid w:val="005B19EB"/>
    <w:rsid w:val="005B4067"/>
    <w:rsid w:val="005C3F41"/>
    <w:rsid w:val="005D15EC"/>
    <w:rsid w:val="005D3FEC"/>
    <w:rsid w:val="005F1299"/>
    <w:rsid w:val="00600219"/>
    <w:rsid w:val="00613A22"/>
    <w:rsid w:val="006464EF"/>
    <w:rsid w:val="00652F72"/>
    <w:rsid w:val="00677CC2"/>
    <w:rsid w:val="006905DE"/>
    <w:rsid w:val="0069207B"/>
    <w:rsid w:val="006C2748"/>
    <w:rsid w:val="006C7F8C"/>
    <w:rsid w:val="006F318F"/>
    <w:rsid w:val="00700B2C"/>
    <w:rsid w:val="00703897"/>
    <w:rsid w:val="0070635F"/>
    <w:rsid w:val="00713084"/>
    <w:rsid w:val="00715914"/>
    <w:rsid w:val="00730319"/>
    <w:rsid w:val="00731E00"/>
    <w:rsid w:val="007440B7"/>
    <w:rsid w:val="00747E02"/>
    <w:rsid w:val="00751B34"/>
    <w:rsid w:val="007715C9"/>
    <w:rsid w:val="00774EDD"/>
    <w:rsid w:val="007757EC"/>
    <w:rsid w:val="007A59F9"/>
    <w:rsid w:val="007C2A58"/>
    <w:rsid w:val="0080491E"/>
    <w:rsid w:val="008126CF"/>
    <w:rsid w:val="00830F38"/>
    <w:rsid w:val="00856A31"/>
    <w:rsid w:val="008754D0"/>
    <w:rsid w:val="0089107B"/>
    <w:rsid w:val="008A7545"/>
    <w:rsid w:val="008D0EE0"/>
    <w:rsid w:val="008F54E7"/>
    <w:rsid w:val="00903422"/>
    <w:rsid w:val="009140ED"/>
    <w:rsid w:val="00932377"/>
    <w:rsid w:val="00940885"/>
    <w:rsid w:val="00947D5A"/>
    <w:rsid w:val="009507E9"/>
    <w:rsid w:val="009532A5"/>
    <w:rsid w:val="00983E60"/>
    <w:rsid w:val="009868E9"/>
    <w:rsid w:val="00990ED3"/>
    <w:rsid w:val="009963D7"/>
    <w:rsid w:val="009D006B"/>
    <w:rsid w:val="009D1F57"/>
    <w:rsid w:val="00A22C98"/>
    <w:rsid w:val="00A231E2"/>
    <w:rsid w:val="00A64912"/>
    <w:rsid w:val="00A70A74"/>
    <w:rsid w:val="00A76D0D"/>
    <w:rsid w:val="00AA0F57"/>
    <w:rsid w:val="00AB34EB"/>
    <w:rsid w:val="00AC5862"/>
    <w:rsid w:val="00AD5641"/>
    <w:rsid w:val="00AE5CA2"/>
    <w:rsid w:val="00AF06CF"/>
    <w:rsid w:val="00B33B3C"/>
    <w:rsid w:val="00B34758"/>
    <w:rsid w:val="00B4506F"/>
    <w:rsid w:val="00B63834"/>
    <w:rsid w:val="00B64A9B"/>
    <w:rsid w:val="00B726FD"/>
    <w:rsid w:val="00B80199"/>
    <w:rsid w:val="00B93A22"/>
    <w:rsid w:val="00BA1A12"/>
    <w:rsid w:val="00BA220B"/>
    <w:rsid w:val="00BA6A13"/>
    <w:rsid w:val="00BE2543"/>
    <w:rsid w:val="00BE6614"/>
    <w:rsid w:val="00BE719A"/>
    <w:rsid w:val="00BE720A"/>
    <w:rsid w:val="00C15E49"/>
    <w:rsid w:val="00C236B4"/>
    <w:rsid w:val="00C242D6"/>
    <w:rsid w:val="00C25299"/>
    <w:rsid w:val="00C358F6"/>
    <w:rsid w:val="00C42BF8"/>
    <w:rsid w:val="00C50043"/>
    <w:rsid w:val="00C7573B"/>
    <w:rsid w:val="00CB18E3"/>
    <w:rsid w:val="00CC1F7B"/>
    <w:rsid w:val="00CF0BB2"/>
    <w:rsid w:val="00CF3EE8"/>
    <w:rsid w:val="00D02127"/>
    <w:rsid w:val="00D13004"/>
    <w:rsid w:val="00D13441"/>
    <w:rsid w:val="00D208EE"/>
    <w:rsid w:val="00D256F3"/>
    <w:rsid w:val="00D54373"/>
    <w:rsid w:val="00D70DFB"/>
    <w:rsid w:val="00D766DF"/>
    <w:rsid w:val="00DC4875"/>
    <w:rsid w:val="00DC4F88"/>
    <w:rsid w:val="00DD25A4"/>
    <w:rsid w:val="00DF2145"/>
    <w:rsid w:val="00E05704"/>
    <w:rsid w:val="00E159D1"/>
    <w:rsid w:val="00E338EF"/>
    <w:rsid w:val="00E345F0"/>
    <w:rsid w:val="00E411D4"/>
    <w:rsid w:val="00E628FB"/>
    <w:rsid w:val="00E74DC7"/>
    <w:rsid w:val="00E94D5E"/>
    <w:rsid w:val="00EA7100"/>
    <w:rsid w:val="00EB7AC1"/>
    <w:rsid w:val="00EC3721"/>
    <w:rsid w:val="00EC4ECE"/>
    <w:rsid w:val="00EE1107"/>
    <w:rsid w:val="00EF2E3A"/>
    <w:rsid w:val="00EF6566"/>
    <w:rsid w:val="00F072A7"/>
    <w:rsid w:val="00F078DC"/>
    <w:rsid w:val="00F2591E"/>
    <w:rsid w:val="00F5644D"/>
    <w:rsid w:val="00F73BD6"/>
    <w:rsid w:val="00F83989"/>
    <w:rsid w:val="00F8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0B6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0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B450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0B6D"/>
  </w:style>
  <w:style w:type="paragraph" w:customStyle="1" w:styleId="OPCParaBase">
    <w:name w:val="OPCParaBase"/>
    <w:link w:val="OPCParaBaseChar"/>
    <w:qFormat/>
    <w:rsid w:val="00390B6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90B6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0B6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0B6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0B6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0B6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90B6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0B6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0B6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0B6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0B6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90B6D"/>
  </w:style>
  <w:style w:type="paragraph" w:customStyle="1" w:styleId="Blocks">
    <w:name w:val="Blocks"/>
    <w:aliases w:val="bb"/>
    <w:basedOn w:val="OPCParaBase"/>
    <w:qFormat/>
    <w:rsid w:val="00390B6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0B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0B6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0B6D"/>
    <w:rPr>
      <w:i/>
    </w:rPr>
  </w:style>
  <w:style w:type="paragraph" w:customStyle="1" w:styleId="BoxList">
    <w:name w:val="BoxList"/>
    <w:aliases w:val="bl"/>
    <w:basedOn w:val="BoxText"/>
    <w:qFormat/>
    <w:rsid w:val="00390B6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0B6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0B6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0B6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90B6D"/>
  </w:style>
  <w:style w:type="character" w:customStyle="1" w:styleId="CharAmPartText">
    <w:name w:val="CharAmPartText"/>
    <w:basedOn w:val="OPCCharBase"/>
    <w:uiPriority w:val="1"/>
    <w:qFormat/>
    <w:rsid w:val="00390B6D"/>
  </w:style>
  <w:style w:type="character" w:customStyle="1" w:styleId="CharAmSchNo">
    <w:name w:val="CharAmSchNo"/>
    <w:basedOn w:val="OPCCharBase"/>
    <w:uiPriority w:val="1"/>
    <w:qFormat/>
    <w:rsid w:val="00390B6D"/>
  </w:style>
  <w:style w:type="character" w:customStyle="1" w:styleId="CharAmSchText">
    <w:name w:val="CharAmSchText"/>
    <w:basedOn w:val="OPCCharBase"/>
    <w:uiPriority w:val="1"/>
    <w:qFormat/>
    <w:rsid w:val="00390B6D"/>
  </w:style>
  <w:style w:type="character" w:customStyle="1" w:styleId="CharBoldItalic">
    <w:name w:val="CharBoldItalic"/>
    <w:basedOn w:val="OPCCharBase"/>
    <w:uiPriority w:val="1"/>
    <w:qFormat/>
    <w:rsid w:val="00390B6D"/>
    <w:rPr>
      <w:b/>
      <w:i/>
    </w:rPr>
  </w:style>
  <w:style w:type="character" w:customStyle="1" w:styleId="CharChapNo">
    <w:name w:val="CharChapNo"/>
    <w:basedOn w:val="OPCCharBase"/>
    <w:qFormat/>
    <w:rsid w:val="00390B6D"/>
  </w:style>
  <w:style w:type="character" w:customStyle="1" w:styleId="CharChapText">
    <w:name w:val="CharChapText"/>
    <w:basedOn w:val="OPCCharBase"/>
    <w:qFormat/>
    <w:rsid w:val="00390B6D"/>
  </w:style>
  <w:style w:type="character" w:customStyle="1" w:styleId="CharDivNo">
    <w:name w:val="CharDivNo"/>
    <w:basedOn w:val="OPCCharBase"/>
    <w:qFormat/>
    <w:rsid w:val="00390B6D"/>
  </w:style>
  <w:style w:type="character" w:customStyle="1" w:styleId="CharDivText">
    <w:name w:val="CharDivText"/>
    <w:basedOn w:val="OPCCharBase"/>
    <w:qFormat/>
    <w:rsid w:val="00390B6D"/>
  </w:style>
  <w:style w:type="character" w:customStyle="1" w:styleId="CharItalic">
    <w:name w:val="CharItalic"/>
    <w:basedOn w:val="OPCCharBase"/>
    <w:uiPriority w:val="1"/>
    <w:qFormat/>
    <w:rsid w:val="00390B6D"/>
    <w:rPr>
      <w:i/>
    </w:rPr>
  </w:style>
  <w:style w:type="character" w:customStyle="1" w:styleId="CharPartNo">
    <w:name w:val="CharPartNo"/>
    <w:basedOn w:val="OPCCharBase"/>
    <w:qFormat/>
    <w:rsid w:val="00390B6D"/>
  </w:style>
  <w:style w:type="character" w:customStyle="1" w:styleId="CharPartText">
    <w:name w:val="CharPartText"/>
    <w:basedOn w:val="OPCCharBase"/>
    <w:qFormat/>
    <w:rsid w:val="00390B6D"/>
  </w:style>
  <w:style w:type="character" w:customStyle="1" w:styleId="CharSectno">
    <w:name w:val="CharSectno"/>
    <w:basedOn w:val="OPCCharBase"/>
    <w:qFormat/>
    <w:rsid w:val="00390B6D"/>
  </w:style>
  <w:style w:type="character" w:customStyle="1" w:styleId="CharSubdNo">
    <w:name w:val="CharSubdNo"/>
    <w:basedOn w:val="OPCCharBase"/>
    <w:uiPriority w:val="1"/>
    <w:qFormat/>
    <w:rsid w:val="00390B6D"/>
  </w:style>
  <w:style w:type="character" w:customStyle="1" w:styleId="CharSubdText">
    <w:name w:val="CharSubdText"/>
    <w:basedOn w:val="OPCCharBase"/>
    <w:uiPriority w:val="1"/>
    <w:qFormat/>
    <w:rsid w:val="00390B6D"/>
  </w:style>
  <w:style w:type="paragraph" w:customStyle="1" w:styleId="CTA--">
    <w:name w:val="CTA --"/>
    <w:basedOn w:val="OPCParaBase"/>
    <w:next w:val="Normal"/>
    <w:rsid w:val="00390B6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0B6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0B6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0B6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0B6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0B6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0B6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0B6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0B6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0B6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0B6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0B6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0B6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0B6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90B6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0B6D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390B6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0B6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0B6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0B6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0B6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0B6D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0B6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0B6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0B6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0B6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0B6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90B6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90B6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0B6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0B6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0B6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0B6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0B6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0B6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0B6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0B6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0B6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0B6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0B6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0B6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0B6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0B6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0B6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0B6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0B6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0B6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0B6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0B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0B6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0B6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0B6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90B6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90B6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90B6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90B6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90B6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0B6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0B6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0B6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0B6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0B6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0B6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0B6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90B6D"/>
    <w:rPr>
      <w:sz w:val="16"/>
    </w:rPr>
  </w:style>
  <w:style w:type="table" w:customStyle="1" w:styleId="CFlag">
    <w:name w:val="CFlag"/>
    <w:basedOn w:val="TableNormal"/>
    <w:uiPriority w:val="99"/>
    <w:rsid w:val="00390B6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nCoverPageEnd">
    <w:name w:val="SignCoverPageEnd"/>
    <w:basedOn w:val="OPCParaBase"/>
    <w:next w:val="Normal"/>
    <w:rsid w:val="00390B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0B6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otesHeading1">
    <w:name w:val="ENotesHeading 1"/>
    <w:aliases w:val="Enh1"/>
    <w:basedOn w:val="OPCParaBase"/>
    <w:next w:val="ENotesHeading2"/>
    <w:rsid w:val="00390B6D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390B6D"/>
    <w:pPr>
      <w:spacing w:before="120" w:after="120"/>
      <w:outlineLvl w:val="6"/>
    </w:pPr>
    <w:rPr>
      <w:b/>
      <w:sz w:val="24"/>
      <w:szCs w:val="28"/>
    </w:rPr>
  </w:style>
  <w:style w:type="paragraph" w:customStyle="1" w:styleId="CompiledActNo">
    <w:name w:val="CompiledActNo"/>
    <w:basedOn w:val="OPCParaBase"/>
    <w:next w:val="Normal"/>
    <w:rsid w:val="00390B6D"/>
    <w:rPr>
      <w:b/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0B6D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390B6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90B6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90B6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90B6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0B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90B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0B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90B6D"/>
    <w:pPr>
      <w:spacing w:before="60" w:line="240" w:lineRule="auto"/>
    </w:pPr>
    <w:rPr>
      <w:rFonts w:cs="Arial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5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6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6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9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875"/>
    <w:pPr>
      <w:spacing w:line="240" w:lineRule="auto"/>
      <w:ind w:left="720"/>
    </w:pPr>
    <w:rPr>
      <w:rFonts w:ascii="Calibri" w:eastAsia="Times New Roman" w:hAnsi="Calibri" w:cs="Calibri"/>
      <w:sz w:val="20"/>
      <w:lang w:eastAsia="en-AU"/>
    </w:rPr>
  </w:style>
  <w:style w:type="paragraph" w:customStyle="1" w:styleId="SubPartCASA">
    <w:name w:val="SubPart(CASA)"/>
    <w:aliases w:val="csp"/>
    <w:basedOn w:val="OPCParaBase"/>
    <w:next w:val="ActHead3"/>
    <w:rsid w:val="00390B6D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390B6D"/>
    <w:pPr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90B6D"/>
    <w:pPr>
      <w:spacing w:before="40" w:line="198" w:lineRule="exact"/>
      <w:ind w:left="2835" w:hanging="709"/>
    </w:pPr>
    <w:rPr>
      <w:sz w:val="18"/>
    </w:rPr>
  </w:style>
  <w:style w:type="paragraph" w:customStyle="1" w:styleId="ShortTP1">
    <w:name w:val="ShortTP1"/>
    <w:basedOn w:val="ShortT"/>
    <w:link w:val="ShortTP1Char"/>
    <w:rsid w:val="00D0212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0212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0212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0212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0212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0212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02127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D02127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D02127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D02127"/>
  </w:style>
  <w:style w:type="character" w:customStyle="1" w:styleId="ShortTCPChar">
    <w:name w:val="ShortTCP Char"/>
    <w:basedOn w:val="ShortTChar"/>
    <w:link w:val="ShortTCP"/>
    <w:rsid w:val="00D0212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02127"/>
    <w:pPr>
      <w:spacing w:before="400"/>
    </w:pPr>
  </w:style>
  <w:style w:type="character" w:customStyle="1" w:styleId="ActNoCPChar">
    <w:name w:val="ActNoCP Char"/>
    <w:basedOn w:val="ActnoChar"/>
    <w:link w:val="ActNoCP"/>
    <w:rsid w:val="00D0212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0212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2430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2430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2430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0B6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0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B450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90B6D"/>
  </w:style>
  <w:style w:type="paragraph" w:customStyle="1" w:styleId="OPCParaBase">
    <w:name w:val="OPCParaBase"/>
    <w:link w:val="OPCParaBaseChar"/>
    <w:qFormat/>
    <w:rsid w:val="00390B6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390B6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90B6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90B6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90B6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90B6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90B6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90B6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90B6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90B6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90B6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390B6D"/>
  </w:style>
  <w:style w:type="paragraph" w:customStyle="1" w:styleId="Blocks">
    <w:name w:val="Blocks"/>
    <w:aliases w:val="bb"/>
    <w:basedOn w:val="OPCParaBase"/>
    <w:qFormat/>
    <w:rsid w:val="00390B6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90B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90B6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90B6D"/>
    <w:rPr>
      <w:i/>
    </w:rPr>
  </w:style>
  <w:style w:type="paragraph" w:customStyle="1" w:styleId="BoxList">
    <w:name w:val="BoxList"/>
    <w:aliases w:val="bl"/>
    <w:basedOn w:val="BoxText"/>
    <w:qFormat/>
    <w:rsid w:val="00390B6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90B6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90B6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90B6D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390B6D"/>
  </w:style>
  <w:style w:type="character" w:customStyle="1" w:styleId="CharAmPartText">
    <w:name w:val="CharAmPartText"/>
    <w:basedOn w:val="OPCCharBase"/>
    <w:uiPriority w:val="1"/>
    <w:qFormat/>
    <w:rsid w:val="00390B6D"/>
  </w:style>
  <w:style w:type="character" w:customStyle="1" w:styleId="CharAmSchNo">
    <w:name w:val="CharAmSchNo"/>
    <w:basedOn w:val="OPCCharBase"/>
    <w:uiPriority w:val="1"/>
    <w:qFormat/>
    <w:rsid w:val="00390B6D"/>
  </w:style>
  <w:style w:type="character" w:customStyle="1" w:styleId="CharAmSchText">
    <w:name w:val="CharAmSchText"/>
    <w:basedOn w:val="OPCCharBase"/>
    <w:uiPriority w:val="1"/>
    <w:qFormat/>
    <w:rsid w:val="00390B6D"/>
  </w:style>
  <w:style w:type="character" w:customStyle="1" w:styleId="CharBoldItalic">
    <w:name w:val="CharBoldItalic"/>
    <w:basedOn w:val="OPCCharBase"/>
    <w:uiPriority w:val="1"/>
    <w:qFormat/>
    <w:rsid w:val="00390B6D"/>
    <w:rPr>
      <w:b/>
      <w:i/>
    </w:rPr>
  </w:style>
  <w:style w:type="character" w:customStyle="1" w:styleId="CharChapNo">
    <w:name w:val="CharChapNo"/>
    <w:basedOn w:val="OPCCharBase"/>
    <w:qFormat/>
    <w:rsid w:val="00390B6D"/>
  </w:style>
  <w:style w:type="character" w:customStyle="1" w:styleId="CharChapText">
    <w:name w:val="CharChapText"/>
    <w:basedOn w:val="OPCCharBase"/>
    <w:qFormat/>
    <w:rsid w:val="00390B6D"/>
  </w:style>
  <w:style w:type="character" w:customStyle="1" w:styleId="CharDivNo">
    <w:name w:val="CharDivNo"/>
    <w:basedOn w:val="OPCCharBase"/>
    <w:qFormat/>
    <w:rsid w:val="00390B6D"/>
  </w:style>
  <w:style w:type="character" w:customStyle="1" w:styleId="CharDivText">
    <w:name w:val="CharDivText"/>
    <w:basedOn w:val="OPCCharBase"/>
    <w:qFormat/>
    <w:rsid w:val="00390B6D"/>
  </w:style>
  <w:style w:type="character" w:customStyle="1" w:styleId="CharItalic">
    <w:name w:val="CharItalic"/>
    <w:basedOn w:val="OPCCharBase"/>
    <w:uiPriority w:val="1"/>
    <w:qFormat/>
    <w:rsid w:val="00390B6D"/>
    <w:rPr>
      <w:i/>
    </w:rPr>
  </w:style>
  <w:style w:type="character" w:customStyle="1" w:styleId="CharPartNo">
    <w:name w:val="CharPartNo"/>
    <w:basedOn w:val="OPCCharBase"/>
    <w:qFormat/>
    <w:rsid w:val="00390B6D"/>
  </w:style>
  <w:style w:type="character" w:customStyle="1" w:styleId="CharPartText">
    <w:name w:val="CharPartText"/>
    <w:basedOn w:val="OPCCharBase"/>
    <w:qFormat/>
    <w:rsid w:val="00390B6D"/>
  </w:style>
  <w:style w:type="character" w:customStyle="1" w:styleId="CharSectno">
    <w:name w:val="CharSectno"/>
    <w:basedOn w:val="OPCCharBase"/>
    <w:qFormat/>
    <w:rsid w:val="00390B6D"/>
  </w:style>
  <w:style w:type="character" w:customStyle="1" w:styleId="CharSubdNo">
    <w:name w:val="CharSubdNo"/>
    <w:basedOn w:val="OPCCharBase"/>
    <w:uiPriority w:val="1"/>
    <w:qFormat/>
    <w:rsid w:val="00390B6D"/>
  </w:style>
  <w:style w:type="character" w:customStyle="1" w:styleId="CharSubdText">
    <w:name w:val="CharSubdText"/>
    <w:basedOn w:val="OPCCharBase"/>
    <w:uiPriority w:val="1"/>
    <w:qFormat/>
    <w:rsid w:val="00390B6D"/>
  </w:style>
  <w:style w:type="paragraph" w:customStyle="1" w:styleId="CTA--">
    <w:name w:val="CTA --"/>
    <w:basedOn w:val="OPCParaBase"/>
    <w:next w:val="Normal"/>
    <w:rsid w:val="00390B6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90B6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90B6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90B6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90B6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90B6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90B6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90B6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90B6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90B6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90B6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90B6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90B6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90B6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90B6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90B6D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390B6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90B6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0B6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90B6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90B6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90B6D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90B6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90B6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90B6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90B6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90B6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90B6D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90B6D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90B6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90B6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90B6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90B6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90B6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90B6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90B6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90B6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90B6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90B6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90B6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90B6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90B6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90B6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90B6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90B6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90B6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90B6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90B6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90B6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90B6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90B6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90B6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90B6D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90B6D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90B6D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90B6D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390B6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90B6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90B6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90B6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90B6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90B6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90B6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90B6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90B6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90B6D"/>
    <w:rPr>
      <w:sz w:val="16"/>
    </w:rPr>
  </w:style>
  <w:style w:type="table" w:customStyle="1" w:styleId="CFlag">
    <w:name w:val="CFlag"/>
    <w:basedOn w:val="TableNormal"/>
    <w:uiPriority w:val="99"/>
    <w:rsid w:val="00390B6D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nCoverPageEnd">
    <w:name w:val="SignCoverPageEnd"/>
    <w:basedOn w:val="OPCParaBase"/>
    <w:next w:val="Normal"/>
    <w:rsid w:val="00390B6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90B6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otesHeading1">
    <w:name w:val="ENotesHeading 1"/>
    <w:aliases w:val="Enh1"/>
    <w:basedOn w:val="OPCParaBase"/>
    <w:next w:val="ENotesHeading2"/>
    <w:rsid w:val="00390B6D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390B6D"/>
    <w:pPr>
      <w:spacing w:before="120" w:after="120"/>
      <w:outlineLvl w:val="6"/>
    </w:pPr>
    <w:rPr>
      <w:b/>
      <w:sz w:val="24"/>
      <w:szCs w:val="28"/>
    </w:rPr>
  </w:style>
  <w:style w:type="paragraph" w:customStyle="1" w:styleId="CompiledActNo">
    <w:name w:val="CompiledActNo"/>
    <w:basedOn w:val="OPCParaBase"/>
    <w:next w:val="Normal"/>
    <w:rsid w:val="00390B6D"/>
    <w:rPr>
      <w:b/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90B6D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390B6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90B6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90B6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90B6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90B6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90B6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90B6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90B6D"/>
    <w:pPr>
      <w:spacing w:before="60" w:line="240" w:lineRule="auto"/>
    </w:pPr>
    <w:rPr>
      <w:rFonts w:cs="Arial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5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6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6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6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6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6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6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9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4875"/>
    <w:pPr>
      <w:spacing w:line="240" w:lineRule="auto"/>
      <w:ind w:left="720"/>
    </w:pPr>
    <w:rPr>
      <w:rFonts w:ascii="Calibri" w:eastAsia="Times New Roman" w:hAnsi="Calibri" w:cs="Calibri"/>
      <w:sz w:val="20"/>
      <w:lang w:eastAsia="en-AU"/>
    </w:rPr>
  </w:style>
  <w:style w:type="paragraph" w:customStyle="1" w:styleId="SubPartCASA">
    <w:name w:val="SubPart(CASA)"/>
    <w:aliases w:val="csp"/>
    <w:basedOn w:val="OPCParaBase"/>
    <w:next w:val="ActHead3"/>
    <w:rsid w:val="00390B6D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390B6D"/>
    <w:pPr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90B6D"/>
    <w:pPr>
      <w:spacing w:before="40" w:line="198" w:lineRule="exact"/>
      <w:ind w:left="2835" w:hanging="709"/>
    </w:pPr>
    <w:rPr>
      <w:sz w:val="18"/>
    </w:rPr>
  </w:style>
  <w:style w:type="paragraph" w:customStyle="1" w:styleId="ShortTP1">
    <w:name w:val="ShortTP1"/>
    <w:basedOn w:val="ShortT"/>
    <w:link w:val="ShortTP1Char"/>
    <w:rsid w:val="00D0212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0212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0212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0212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0212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0212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02127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D02127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D02127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D02127"/>
  </w:style>
  <w:style w:type="character" w:customStyle="1" w:styleId="ShortTCPChar">
    <w:name w:val="ShortTCP Char"/>
    <w:basedOn w:val="ShortTChar"/>
    <w:link w:val="ShortTCP"/>
    <w:rsid w:val="00D0212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02127"/>
    <w:pPr>
      <w:spacing w:before="400"/>
    </w:pPr>
  </w:style>
  <w:style w:type="character" w:customStyle="1" w:styleId="ActNoCPChar">
    <w:name w:val="ActNoCP Char"/>
    <w:basedOn w:val="ActnoChar"/>
    <w:link w:val="ActNoCP"/>
    <w:rsid w:val="00D0212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0212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2430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2430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24303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8</Pages>
  <Words>678</Words>
  <Characters>4286</Characters>
  <Application>Microsoft Office Word</Application>
  <DocSecurity>4</DocSecurity>
  <PresentationFormat/>
  <Lines>126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2013-06-14T01:34:00Z</dcterms:created>
  <dcterms:modified xsi:type="dcterms:W3CDTF">2013-06-14T01:34:00Z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Not_x001e_for_x001e_profit Sector Freedom to Advocate Act 2013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OPC4989</vt:lpwstr>
  </property>
  <property fmtid="{D5CDD505-2E9C-101B-9397-08002B2CF9AE}" pid="8" name="ActNo">
    <vt:lpwstr>No. 56, 2013</vt:lpwstr>
  </property>
  <property fmtid="{D5CDD505-2E9C-101B-9397-08002B2CF9AE}" pid="9" name="Classification">
    <vt:lpwstr> 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