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50" w:rsidRDefault="007E5950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78pt" o:ole="" fillcolor="window">
            <v:imagedata r:id="rId8" o:title=""/>
          </v:shape>
          <o:OLEObject Type="Embed" ProgID="Word.Picture.8" ShapeID="_x0000_i1025" DrawAspect="Content" ObjectID="_1443948943" r:id="rId9"/>
        </w:object>
      </w:r>
    </w:p>
    <w:p w:rsidR="007E5950" w:rsidRDefault="007E5950"/>
    <w:p w:rsidR="007E5950" w:rsidRDefault="007E5950" w:rsidP="007E5950">
      <w:pPr>
        <w:spacing w:line="240" w:lineRule="auto"/>
      </w:pPr>
    </w:p>
    <w:p w:rsidR="007E5950" w:rsidRDefault="007E5950" w:rsidP="007E5950"/>
    <w:p w:rsidR="007E5950" w:rsidRDefault="007E5950" w:rsidP="007E5950"/>
    <w:p w:rsidR="007E5950" w:rsidRDefault="007E5950" w:rsidP="007E5950"/>
    <w:p w:rsidR="007E5950" w:rsidRDefault="007E5950" w:rsidP="007E5950"/>
    <w:p w:rsidR="00715914" w:rsidRPr="00076E3D" w:rsidRDefault="00625F95" w:rsidP="00715914">
      <w:pPr>
        <w:pStyle w:val="ShortT"/>
      </w:pPr>
      <w:r w:rsidRPr="00076E3D">
        <w:t xml:space="preserve">Protection </w:t>
      </w:r>
      <w:r w:rsidR="00815009" w:rsidRPr="00076E3D">
        <w:t xml:space="preserve">of </w:t>
      </w:r>
      <w:r w:rsidRPr="00076E3D">
        <w:t xml:space="preserve">Cultural Objects </w:t>
      </w:r>
      <w:r w:rsidR="00285321" w:rsidRPr="00076E3D">
        <w:t xml:space="preserve">on Loan </w:t>
      </w:r>
      <w:r w:rsidR="007E5950">
        <w:t>Act</w:t>
      </w:r>
      <w:r w:rsidR="000B08B5">
        <w:t xml:space="preserve"> 2013</w:t>
      </w:r>
    </w:p>
    <w:p w:rsidR="00715914" w:rsidRPr="00076E3D" w:rsidRDefault="00715914" w:rsidP="00715914"/>
    <w:p w:rsidR="00715914" w:rsidRPr="00076E3D" w:rsidRDefault="00715914" w:rsidP="007E5950">
      <w:pPr>
        <w:pStyle w:val="Actno"/>
        <w:spacing w:before="400"/>
      </w:pPr>
      <w:r w:rsidRPr="00076E3D">
        <w:t>No.</w:t>
      </w:r>
      <w:r w:rsidR="00B81AAC">
        <w:t xml:space="preserve"> 12</w:t>
      </w:r>
      <w:r w:rsidR="001F5D5E" w:rsidRPr="00076E3D">
        <w:t>, 201</w:t>
      </w:r>
      <w:r w:rsidR="000B08B5">
        <w:t>3</w:t>
      </w:r>
    </w:p>
    <w:p w:rsidR="00715914" w:rsidRPr="00076E3D" w:rsidRDefault="00715914" w:rsidP="00715914"/>
    <w:p w:rsidR="007E5950" w:rsidRDefault="007E5950" w:rsidP="007E5950"/>
    <w:p w:rsidR="007E5950" w:rsidRDefault="007E5950" w:rsidP="007E5950"/>
    <w:p w:rsidR="007E5950" w:rsidRDefault="007E5950" w:rsidP="007E5950"/>
    <w:p w:rsidR="007E5950" w:rsidRDefault="007E5950" w:rsidP="007E5950"/>
    <w:p w:rsidR="00AE47DE" w:rsidRPr="00076E3D" w:rsidRDefault="007E5950" w:rsidP="00F75572">
      <w:pPr>
        <w:pStyle w:val="LongT"/>
      </w:pPr>
      <w:r>
        <w:t>An Act</w:t>
      </w:r>
      <w:r w:rsidR="00AE47DE" w:rsidRPr="00076E3D">
        <w:t xml:space="preserve"> to encourage the loan of objects from overseas for temporary public exhibition in Australia, and for related purposes</w:t>
      </w:r>
    </w:p>
    <w:p w:rsidR="00715914" w:rsidRPr="00076E3D" w:rsidRDefault="00715914" w:rsidP="00715914">
      <w:pPr>
        <w:pStyle w:val="Header"/>
        <w:tabs>
          <w:tab w:val="clear" w:pos="4150"/>
          <w:tab w:val="clear" w:pos="8307"/>
        </w:tabs>
      </w:pPr>
      <w:r w:rsidRPr="00076E3D">
        <w:rPr>
          <w:rStyle w:val="CharChapNo"/>
        </w:rPr>
        <w:t xml:space="preserve"> </w:t>
      </w:r>
      <w:r w:rsidRPr="00076E3D">
        <w:rPr>
          <w:rStyle w:val="CharChapText"/>
        </w:rPr>
        <w:t xml:space="preserve"> </w:t>
      </w:r>
    </w:p>
    <w:p w:rsidR="00715914" w:rsidRPr="00076E3D" w:rsidRDefault="00715914" w:rsidP="00715914">
      <w:pPr>
        <w:pStyle w:val="Header"/>
        <w:tabs>
          <w:tab w:val="clear" w:pos="4150"/>
          <w:tab w:val="clear" w:pos="8307"/>
        </w:tabs>
      </w:pPr>
      <w:r w:rsidRPr="00076E3D">
        <w:rPr>
          <w:rStyle w:val="CharPartNo"/>
        </w:rPr>
        <w:t xml:space="preserve"> </w:t>
      </w:r>
      <w:r w:rsidRPr="00076E3D">
        <w:rPr>
          <w:rStyle w:val="CharPartText"/>
        </w:rPr>
        <w:t xml:space="preserve"> </w:t>
      </w:r>
    </w:p>
    <w:p w:rsidR="00715914" w:rsidRPr="00076E3D" w:rsidRDefault="00715914" w:rsidP="00715914">
      <w:pPr>
        <w:pStyle w:val="Header"/>
        <w:tabs>
          <w:tab w:val="clear" w:pos="4150"/>
          <w:tab w:val="clear" w:pos="8307"/>
        </w:tabs>
      </w:pPr>
      <w:r w:rsidRPr="00076E3D">
        <w:rPr>
          <w:rStyle w:val="CharDivNo"/>
        </w:rPr>
        <w:t xml:space="preserve"> </w:t>
      </w:r>
      <w:r w:rsidRPr="00076E3D">
        <w:rPr>
          <w:rStyle w:val="CharDivText"/>
        </w:rPr>
        <w:t xml:space="preserve"> </w:t>
      </w:r>
    </w:p>
    <w:p w:rsidR="00715914" w:rsidRPr="00076E3D" w:rsidRDefault="00715914" w:rsidP="00715914">
      <w:pPr>
        <w:sectPr w:rsidR="00715914" w:rsidRPr="00076E3D" w:rsidSect="007E59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076E3D" w:rsidRDefault="00715914" w:rsidP="00F75572">
      <w:pPr>
        <w:rPr>
          <w:sz w:val="36"/>
        </w:rPr>
      </w:pPr>
      <w:r w:rsidRPr="00076E3D">
        <w:rPr>
          <w:sz w:val="36"/>
        </w:rPr>
        <w:lastRenderedPageBreak/>
        <w:t>Contents</w:t>
      </w:r>
    </w:p>
    <w:bookmarkStart w:id="0" w:name="BKCheck15B_1"/>
    <w:bookmarkEnd w:id="0"/>
    <w:p w:rsidR="00B81AAC" w:rsidRDefault="00B81AA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B81AAC">
        <w:rPr>
          <w:b w:val="0"/>
          <w:noProof/>
          <w:sz w:val="18"/>
        </w:rPr>
        <w:tab/>
      </w:r>
      <w:r w:rsidRPr="00B81AAC">
        <w:rPr>
          <w:b w:val="0"/>
          <w:noProof/>
          <w:sz w:val="18"/>
        </w:rPr>
        <w:fldChar w:fldCharType="begin"/>
      </w:r>
      <w:r w:rsidRPr="00B81AAC">
        <w:rPr>
          <w:b w:val="0"/>
          <w:noProof/>
          <w:sz w:val="18"/>
        </w:rPr>
        <w:instrText xml:space="preserve"> PAGEREF _Toc351461588 \h </w:instrText>
      </w:r>
      <w:r w:rsidRPr="00B81AAC">
        <w:rPr>
          <w:b w:val="0"/>
          <w:noProof/>
          <w:sz w:val="18"/>
        </w:rPr>
      </w:r>
      <w:r w:rsidRPr="00B81AAC">
        <w:rPr>
          <w:b w:val="0"/>
          <w:noProof/>
          <w:sz w:val="18"/>
        </w:rPr>
        <w:fldChar w:fldCharType="separate"/>
      </w:r>
      <w:r w:rsidR="005C290F">
        <w:rPr>
          <w:b w:val="0"/>
          <w:noProof/>
          <w:sz w:val="18"/>
        </w:rPr>
        <w:t>2</w:t>
      </w:r>
      <w:r w:rsidRPr="00B81AAC">
        <w:rPr>
          <w:b w:val="0"/>
          <w:noProof/>
          <w:sz w:val="18"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_Toc351461589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2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_Toc351461590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2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Objects of this Act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_Toc351461591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3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Simplified outline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_Toc351461592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3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_Toc351461593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4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This Act binds the Crown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_Toc351461594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7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Extension to external Territories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_Toc351461595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7</w:t>
      </w:r>
      <w:r w:rsidRPr="00B81AAC">
        <w:rPr>
          <w:noProof/>
        </w:rPr>
        <w:fldChar w:fldCharType="end"/>
      </w:r>
    </w:p>
    <w:p w:rsidR="00B81AAC" w:rsidRDefault="00B81AA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2—Protection</w:t>
      </w:r>
      <w:r w:rsidRPr="00B81AAC">
        <w:rPr>
          <w:b w:val="0"/>
          <w:noProof/>
          <w:sz w:val="18"/>
        </w:rPr>
        <w:tab/>
      </w:r>
      <w:r w:rsidRPr="00B81AAC">
        <w:rPr>
          <w:b w:val="0"/>
          <w:noProof/>
          <w:sz w:val="18"/>
        </w:rPr>
        <w:fldChar w:fldCharType="begin"/>
      </w:r>
      <w:r w:rsidRPr="00B81AAC">
        <w:rPr>
          <w:b w:val="0"/>
          <w:noProof/>
          <w:sz w:val="18"/>
        </w:rPr>
        <w:instrText xml:space="preserve"> PAGEREF _Toc351461596 \h </w:instrText>
      </w:r>
      <w:r w:rsidRPr="00B81AAC">
        <w:rPr>
          <w:b w:val="0"/>
          <w:noProof/>
          <w:sz w:val="18"/>
        </w:rPr>
      </w:r>
      <w:r w:rsidRPr="00B81AAC">
        <w:rPr>
          <w:b w:val="0"/>
          <w:noProof/>
          <w:sz w:val="18"/>
        </w:rPr>
        <w:fldChar w:fldCharType="separate"/>
      </w:r>
      <w:r w:rsidR="005C290F">
        <w:rPr>
          <w:b w:val="0"/>
          <w:noProof/>
          <w:sz w:val="18"/>
        </w:rPr>
        <w:t>8</w:t>
      </w:r>
      <w:r w:rsidRPr="00B81AAC">
        <w:rPr>
          <w:b w:val="0"/>
          <w:noProof/>
          <w:sz w:val="18"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Application of this Part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_Toc351461597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8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Protection from suit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_Toc351461598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10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Protection from enforcement of judgements and orders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_Toc351461599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11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Protection from seizure under statutory powers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_Toc351461600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12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Protection from forfeiture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_Toc351461601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12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Protection from heritage laws and things done under them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_Toc351461602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13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Relationship with other laws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_Toc351461603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13</w:t>
      </w:r>
      <w:r w:rsidRPr="00B81AAC">
        <w:rPr>
          <w:noProof/>
        </w:rPr>
        <w:fldChar w:fldCharType="end"/>
      </w:r>
    </w:p>
    <w:p w:rsidR="00B81AAC" w:rsidRDefault="00B81AA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3—Approval of institutions</w:t>
      </w:r>
      <w:r w:rsidRPr="00B81AAC">
        <w:rPr>
          <w:b w:val="0"/>
          <w:noProof/>
          <w:sz w:val="18"/>
        </w:rPr>
        <w:tab/>
      </w:r>
      <w:r w:rsidRPr="00B81AAC">
        <w:rPr>
          <w:b w:val="0"/>
          <w:noProof/>
          <w:sz w:val="18"/>
        </w:rPr>
        <w:fldChar w:fldCharType="begin"/>
      </w:r>
      <w:r w:rsidRPr="00B81AAC">
        <w:rPr>
          <w:b w:val="0"/>
          <w:noProof/>
          <w:sz w:val="18"/>
        </w:rPr>
        <w:instrText xml:space="preserve"> PAGEREF _Toc351461604 \h </w:instrText>
      </w:r>
      <w:r w:rsidRPr="00B81AAC">
        <w:rPr>
          <w:b w:val="0"/>
          <w:noProof/>
          <w:sz w:val="18"/>
        </w:rPr>
      </w:r>
      <w:r w:rsidRPr="00B81AAC">
        <w:rPr>
          <w:b w:val="0"/>
          <w:noProof/>
          <w:sz w:val="18"/>
        </w:rPr>
        <w:fldChar w:fldCharType="separate"/>
      </w:r>
      <w:r w:rsidR="005C290F">
        <w:rPr>
          <w:b w:val="0"/>
          <w:noProof/>
          <w:sz w:val="18"/>
        </w:rPr>
        <w:t>15</w:t>
      </w:r>
      <w:r w:rsidRPr="00B81AAC">
        <w:rPr>
          <w:b w:val="0"/>
          <w:noProof/>
          <w:sz w:val="18"/>
        </w:rPr>
        <w:fldChar w:fldCharType="end"/>
      </w:r>
    </w:p>
    <w:p w:rsidR="00B81AAC" w:rsidRDefault="00B81AA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1—Approval</w:t>
      </w:r>
      <w:r w:rsidRPr="00B81AAC">
        <w:rPr>
          <w:b w:val="0"/>
          <w:noProof/>
          <w:sz w:val="18"/>
        </w:rPr>
        <w:tab/>
      </w:r>
      <w:r w:rsidRPr="00B81AAC">
        <w:rPr>
          <w:b w:val="0"/>
          <w:noProof/>
          <w:sz w:val="18"/>
        </w:rPr>
        <w:fldChar w:fldCharType="begin"/>
      </w:r>
      <w:r w:rsidRPr="00B81AAC">
        <w:rPr>
          <w:b w:val="0"/>
          <w:noProof/>
          <w:sz w:val="18"/>
        </w:rPr>
        <w:instrText xml:space="preserve"> PAGEREF _Toc351461605 \h </w:instrText>
      </w:r>
      <w:r w:rsidRPr="00B81AAC">
        <w:rPr>
          <w:b w:val="0"/>
          <w:noProof/>
          <w:sz w:val="18"/>
        </w:rPr>
      </w:r>
      <w:r w:rsidRPr="00B81AAC">
        <w:rPr>
          <w:b w:val="0"/>
          <w:noProof/>
          <w:sz w:val="18"/>
        </w:rPr>
        <w:fldChar w:fldCharType="separate"/>
      </w:r>
      <w:r w:rsidR="005C290F">
        <w:rPr>
          <w:b w:val="0"/>
          <w:noProof/>
          <w:sz w:val="18"/>
        </w:rPr>
        <w:t>15</w:t>
      </w:r>
      <w:r w:rsidRPr="00B81AAC">
        <w:rPr>
          <w:b w:val="0"/>
          <w:noProof/>
          <w:sz w:val="18"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Approval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_Toc351461606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15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Conditions on approval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_Toc351461607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16</w:t>
      </w:r>
      <w:r w:rsidRPr="00B81AAC">
        <w:rPr>
          <w:noProof/>
        </w:rPr>
        <w:fldChar w:fldCharType="end"/>
      </w:r>
    </w:p>
    <w:p w:rsidR="00B81AAC" w:rsidRDefault="00B81AA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2—Revocation of approval</w:t>
      </w:r>
      <w:r w:rsidRPr="00B81AAC">
        <w:rPr>
          <w:b w:val="0"/>
          <w:noProof/>
          <w:sz w:val="18"/>
        </w:rPr>
        <w:tab/>
      </w:r>
      <w:r w:rsidRPr="00B81AAC">
        <w:rPr>
          <w:b w:val="0"/>
          <w:noProof/>
          <w:sz w:val="18"/>
        </w:rPr>
        <w:fldChar w:fldCharType="begin"/>
      </w:r>
      <w:r w:rsidRPr="00B81AAC">
        <w:rPr>
          <w:b w:val="0"/>
          <w:noProof/>
          <w:sz w:val="18"/>
        </w:rPr>
        <w:instrText xml:space="preserve"> PAGEREF _Toc351461608 \h </w:instrText>
      </w:r>
      <w:r w:rsidRPr="00B81AAC">
        <w:rPr>
          <w:b w:val="0"/>
          <w:noProof/>
          <w:sz w:val="18"/>
        </w:rPr>
      </w:r>
      <w:r w:rsidRPr="00B81AAC">
        <w:rPr>
          <w:b w:val="0"/>
          <w:noProof/>
          <w:sz w:val="18"/>
        </w:rPr>
        <w:fldChar w:fldCharType="separate"/>
      </w:r>
      <w:r w:rsidR="005C290F">
        <w:rPr>
          <w:b w:val="0"/>
          <w:noProof/>
          <w:sz w:val="18"/>
        </w:rPr>
        <w:t>17</w:t>
      </w:r>
      <w:r w:rsidRPr="00B81AAC">
        <w:rPr>
          <w:b w:val="0"/>
          <w:noProof/>
          <w:sz w:val="18"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  <w:t>Revocation of approval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_Toc351461609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17</w:t>
      </w:r>
      <w:r w:rsidRPr="00B81AAC">
        <w:rPr>
          <w:noProof/>
        </w:rPr>
        <w:fldChar w:fldCharType="end"/>
      </w:r>
    </w:p>
    <w:p w:rsidR="00B81AAC" w:rsidRDefault="00B81AA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3—Review of decisions</w:t>
      </w:r>
      <w:r w:rsidRPr="00B81AAC">
        <w:rPr>
          <w:b w:val="0"/>
          <w:noProof/>
          <w:sz w:val="18"/>
        </w:rPr>
        <w:tab/>
      </w:r>
      <w:r w:rsidRPr="00B81AAC">
        <w:rPr>
          <w:b w:val="0"/>
          <w:noProof/>
          <w:sz w:val="18"/>
        </w:rPr>
        <w:fldChar w:fldCharType="begin"/>
      </w:r>
      <w:r w:rsidRPr="00B81AAC">
        <w:rPr>
          <w:b w:val="0"/>
          <w:noProof/>
          <w:sz w:val="18"/>
        </w:rPr>
        <w:instrText xml:space="preserve"> PAGEREF _Toc351461610 \h </w:instrText>
      </w:r>
      <w:r w:rsidRPr="00B81AAC">
        <w:rPr>
          <w:b w:val="0"/>
          <w:noProof/>
          <w:sz w:val="18"/>
        </w:rPr>
      </w:r>
      <w:r w:rsidRPr="00B81AAC">
        <w:rPr>
          <w:b w:val="0"/>
          <w:noProof/>
          <w:sz w:val="18"/>
        </w:rPr>
        <w:fldChar w:fldCharType="separate"/>
      </w:r>
      <w:r w:rsidR="005C290F">
        <w:rPr>
          <w:b w:val="0"/>
          <w:noProof/>
          <w:sz w:val="18"/>
        </w:rPr>
        <w:t>18</w:t>
      </w:r>
      <w:r w:rsidRPr="00B81AAC">
        <w:rPr>
          <w:b w:val="0"/>
          <w:noProof/>
          <w:sz w:val="18"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18</w:t>
      </w:r>
      <w:r>
        <w:rPr>
          <w:noProof/>
        </w:rPr>
        <w:tab/>
        <w:t>Review by the Administrative Appeals Tribunal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_Toc351461611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18</w:t>
      </w:r>
      <w:r w:rsidRPr="00B81AAC">
        <w:rPr>
          <w:noProof/>
        </w:rPr>
        <w:fldChar w:fldCharType="end"/>
      </w:r>
    </w:p>
    <w:p w:rsidR="00B81AAC" w:rsidRDefault="00B81AA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4—Miscellaneous</w:t>
      </w:r>
      <w:r w:rsidRPr="00B81AAC">
        <w:rPr>
          <w:b w:val="0"/>
          <w:noProof/>
          <w:sz w:val="18"/>
        </w:rPr>
        <w:tab/>
      </w:r>
      <w:r w:rsidRPr="00B81AAC">
        <w:rPr>
          <w:b w:val="0"/>
          <w:noProof/>
          <w:sz w:val="18"/>
        </w:rPr>
        <w:fldChar w:fldCharType="begin"/>
      </w:r>
      <w:r w:rsidRPr="00B81AAC">
        <w:rPr>
          <w:b w:val="0"/>
          <w:noProof/>
          <w:sz w:val="18"/>
        </w:rPr>
        <w:instrText xml:space="preserve"> PAGEREF _Toc351461612 \h </w:instrText>
      </w:r>
      <w:r w:rsidRPr="00B81AAC">
        <w:rPr>
          <w:b w:val="0"/>
          <w:noProof/>
          <w:sz w:val="18"/>
        </w:rPr>
      </w:r>
      <w:r w:rsidRPr="00B81AAC">
        <w:rPr>
          <w:b w:val="0"/>
          <w:noProof/>
          <w:sz w:val="18"/>
        </w:rPr>
        <w:fldChar w:fldCharType="separate"/>
      </w:r>
      <w:r w:rsidR="005C290F">
        <w:rPr>
          <w:b w:val="0"/>
          <w:noProof/>
          <w:sz w:val="18"/>
        </w:rPr>
        <w:t>19</w:t>
      </w:r>
      <w:r w:rsidRPr="00B81AAC">
        <w:rPr>
          <w:b w:val="0"/>
          <w:noProof/>
          <w:sz w:val="18"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</w:t>
      </w:r>
      <w:r>
        <w:rPr>
          <w:noProof/>
        </w:rPr>
        <w:tab/>
        <w:t>Delegation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_Toc351461613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19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20</w:t>
      </w:r>
      <w:r>
        <w:rPr>
          <w:noProof/>
        </w:rPr>
        <w:tab/>
        <w:t>Compensation for acquisition of property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_Toc351461614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19</w:t>
      </w:r>
      <w:r w:rsidRPr="00B81AAC">
        <w:rPr>
          <w:noProof/>
        </w:rPr>
        <w:fldChar w:fldCharType="end"/>
      </w:r>
    </w:p>
    <w:p w:rsidR="00B81AAC" w:rsidRDefault="00B81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21</w:t>
      </w:r>
      <w:r>
        <w:rPr>
          <w:noProof/>
        </w:rPr>
        <w:tab/>
        <w:t>Regulations</w:t>
      </w:r>
      <w:r w:rsidRPr="00B81AAC">
        <w:rPr>
          <w:noProof/>
        </w:rPr>
        <w:tab/>
      </w:r>
      <w:r w:rsidRPr="00B81AAC">
        <w:rPr>
          <w:noProof/>
        </w:rPr>
        <w:fldChar w:fldCharType="begin"/>
      </w:r>
      <w:r w:rsidRPr="00B81AAC">
        <w:rPr>
          <w:noProof/>
        </w:rPr>
        <w:instrText xml:space="preserve"> PAGEREF _Toc351461615 \h </w:instrText>
      </w:r>
      <w:r w:rsidRPr="00B81AAC">
        <w:rPr>
          <w:noProof/>
        </w:rPr>
      </w:r>
      <w:r w:rsidRPr="00B81AAC">
        <w:rPr>
          <w:noProof/>
        </w:rPr>
        <w:fldChar w:fldCharType="separate"/>
      </w:r>
      <w:r w:rsidR="005C290F">
        <w:rPr>
          <w:noProof/>
        </w:rPr>
        <w:t>19</w:t>
      </w:r>
      <w:r w:rsidRPr="00B81AAC">
        <w:rPr>
          <w:noProof/>
        </w:rPr>
        <w:fldChar w:fldCharType="end"/>
      </w:r>
    </w:p>
    <w:p w:rsidR="00715914" w:rsidRPr="00076E3D" w:rsidRDefault="00B81AAC" w:rsidP="00715914">
      <w:r>
        <w:fldChar w:fldCharType="end"/>
      </w:r>
    </w:p>
    <w:p w:rsidR="00715914" w:rsidRPr="00076E3D" w:rsidRDefault="00715914" w:rsidP="00715914">
      <w:pPr>
        <w:sectPr w:rsidR="00715914" w:rsidRPr="00076E3D" w:rsidSect="007E59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E5950" w:rsidRDefault="007E5950">
      <w:r>
        <w:object w:dxaOrig="2146" w:dyaOrig="1561">
          <v:shape id="_x0000_i1026" type="#_x0000_t75" style="width:107.25pt;height:78pt" o:ole="" fillcolor="window">
            <v:imagedata r:id="rId8" o:title=""/>
          </v:shape>
          <o:OLEObject Type="Embed" ProgID="Word.Picture.8" ShapeID="_x0000_i1026" DrawAspect="Content" ObjectID="_1443948944" r:id="rId21"/>
        </w:object>
      </w:r>
    </w:p>
    <w:p w:rsidR="007E5950" w:rsidRDefault="007E5950"/>
    <w:p w:rsidR="007E5950" w:rsidRDefault="007E5950" w:rsidP="007E5950">
      <w:pPr>
        <w:spacing w:line="240" w:lineRule="auto"/>
      </w:pPr>
    </w:p>
    <w:p w:rsidR="007E5950" w:rsidRDefault="005C290F" w:rsidP="007E5950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Protection of Cultural Objects on Loan Act 2013</w:t>
      </w:r>
      <w:r>
        <w:rPr>
          <w:noProof/>
        </w:rPr>
        <w:fldChar w:fldCharType="end"/>
      </w:r>
    </w:p>
    <w:p w:rsidR="007E5950" w:rsidRDefault="005C290F" w:rsidP="007E5950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12, 2013</w:t>
      </w:r>
      <w:r>
        <w:rPr>
          <w:noProof/>
        </w:rPr>
        <w:fldChar w:fldCharType="end"/>
      </w:r>
    </w:p>
    <w:p w:rsidR="007E5950" w:rsidRDefault="007E5950">
      <w:pPr>
        <w:pStyle w:val="p1LinesBef"/>
      </w:pPr>
    </w:p>
    <w:p w:rsidR="007E5950" w:rsidRDefault="007E5950">
      <w:pPr>
        <w:spacing w:line="40" w:lineRule="exact"/>
        <w:rPr>
          <w:b/>
          <w:sz w:val="28"/>
        </w:rPr>
      </w:pPr>
    </w:p>
    <w:p w:rsidR="007E5950" w:rsidRDefault="007E5950">
      <w:pPr>
        <w:pStyle w:val="p1LinesAfter"/>
      </w:pPr>
    </w:p>
    <w:p w:rsidR="00AE47DE" w:rsidRPr="00076E3D" w:rsidRDefault="007E5950" w:rsidP="00076E3D">
      <w:pPr>
        <w:pStyle w:val="Page1"/>
      </w:pPr>
      <w:r>
        <w:t>An Act</w:t>
      </w:r>
      <w:r w:rsidR="00076E3D" w:rsidRPr="00076E3D">
        <w:t xml:space="preserve"> to encourage the loan of objects from overseas for temporary public exhibition in Australia, and for related purposes</w:t>
      </w:r>
    </w:p>
    <w:p w:rsidR="00B81AAC" w:rsidRDefault="00B81AAC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14 March 2013</w:t>
      </w:r>
      <w:r>
        <w:rPr>
          <w:sz w:val="24"/>
        </w:rPr>
        <w:t>]</w:t>
      </w:r>
    </w:p>
    <w:p w:rsidR="00B81AAC" w:rsidRDefault="00B81AAC"/>
    <w:p w:rsidR="00715914" w:rsidRPr="00076E3D" w:rsidRDefault="00715914" w:rsidP="00076E3D">
      <w:pPr>
        <w:spacing w:before="240" w:line="240" w:lineRule="auto"/>
        <w:rPr>
          <w:sz w:val="32"/>
        </w:rPr>
      </w:pPr>
      <w:r w:rsidRPr="00076E3D">
        <w:rPr>
          <w:sz w:val="32"/>
        </w:rPr>
        <w:t>The Parliament of Australia enacts:</w:t>
      </w:r>
    </w:p>
    <w:p w:rsidR="00715914" w:rsidRPr="00076E3D" w:rsidRDefault="00715914" w:rsidP="00076E3D">
      <w:pPr>
        <w:pStyle w:val="ActHead2"/>
      </w:pPr>
      <w:bookmarkStart w:id="1" w:name="_Toc351461588"/>
      <w:r w:rsidRPr="00076E3D">
        <w:rPr>
          <w:rStyle w:val="CharPartNo"/>
        </w:rPr>
        <w:lastRenderedPageBreak/>
        <w:t>Part</w:t>
      </w:r>
      <w:r w:rsidR="00076E3D" w:rsidRPr="00076E3D">
        <w:rPr>
          <w:rStyle w:val="CharPartNo"/>
        </w:rPr>
        <w:t> </w:t>
      </w:r>
      <w:r w:rsidRPr="00076E3D">
        <w:rPr>
          <w:rStyle w:val="CharPartNo"/>
        </w:rPr>
        <w:t>1</w:t>
      </w:r>
      <w:r w:rsidRPr="00076E3D">
        <w:t>—</w:t>
      </w:r>
      <w:r w:rsidRPr="00076E3D">
        <w:rPr>
          <w:rStyle w:val="CharPartText"/>
        </w:rPr>
        <w:t>Preliminary</w:t>
      </w:r>
      <w:bookmarkEnd w:id="1"/>
    </w:p>
    <w:p w:rsidR="00715914" w:rsidRPr="00076E3D" w:rsidRDefault="00715914" w:rsidP="00076E3D">
      <w:pPr>
        <w:pStyle w:val="Header"/>
      </w:pPr>
      <w:r w:rsidRPr="00076E3D">
        <w:rPr>
          <w:rStyle w:val="CharDivNo"/>
        </w:rPr>
        <w:t xml:space="preserve"> </w:t>
      </w:r>
      <w:r w:rsidRPr="00076E3D">
        <w:rPr>
          <w:rStyle w:val="CharDivText"/>
        </w:rPr>
        <w:t xml:space="preserve"> </w:t>
      </w:r>
    </w:p>
    <w:p w:rsidR="00715914" w:rsidRPr="00076E3D" w:rsidRDefault="00F35CDF" w:rsidP="00076E3D">
      <w:pPr>
        <w:pStyle w:val="ActHead5"/>
      </w:pPr>
      <w:bookmarkStart w:id="2" w:name="_Toc351461589"/>
      <w:r w:rsidRPr="00076E3D">
        <w:rPr>
          <w:rStyle w:val="CharSectno"/>
        </w:rPr>
        <w:t>1</w:t>
      </w:r>
      <w:r w:rsidR="00715914" w:rsidRPr="00076E3D">
        <w:t xml:space="preserve">  Short title</w:t>
      </w:r>
      <w:bookmarkEnd w:id="2"/>
    </w:p>
    <w:p w:rsidR="00715914" w:rsidRPr="00076E3D" w:rsidRDefault="00715914" w:rsidP="00076E3D">
      <w:pPr>
        <w:pStyle w:val="subsection"/>
      </w:pPr>
      <w:r w:rsidRPr="00076E3D">
        <w:tab/>
      </w:r>
      <w:r w:rsidRPr="00076E3D">
        <w:tab/>
        <w:t xml:space="preserve">This Act may be cited as the </w:t>
      </w:r>
      <w:r w:rsidR="00815009" w:rsidRPr="00076E3D">
        <w:rPr>
          <w:i/>
        </w:rPr>
        <w:t>Protection of Cultural Objects</w:t>
      </w:r>
      <w:r w:rsidR="001F5D5E" w:rsidRPr="00076E3D">
        <w:rPr>
          <w:i/>
        </w:rPr>
        <w:t xml:space="preserve"> </w:t>
      </w:r>
      <w:r w:rsidR="00CB63AA" w:rsidRPr="00076E3D">
        <w:rPr>
          <w:i/>
        </w:rPr>
        <w:t xml:space="preserve">on Loan </w:t>
      </w:r>
      <w:r w:rsidR="001F5D5E" w:rsidRPr="00076E3D">
        <w:rPr>
          <w:i/>
        </w:rPr>
        <w:t>Act 201</w:t>
      </w:r>
      <w:r w:rsidR="000B08B5">
        <w:rPr>
          <w:i/>
        </w:rPr>
        <w:t>3</w:t>
      </w:r>
      <w:r w:rsidRPr="00076E3D">
        <w:t>.</w:t>
      </w:r>
    </w:p>
    <w:p w:rsidR="00715914" w:rsidRPr="00076E3D" w:rsidRDefault="00F35CDF" w:rsidP="00076E3D">
      <w:pPr>
        <w:pStyle w:val="ActHead5"/>
      </w:pPr>
      <w:bookmarkStart w:id="3" w:name="_Toc351461590"/>
      <w:r w:rsidRPr="00076E3D">
        <w:rPr>
          <w:rStyle w:val="CharSectno"/>
        </w:rPr>
        <w:t>2</w:t>
      </w:r>
      <w:r w:rsidR="00715914" w:rsidRPr="00076E3D">
        <w:t xml:space="preserve">  Commencement</w:t>
      </w:r>
      <w:bookmarkEnd w:id="3"/>
    </w:p>
    <w:p w:rsidR="00715914" w:rsidRPr="00076E3D" w:rsidRDefault="00715914" w:rsidP="00076E3D">
      <w:pPr>
        <w:pStyle w:val="subsection"/>
      </w:pPr>
      <w:r w:rsidRPr="00076E3D">
        <w:tab/>
        <w:t>(1)</w:t>
      </w:r>
      <w:r w:rsidRPr="00076E3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715914" w:rsidRPr="00076E3D" w:rsidRDefault="00715914" w:rsidP="00076E3D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076E3D" w:rsidTr="0002578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  <w:keepNext/>
            </w:pPr>
            <w:r w:rsidRPr="00076E3D">
              <w:rPr>
                <w:b/>
              </w:rPr>
              <w:t>Commencement information</w:t>
            </w:r>
          </w:p>
        </w:tc>
      </w:tr>
      <w:tr w:rsidR="00715914" w:rsidRPr="00076E3D" w:rsidTr="0002578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  <w:keepNext/>
            </w:pPr>
            <w:r w:rsidRPr="00076E3D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  <w:keepNext/>
            </w:pPr>
            <w:r w:rsidRPr="00076E3D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  <w:keepNext/>
            </w:pPr>
            <w:r w:rsidRPr="00076E3D">
              <w:rPr>
                <w:b/>
              </w:rPr>
              <w:t>Column 3</w:t>
            </w:r>
          </w:p>
        </w:tc>
      </w:tr>
      <w:tr w:rsidR="00715914" w:rsidRPr="00076E3D" w:rsidTr="0002578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  <w:keepNext/>
            </w:pPr>
            <w:r w:rsidRPr="00076E3D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  <w:keepNext/>
            </w:pPr>
            <w:r w:rsidRPr="00076E3D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  <w:keepNext/>
            </w:pPr>
            <w:r w:rsidRPr="00076E3D">
              <w:rPr>
                <w:b/>
              </w:rPr>
              <w:t>Date/Details</w:t>
            </w:r>
          </w:p>
        </w:tc>
      </w:tr>
      <w:tr w:rsidR="00715914" w:rsidRPr="00076E3D" w:rsidTr="0002578B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</w:pPr>
            <w:r w:rsidRPr="00076E3D">
              <w:t>1.  Sections</w:t>
            </w:r>
            <w:r w:rsidR="00076E3D" w:rsidRPr="00076E3D">
              <w:t> </w:t>
            </w:r>
            <w:r w:rsidR="00F35CDF" w:rsidRPr="00076E3D">
              <w:t>1</w:t>
            </w:r>
            <w:r w:rsidRPr="00076E3D">
              <w:t xml:space="preserve"> and </w:t>
            </w:r>
            <w:r w:rsidR="00F35CDF" w:rsidRPr="00076E3D">
              <w:t>2</w:t>
            </w:r>
            <w:r w:rsidRPr="00076E3D">
              <w:t xml:space="preserve">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</w:pPr>
            <w:r w:rsidRPr="00076E3D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5914" w:rsidRPr="00076E3D" w:rsidRDefault="008A143A" w:rsidP="00076E3D">
            <w:pPr>
              <w:pStyle w:val="Tabletext"/>
            </w:pPr>
            <w:r>
              <w:t>14 March 2013</w:t>
            </w:r>
          </w:p>
        </w:tc>
      </w:tr>
      <w:tr w:rsidR="00715914" w:rsidRPr="00076E3D" w:rsidTr="0002578B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15914" w:rsidRPr="00076E3D" w:rsidRDefault="00715914" w:rsidP="00076E3D">
            <w:pPr>
              <w:pStyle w:val="Tabletext"/>
            </w:pPr>
            <w:r w:rsidRPr="00076E3D">
              <w:t xml:space="preserve">2.  </w:t>
            </w:r>
            <w:r w:rsidR="0002578B" w:rsidRPr="00076E3D">
              <w:t>Sections</w:t>
            </w:r>
            <w:r w:rsidR="00076E3D" w:rsidRPr="00076E3D">
              <w:t> </w:t>
            </w:r>
            <w:r w:rsidR="00F35CDF" w:rsidRPr="00076E3D">
              <w:t>3</w:t>
            </w:r>
            <w:r w:rsidR="0002578B" w:rsidRPr="00076E3D">
              <w:t xml:space="preserve"> to </w:t>
            </w:r>
            <w:r w:rsidR="00F35CDF" w:rsidRPr="00076E3D">
              <w:t>21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02578B" w:rsidRPr="00076E3D" w:rsidRDefault="0002578B" w:rsidP="00076E3D">
            <w:pPr>
              <w:pStyle w:val="Tabletext"/>
            </w:pPr>
            <w:r w:rsidRPr="00076E3D">
              <w:t>A single day to be fixed by Proclamation.</w:t>
            </w:r>
          </w:p>
          <w:p w:rsidR="00715914" w:rsidRPr="00076E3D" w:rsidRDefault="0002578B" w:rsidP="00076E3D">
            <w:pPr>
              <w:pStyle w:val="Tabletext"/>
            </w:pPr>
            <w:r w:rsidRPr="00076E3D">
              <w:t>However, if the provision(s)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715914" w:rsidRPr="00076E3D" w:rsidRDefault="005C290F" w:rsidP="00076E3D">
            <w:pPr>
              <w:pStyle w:val="Tabletext"/>
            </w:pPr>
            <w:r>
              <w:t>14 September 2013</w:t>
            </w:r>
            <w:bookmarkStart w:id="4" w:name="_GoBack"/>
            <w:bookmarkEnd w:id="4"/>
          </w:p>
        </w:tc>
      </w:tr>
    </w:tbl>
    <w:p w:rsidR="00715914" w:rsidRPr="00076E3D" w:rsidRDefault="00B80199" w:rsidP="00076E3D">
      <w:pPr>
        <w:pStyle w:val="notetext"/>
      </w:pPr>
      <w:r w:rsidRPr="00076E3D">
        <w:rPr>
          <w:snapToGrid w:val="0"/>
          <w:lang w:eastAsia="en-US"/>
        </w:rPr>
        <w:t>Note:</w:t>
      </w:r>
      <w:r w:rsidRPr="00076E3D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715914" w:rsidRPr="00076E3D" w:rsidRDefault="00715914" w:rsidP="00076E3D">
      <w:pPr>
        <w:pStyle w:val="subsection"/>
      </w:pPr>
      <w:r w:rsidRPr="00076E3D">
        <w:tab/>
        <w:t>(2)</w:t>
      </w:r>
      <w:r w:rsidRPr="00076E3D">
        <w:tab/>
      </w:r>
      <w:r w:rsidR="00B80199" w:rsidRPr="00076E3D">
        <w:t xml:space="preserve">Any information in </w:t>
      </w:r>
      <w:r w:rsidR="009532A5" w:rsidRPr="00076E3D">
        <w:t>c</w:t>
      </w:r>
      <w:r w:rsidR="00B80199" w:rsidRPr="00076E3D">
        <w:t>olumn 3 of the table is not part of this Act. Information may be inserted in this column, or information in it may be edited, in any published version of this Act.</w:t>
      </w:r>
    </w:p>
    <w:p w:rsidR="008D460A" w:rsidRPr="00076E3D" w:rsidRDefault="00F35CDF" w:rsidP="00076E3D">
      <w:pPr>
        <w:pStyle w:val="ActHead5"/>
      </w:pPr>
      <w:bookmarkStart w:id="5" w:name="_Toc351461591"/>
      <w:r w:rsidRPr="00076E3D">
        <w:rPr>
          <w:rStyle w:val="CharSectno"/>
        </w:rPr>
        <w:lastRenderedPageBreak/>
        <w:t>3</w:t>
      </w:r>
      <w:r w:rsidR="00815009" w:rsidRPr="00076E3D">
        <w:t xml:space="preserve">  </w:t>
      </w:r>
      <w:r w:rsidR="008D460A" w:rsidRPr="00076E3D">
        <w:t>Objects of this Act</w:t>
      </w:r>
      <w:bookmarkEnd w:id="5"/>
    </w:p>
    <w:p w:rsidR="00750A54" w:rsidRPr="00076E3D" w:rsidRDefault="00304490" w:rsidP="00076E3D">
      <w:pPr>
        <w:pStyle w:val="subsection"/>
      </w:pPr>
      <w:r w:rsidRPr="00076E3D">
        <w:tab/>
      </w:r>
      <w:r w:rsidR="00750A54" w:rsidRPr="00076E3D">
        <w:t>(1)</w:t>
      </w:r>
      <w:r w:rsidRPr="00076E3D">
        <w:tab/>
        <w:t xml:space="preserve">The main object of this Act is to </w:t>
      </w:r>
      <w:r w:rsidR="0008466F" w:rsidRPr="00076E3D">
        <w:t>encourage lenders to lend</w:t>
      </w:r>
      <w:r w:rsidR="002666BF" w:rsidRPr="00076E3D">
        <w:t xml:space="preserve"> objects</w:t>
      </w:r>
      <w:r w:rsidR="0008466F" w:rsidRPr="00076E3D">
        <w:t xml:space="preserve"> for </w:t>
      </w:r>
      <w:r w:rsidR="00750A54" w:rsidRPr="00076E3D">
        <w:t xml:space="preserve">temporary </w:t>
      </w:r>
      <w:r w:rsidRPr="00076E3D">
        <w:t>public exhibition in</w:t>
      </w:r>
      <w:r w:rsidR="0008466F" w:rsidRPr="00076E3D">
        <w:t xml:space="preserve"> Australia</w:t>
      </w:r>
      <w:r w:rsidRPr="00076E3D">
        <w:t xml:space="preserve"> under arrangements involving certain institutions</w:t>
      </w:r>
      <w:r w:rsidR="00750A54" w:rsidRPr="00076E3D">
        <w:t>.</w:t>
      </w:r>
    </w:p>
    <w:p w:rsidR="00750A54" w:rsidRPr="00076E3D" w:rsidRDefault="00750A54" w:rsidP="00076E3D">
      <w:pPr>
        <w:pStyle w:val="subsection"/>
      </w:pPr>
      <w:r w:rsidRPr="00076E3D">
        <w:tab/>
        <w:t>(2)</w:t>
      </w:r>
      <w:r w:rsidRPr="00076E3D">
        <w:tab/>
        <w:t xml:space="preserve">This Act </w:t>
      </w:r>
      <w:r w:rsidR="00763A89" w:rsidRPr="00076E3D">
        <w:t xml:space="preserve">seeks to </w:t>
      </w:r>
      <w:r w:rsidR="0008466F" w:rsidRPr="00076E3D">
        <w:t>a</w:t>
      </w:r>
      <w:r w:rsidR="00763A89" w:rsidRPr="00076E3D">
        <w:t>chieve</w:t>
      </w:r>
      <w:r w:rsidRPr="00076E3D">
        <w:t xml:space="preserve"> that object by limiting the circumstances in which</w:t>
      </w:r>
      <w:r w:rsidR="008D5579" w:rsidRPr="00076E3D">
        <w:t xml:space="preserve"> ownership or</w:t>
      </w:r>
      <w:r w:rsidRPr="00076E3D">
        <w:t xml:space="preserve"> physical possession, custody or control of the objects in Australia can be affected by:</w:t>
      </w:r>
    </w:p>
    <w:p w:rsidR="00750A54" w:rsidRPr="00076E3D" w:rsidRDefault="00750A54" w:rsidP="00076E3D">
      <w:pPr>
        <w:pStyle w:val="paragraph"/>
      </w:pPr>
      <w:r w:rsidRPr="00076E3D">
        <w:tab/>
        <w:t>(a)</w:t>
      </w:r>
      <w:r w:rsidRPr="00076E3D">
        <w:tab/>
      </w:r>
      <w:r w:rsidR="008D5579" w:rsidRPr="00076E3D">
        <w:t xml:space="preserve">legal </w:t>
      </w:r>
      <w:r w:rsidRPr="00076E3D">
        <w:t>proceedings; or</w:t>
      </w:r>
    </w:p>
    <w:p w:rsidR="00304490" w:rsidRPr="00076E3D" w:rsidRDefault="00750A54" w:rsidP="00076E3D">
      <w:pPr>
        <w:pStyle w:val="paragraph"/>
      </w:pPr>
      <w:r w:rsidRPr="00076E3D">
        <w:tab/>
        <w:t>(b)</w:t>
      </w:r>
      <w:r w:rsidRPr="00076E3D">
        <w:tab/>
        <w:t xml:space="preserve">the enforcement of a </w:t>
      </w:r>
      <w:r w:rsidR="00EA7965" w:rsidRPr="00076E3D">
        <w:t>judgement</w:t>
      </w:r>
      <w:r w:rsidRPr="00076E3D">
        <w:t xml:space="preserve"> or order of a</w:t>
      </w:r>
      <w:r w:rsidR="008D5579" w:rsidRPr="00076E3D">
        <w:t xml:space="preserve"> </w:t>
      </w:r>
      <w:r w:rsidRPr="00076E3D">
        <w:t>court; or</w:t>
      </w:r>
    </w:p>
    <w:p w:rsidR="00750A54" w:rsidRPr="00076E3D" w:rsidRDefault="00750A54" w:rsidP="00076E3D">
      <w:pPr>
        <w:pStyle w:val="paragraph"/>
      </w:pPr>
      <w:r w:rsidRPr="00076E3D">
        <w:tab/>
        <w:t>(c)</w:t>
      </w:r>
      <w:r w:rsidRPr="00076E3D">
        <w:tab/>
        <w:t>an action taken under a law of the Commonwealth, a State or a Territory; or</w:t>
      </w:r>
    </w:p>
    <w:p w:rsidR="00750A54" w:rsidRPr="00076E3D" w:rsidRDefault="00750A54" w:rsidP="00076E3D">
      <w:pPr>
        <w:pStyle w:val="paragraph"/>
      </w:pPr>
      <w:r w:rsidRPr="00076E3D">
        <w:tab/>
        <w:t>(d)</w:t>
      </w:r>
      <w:r w:rsidRPr="00076E3D">
        <w:tab/>
        <w:t>the operation of such a law.</w:t>
      </w:r>
    </w:p>
    <w:p w:rsidR="008D460A" w:rsidRPr="00076E3D" w:rsidRDefault="00F35CDF" w:rsidP="00076E3D">
      <w:pPr>
        <w:pStyle w:val="ActHead5"/>
      </w:pPr>
      <w:bookmarkStart w:id="6" w:name="_Toc351461592"/>
      <w:r w:rsidRPr="00076E3D">
        <w:rPr>
          <w:rStyle w:val="CharSectno"/>
        </w:rPr>
        <w:t>4</w:t>
      </w:r>
      <w:r w:rsidR="008D460A" w:rsidRPr="00076E3D">
        <w:t xml:space="preserve">  Simplified outline</w:t>
      </w:r>
      <w:bookmarkEnd w:id="6"/>
    </w:p>
    <w:p w:rsidR="008D460A" w:rsidRPr="00076E3D" w:rsidRDefault="008D460A" w:rsidP="00076E3D">
      <w:pPr>
        <w:pStyle w:val="subsection"/>
      </w:pPr>
      <w:r w:rsidRPr="00076E3D">
        <w:tab/>
      </w:r>
      <w:r w:rsidRPr="00076E3D">
        <w:tab/>
        <w:t>The following is a simplified outline of this Act:</w:t>
      </w:r>
    </w:p>
    <w:p w:rsidR="008D460A" w:rsidRPr="00076E3D" w:rsidRDefault="00C447AB" w:rsidP="00076E3D">
      <w:pPr>
        <w:pStyle w:val="BoxText"/>
      </w:pPr>
      <w:r w:rsidRPr="00076E3D">
        <w:t xml:space="preserve">This Act deals with objects that are normally in a foreign country but are imported into Australia </w:t>
      </w:r>
      <w:r w:rsidR="00980D53" w:rsidRPr="00076E3D">
        <w:t xml:space="preserve">on loan </w:t>
      </w:r>
      <w:r w:rsidRPr="00076E3D">
        <w:t>for temporary public exhibition under arrangements made by certain institutions approved by the Minister.</w:t>
      </w:r>
    </w:p>
    <w:p w:rsidR="00C447AB" w:rsidRPr="00076E3D" w:rsidRDefault="00C447AB" w:rsidP="00076E3D">
      <w:pPr>
        <w:pStyle w:val="BoxText"/>
      </w:pPr>
      <w:r w:rsidRPr="00076E3D">
        <w:t>While the objects are in Australia, Part</w:t>
      </w:r>
      <w:r w:rsidR="00076E3D" w:rsidRPr="00076E3D">
        <w:t> </w:t>
      </w:r>
      <w:r w:rsidRPr="00076E3D">
        <w:t xml:space="preserve">2 limits the </w:t>
      </w:r>
      <w:r w:rsidR="006511F0" w:rsidRPr="00076E3D">
        <w:t>circumstances</w:t>
      </w:r>
      <w:r w:rsidRPr="00076E3D">
        <w:t xml:space="preserve"> in which lenders, exhibition facilitators, exhibiting institutions and people working for </w:t>
      </w:r>
      <w:r w:rsidR="00073750" w:rsidRPr="00076E3D">
        <w:t xml:space="preserve">any of </w:t>
      </w:r>
      <w:r w:rsidRPr="00076E3D">
        <w:t xml:space="preserve">them can lose </w:t>
      </w:r>
      <w:r w:rsidR="00073750" w:rsidRPr="00076E3D">
        <w:t xml:space="preserve">ownership or physical possession, </w:t>
      </w:r>
      <w:r w:rsidRPr="00076E3D">
        <w:t xml:space="preserve">custody </w:t>
      </w:r>
      <w:r w:rsidR="00980D53" w:rsidRPr="00076E3D">
        <w:t>or</w:t>
      </w:r>
      <w:r w:rsidRPr="00076E3D">
        <w:t xml:space="preserve"> control of the objects </w:t>
      </w:r>
      <w:r w:rsidR="00980D53" w:rsidRPr="00076E3D">
        <w:t>because</w:t>
      </w:r>
      <w:r w:rsidRPr="00076E3D">
        <w:t xml:space="preserve"> of:</w:t>
      </w:r>
    </w:p>
    <w:p w:rsidR="00C447AB" w:rsidRPr="00076E3D" w:rsidRDefault="00C447AB" w:rsidP="00076E3D">
      <w:pPr>
        <w:pStyle w:val="BoxPara"/>
      </w:pPr>
      <w:r w:rsidRPr="00076E3D">
        <w:tab/>
        <w:t>(a)</w:t>
      </w:r>
      <w:r w:rsidRPr="00076E3D">
        <w:tab/>
        <w:t>legal proceedings</w:t>
      </w:r>
      <w:r w:rsidR="00980D53" w:rsidRPr="00076E3D">
        <w:t xml:space="preserve"> in Australian or foreign courts; or</w:t>
      </w:r>
    </w:p>
    <w:p w:rsidR="00980D53" w:rsidRPr="00076E3D" w:rsidRDefault="00980D53" w:rsidP="00076E3D">
      <w:pPr>
        <w:pStyle w:val="BoxPara"/>
      </w:pPr>
      <w:r w:rsidRPr="00076E3D">
        <w:tab/>
        <w:t>(b)</w:t>
      </w:r>
      <w:r w:rsidRPr="00076E3D">
        <w:tab/>
        <w:t>the exercise of certain powers (such as powers of seizure) under Commonwealth, State and Territory laws; or</w:t>
      </w:r>
    </w:p>
    <w:p w:rsidR="00980D53" w:rsidRPr="00076E3D" w:rsidRDefault="00980D53" w:rsidP="00076E3D">
      <w:pPr>
        <w:pStyle w:val="BoxPara"/>
      </w:pPr>
      <w:r w:rsidRPr="00076E3D">
        <w:tab/>
        <w:t>(c)</w:t>
      </w:r>
      <w:r w:rsidRPr="00076E3D">
        <w:tab/>
        <w:t>the operation of such laws.</w:t>
      </w:r>
    </w:p>
    <w:p w:rsidR="00C447AB" w:rsidRPr="00076E3D" w:rsidRDefault="00980D53" w:rsidP="00076E3D">
      <w:pPr>
        <w:pStyle w:val="BoxText"/>
      </w:pPr>
      <w:r w:rsidRPr="00076E3D">
        <w:t>Part</w:t>
      </w:r>
      <w:r w:rsidR="00076E3D" w:rsidRPr="00076E3D">
        <w:t> </w:t>
      </w:r>
      <w:r w:rsidRPr="00076E3D">
        <w:t>3 deals with the approval</w:t>
      </w:r>
      <w:r w:rsidR="00D05933" w:rsidRPr="00076E3D">
        <w:t xml:space="preserve"> of institutions by the Minister</w:t>
      </w:r>
      <w:r w:rsidRPr="00076E3D">
        <w:t xml:space="preserve">, and </w:t>
      </w:r>
      <w:r w:rsidR="00D05933" w:rsidRPr="00076E3D">
        <w:t>the end</w:t>
      </w:r>
      <w:r w:rsidRPr="00076E3D">
        <w:t xml:space="preserve"> of </w:t>
      </w:r>
      <w:r w:rsidR="00D05933" w:rsidRPr="00076E3D">
        <w:t xml:space="preserve">such </w:t>
      </w:r>
      <w:r w:rsidRPr="00076E3D">
        <w:t>approval.</w:t>
      </w:r>
    </w:p>
    <w:p w:rsidR="00980D53" w:rsidRPr="00076E3D" w:rsidRDefault="00980D53" w:rsidP="00076E3D">
      <w:pPr>
        <w:pStyle w:val="BoxText"/>
      </w:pPr>
      <w:r w:rsidRPr="00076E3D">
        <w:lastRenderedPageBreak/>
        <w:t>Part</w:t>
      </w:r>
      <w:r w:rsidR="00076E3D" w:rsidRPr="00076E3D">
        <w:t> </w:t>
      </w:r>
      <w:r w:rsidRPr="00076E3D">
        <w:t>4 deals with miscellaneous matters.</w:t>
      </w:r>
    </w:p>
    <w:p w:rsidR="008D460A" w:rsidRPr="00076E3D" w:rsidRDefault="00F35CDF" w:rsidP="00076E3D">
      <w:pPr>
        <w:pStyle w:val="ActHead5"/>
      </w:pPr>
      <w:bookmarkStart w:id="7" w:name="_Toc351461593"/>
      <w:r w:rsidRPr="00076E3D">
        <w:rPr>
          <w:rStyle w:val="CharSectno"/>
        </w:rPr>
        <w:t>5</w:t>
      </w:r>
      <w:r w:rsidR="00815009" w:rsidRPr="00076E3D">
        <w:t xml:space="preserve">  </w:t>
      </w:r>
      <w:r w:rsidR="008D460A" w:rsidRPr="00076E3D">
        <w:t>Definitions</w:t>
      </w:r>
      <w:bookmarkEnd w:id="7"/>
    </w:p>
    <w:p w:rsidR="008D460A" w:rsidRPr="00076E3D" w:rsidRDefault="008D460A" w:rsidP="00076E3D">
      <w:pPr>
        <w:pStyle w:val="subsection"/>
      </w:pPr>
      <w:r w:rsidRPr="00076E3D">
        <w:tab/>
      </w:r>
      <w:r w:rsidRPr="00076E3D">
        <w:tab/>
        <w:t>In this Act:</w:t>
      </w:r>
    </w:p>
    <w:p w:rsidR="001834F9" w:rsidRPr="00076E3D" w:rsidRDefault="001834F9" w:rsidP="00076E3D">
      <w:pPr>
        <w:pStyle w:val="Definition"/>
      </w:pPr>
      <w:r w:rsidRPr="00076E3D">
        <w:rPr>
          <w:b/>
          <w:i/>
        </w:rPr>
        <w:t>acquisition of property</w:t>
      </w:r>
      <w:r w:rsidRPr="00076E3D">
        <w:t xml:space="preserve"> has the same meaning as in paragraph 51(xxxi) of the Constitution.</w:t>
      </w:r>
    </w:p>
    <w:p w:rsidR="008D460A" w:rsidRPr="00076E3D" w:rsidRDefault="008D460A" w:rsidP="00076E3D">
      <w:pPr>
        <w:pStyle w:val="Definition"/>
      </w:pPr>
      <w:r w:rsidRPr="00076E3D">
        <w:rPr>
          <w:b/>
          <w:i/>
        </w:rPr>
        <w:t>Australia</w:t>
      </w:r>
      <w:r w:rsidRPr="00076E3D">
        <w:t>, when used in a geographical sense, includes the external Territories.</w:t>
      </w:r>
    </w:p>
    <w:p w:rsidR="00374A16" w:rsidRPr="00076E3D" w:rsidRDefault="00F479A4" w:rsidP="00076E3D">
      <w:pPr>
        <w:pStyle w:val="Definition"/>
      </w:pPr>
      <w:r w:rsidRPr="00076E3D">
        <w:rPr>
          <w:b/>
          <w:i/>
        </w:rPr>
        <w:t>borrowing institution</w:t>
      </w:r>
      <w:r w:rsidRPr="00076E3D">
        <w:t xml:space="preserve"> means</w:t>
      </w:r>
      <w:r w:rsidR="0074360A" w:rsidRPr="00076E3D">
        <w:t xml:space="preserve"> an organisation</w:t>
      </w:r>
      <w:r w:rsidR="00374A16" w:rsidRPr="00076E3D">
        <w:t xml:space="preserve"> (whether a person or not) that:</w:t>
      </w:r>
    </w:p>
    <w:p w:rsidR="00374A16" w:rsidRPr="00076E3D" w:rsidRDefault="00374A16" w:rsidP="00076E3D">
      <w:pPr>
        <w:pStyle w:val="paragraph"/>
      </w:pPr>
      <w:r w:rsidRPr="00076E3D">
        <w:tab/>
        <w:t>(a)</w:t>
      </w:r>
      <w:r w:rsidRPr="00076E3D">
        <w:tab/>
      </w:r>
      <w:r w:rsidR="000D452C" w:rsidRPr="00076E3D">
        <w:t xml:space="preserve">collects and </w:t>
      </w:r>
      <w:r w:rsidR="0074360A" w:rsidRPr="00076E3D">
        <w:t xml:space="preserve">publicly exhibits in Australia objects that are of interest for archaeological, </w:t>
      </w:r>
      <w:r w:rsidR="00285321" w:rsidRPr="00076E3D">
        <w:t xml:space="preserve">artistic, ethnological, </w:t>
      </w:r>
      <w:r w:rsidR="0074360A" w:rsidRPr="00076E3D">
        <w:t>historical, literary, scientific or technological reasons</w:t>
      </w:r>
      <w:r w:rsidRPr="00076E3D">
        <w:t>;</w:t>
      </w:r>
      <w:r w:rsidR="0074360A" w:rsidRPr="00076E3D">
        <w:t xml:space="preserve"> and</w:t>
      </w:r>
    </w:p>
    <w:p w:rsidR="00F479A4" w:rsidRPr="00076E3D" w:rsidRDefault="00374A16" w:rsidP="00076E3D">
      <w:pPr>
        <w:pStyle w:val="paragraph"/>
      </w:pPr>
      <w:r w:rsidRPr="00076E3D">
        <w:tab/>
        <w:t>(b)</w:t>
      </w:r>
      <w:r w:rsidRPr="00076E3D">
        <w:tab/>
        <w:t>is</w:t>
      </w:r>
      <w:r w:rsidR="0074360A" w:rsidRPr="00076E3D">
        <w:t xml:space="preserve"> either:</w:t>
      </w:r>
    </w:p>
    <w:p w:rsidR="0074360A" w:rsidRPr="00076E3D" w:rsidRDefault="00D22AA3" w:rsidP="00076E3D">
      <w:pPr>
        <w:pStyle w:val="paragraphsub"/>
      </w:pPr>
      <w:r w:rsidRPr="00076E3D">
        <w:tab/>
        <w:t>(i</w:t>
      </w:r>
      <w:r w:rsidR="0074360A" w:rsidRPr="00076E3D">
        <w:t>)</w:t>
      </w:r>
      <w:r w:rsidR="0074360A" w:rsidRPr="00076E3D">
        <w:tab/>
        <w:t>established by a law of the Commonwealth, a State or a Territory</w:t>
      </w:r>
      <w:r w:rsidRPr="00076E3D">
        <w:t xml:space="preserve">, except a law prescribed by </w:t>
      </w:r>
      <w:r w:rsidR="007778C0" w:rsidRPr="00076E3D">
        <w:t>regulation</w:t>
      </w:r>
      <w:r w:rsidRPr="00076E3D">
        <w:t xml:space="preserve"> for the purposes of this subparagraph</w:t>
      </w:r>
      <w:r w:rsidR="0074360A" w:rsidRPr="00076E3D">
        <w:t>; or</w:t>
      </w:r>
    </w:p>
    <w:p w:rsidR="0074360A" w:rsidRPr="00076E3D" w:rsidRDefault="00D22AA3" w:rsidP="00076E3D">
      <w:pPr>
        <w:pStyle w:val="paragraphsub"/>
      </w:pPr>
      <w:r w:rsidRPr="00076E3D">
        <w:tab/>
        <w:t>(ii</w:t>
      </w:r>
      <w:r w:rsidR="0074360A" w:rsidRPr="00076E3D">
        <w:t>)</w:t>
      </w:r>
      <w:r w:rsidR="0074360A" w:rsidRPr="00076E3D">
        <w:tab/>
        <w:t xml:space="preserve">prescribed by </w:t>
      </w:r>
      <w:r w:rsidR="007778C0" w:rsidRPr="00076E3D">
        <w:t>regulation</w:t>
      </w:r>
      <w:r w:rsidR="0074360A" w:rsidRPr="00076E3D">
        <w:t xml:space="preserve"> </w:t>
      </w:r>
      <w:r w:rsidRPr="00076E3D">
        <w:t>as a borrowing institution</w:t>
      </w:r>
      <w:r w:rsidR="0074360A" w:rsidRPr="00076E3D">
        <w:t>.</w:t>
      </w:r>
    </w:p>
    <w:p w:rsidR="00D22AA3" w:rsidRPr="00076E3D" w:rsidRDefault="00D22AA3" w:rsidP="00076E3D">
      <w:pPr>
        <w:pStyle w:val="notetext"/>
      </w:pPr>
      <w:r w:rsidRPr="00076E3D">
        <w:t>Note:</w:t>
      </w:r>
      <w:r w:rsidRPr="00076E3D">
        <w:tab/>
        <w:t xml:space="preserve">For prescription by class, see subsection 13(3) of the </w:t>
      </w:r>
      <w:r w:rsidRPr="00076E3D">
        <w:rPr>
          <w:i/>
        </w:rPr>
        <w:t>Legislative Instruments Act 2003</w:t>
      </w:r>
      <w:r w:rsidRPr="00076E3D">
        <w:t>.</w:t>
      </w:r>
    </w:p>
    <w:p w:rsidR="00CD1935" w:rsidRPr="00076E3D" w:rsidRDefault="00CD1935" w:rsidP="00076E3D">
      <w:pPr>
        <w:pStyle w:val="Definition"/>
      </w:pPr>
      <w:r w:rsidRPr="00076E3D">
        <w:rPr>
          <w:b/>
          <w:i/>
        </w:rPr>
        <w:t>exhibiting institution</w:t>
      </w:r>
      <w:r w:rsidR="00753234" w:rsidRPr="00076E3D">
        <w:t xml:space="preserve"> for an object means the</w:t>
      </w:r>
      <w:r w:rsidRPr="00076E3D">
        <w:t xml:space="preserve"> borrowing institution that has made arrangements for the temporary public exhibition of the object in Australia.</w:t>
      </w:r>
    </w:p>
    <w:p w:rsidR="004744FC" w:rsidRPr="00076E3D" w:rsidRDefault="004744FC" w:rsidP="00076E3D">
      <w:pPr>
        <w:pStyle w:val="Definition"/>
      </w:pPr>
      <w:r w:rsidRPr="00076E3D">
        <w:rPr>
          <w:b/>
          <w:i/>
        </w:rPr>
        <w:t>exhibition facilitator</w:t>
      </w:r>
      <w:r w:rsidRPr="00076E3D">
        <w:t xml:space="preserve"> for an object means a person who:</w:t>
      </w:r>
    </w:p>
    <w:p w:rsidR="004744FC" w:rsidRPr="00076E3D" w:rsidRDefault="004744FC" w:rsidP="00076E3D">
      <w:pPr>
        <w:pStyle w:val="paragraph"/>
      </w:pPr>
      <w:r w:rsidRPr="00076E3D">
        <w:tab/>
        <w:t>(a)</w:t>
      </w:r>
      <w:r w:rsidRPr="00076E3D">
        <w:tab/>
        <w:t xml:space="preserve">has a temporary loan arrangement </w:t>
      </w:r>
      <w:r w:rsidR="00E26547" w:rsidRPr="00076E3D">
        <w:t xml:space="preserve">for the object </w:t>
      </w:r>
      <w:r w:rsidRPr="00076E3D">
        <w:t>with a lender of the object; and</w:t>
      </w:r>
    </w:p>
    <w:p w:rsidR="00490000" w:rsidRPr="00076E3D" w:rsidRDefault="004744FC" w:rsidP="00076E3D">
      <w:pPr>
        <w:pStyle w:val="paragraph"/>
      </w:pPr>
      <w:r w:rsidRPr="00076E3D">
        <w:tab/>
        <w:t>(b)</w:t>
      </w:r>
      <w:r w:rsidRPr="00076E3D">
        <w:tab/>
        <w:t xml:space="preserve">has </w:t>
      </w:r>
      <w:r w:rsidR="009E3FC0" w:rsidRPr="00076E3D">
        <w:t>a</w:t>
      </w:r>
      <w:r w:rsidR="00490000" w:rsidRPr="00076E3D">
        <w:t xml:space="preserve"> temporary loan</w:t>
      </w:r>
      <w:r w:rsidRPr="00076E3D">
        <w:t xml:space="preserve"> arrangement </w:t>
      </w:r>
      <w:r w:rsidR="00490000" w:rsidRPr="00076E3D">
        <w:t xml:space="preserve">for the object </w:t>
      </w:r>
      <w:r w:rsidRPr="00076E3D">
        <w:t>with</w:t>
      </w:r>
      <w:r w:rsidR="00490000" w:rsidRPr="00076E3D">
        <w:t>:</w:t>
      </w:r>
    </w:p>
    <w:p w:rsidR="00490000" w:rsidRPr="00076E3D" w:rsidRDefault="00490000" w:rsidP="00076E3D">
      <w:pPr>
        <w:pStyle w:val="paragraphsub"/>
      </w:pPr>
      <w:r w:rsidRPr="00076E3D">
        <w:tab/>
        <w:t>(i)</w:t>
      </w:r>
      <w:r w:rsidRPr="00076E3D">
        <w:tab/>
      </w:r>
      <w:r w:rsidR="00065F2D" w:rsidRPr="00076E3D">
        <w:t>an</w:t>
      </w:r>
      <w:r w:rsidR="004744FC" w:rsidRPr="00076E3D">
        <w:t xml:space="preserve"> </w:t>
      </w:r>
      <w:r w:rsidR="00CD1935" w:rsidRPr="00076E3D">
        <w:t>exhibiting</w:t>
      </w:r>
      <w:r w:rsidR="004744FC" w:rsidRPr="00076E3D">
        <w:t xml:space="preserve"> institution </w:t>
      </w:r>
      <w:r w:rsidR="00CD1935" w:rsidRPr="00076E3D">
        <w:t xml:space="preserve">for </w:t>
      </w:r>
      <w:r w:rsidRPr="00076E3D">
        <w:t>the object; or</w:t>
      </w:r>
    </w:p>
    <w:p w:rsidR="004744FC" w:rsidRPr="00076E3D" w:rsidRDefault="00490000" w:rsidP="00076E3D">
      <w:pPr>
        <w:pStyle w:val="paragraphsub"/>
      </w:pPr>
      <w:r w:rsidRPr="00076E3D">
        <w:tab/>
        <w:t>(ii)</w:t>
      </w:r>
      <w:r w:rsidRPr="00076E3D">
        <w:tab/>
        <w:t xml:space="preserve">the parent of </w:t>
      </w:r>
      <w:r w:rsidR="00065F2D" w:rsidRPr="00076E3D">
        <w:t xml:space="preserve">such an </w:t>
      </w:r>
      <w:r w:rsidR="006D2A1E" w:rsidRPr="00076E3D">
        <w:t>institution; and</w:t>
      </w:r>
    </w:p>
    <w:p w:rsidR="006D2A1E" w:rsidRPr="00076E3D" w:rsidRDefault="006D2A1E" w:rsidP="00076E3D">
      <w:pPr>
        <w:pStyle w:val="paragraph"/>
      </w:pPr>
      <w:r w:rsidRPr="00076E3D">
        <w:tab/>
        <w:t>(c)</w:t>
      </w:r>
      <w:r w:rsidRPr="00076E3D">
        <w:tab/>
        <w:t>is not a lender of the object, an exhibiting institution for the object or the parent of such an institution; and</w:t>
      </w:r>
    </w:p>
    <w:p w:rsidR="006D2A1E" w:rsidRPr="00076E3D" w:rsidRDefault="006D2A1E" w:rsidP="00076E3D">
      <w:pPr>
        <w:pStyle w:val="paragraph"/>
      </w:pPr>
      <w:r w:rsidRPr="00076E3D">
        <w:lastRenderedPageBreak/>
        <w:tab/>
        <w:t>(d)</w:t>
      </w:r>
      <w:r w:rsidRPr="00076E3D">
        <w:tab/>
        <w:t>carries on a business (whether or not for profit) of making arrangements for temporary public exhibitions in Australia of objects from collections outside Australia.</w:t>
      </w:r>
    </w:p>
    <w:p w:rsidR="00E626C3" w:rsidRPr="00076E3D" w:rsidRDefault="00E626C3" w:rsidP="00076E3D">
      <w:pPr>
        <w:pStyle w:val="Definition"/>
      </w:pPr>
      <w:r w:rsidRPr="00076E3D">
        <w:rPr>
          <w:b/>
          <w:i/>
        </w:rPr>
        <w:t>heritage law</w:t>
      </w:r>
      <w:r w:rsidRPr="00076E3D">
        <w:t xml:space="preserve"> means a law of the Commonwealth, a State or a Territory that relates to heritage, whether or not the law relates to:</w:t>
      </w:r>
    </w:p>
    <w:p w:rsidR="00E626C3" w:rsidRPr="00076E3D" w:rsidRDefault="00E626C3" w:rsidP="00076E3D">
      <w:pPr>
        <w:pStyle w:val="paragraph"/>
      </w:pPr>
      <w:r w:rsidRPr="00076E3D">
        <w:tab/>
        <w:t>(a)</w:t>
      </w:r>
      <w:r w:rsidRPr="00076E3D">
        <w:tab/>
        <w:t>heritage of a particular community, such as Aboriginal or Torres Strait Islander heritage; or</w:t>
      </w:r>
    </w:p>
    <w:p w:rsidR="006B5DB7" w:rsidRPr="00076E3D" w:rsidRDefault="00E626C3" w:rsidP="00076E3D">
      <w:pPr>
        <w:pStyle w:val="paragraph"/>
      </w:pPr>
      <w:r w:rsidRPr="00076E3D">
        <w:tab/>
        <w:t>(b)</w:t>
      </w:r>
      <w:r w:rsidRPr="00076E3D">
        <w:tab/>
        <w:t>heritage of a particular kind, such as</w:t>
      </w:r>
      <w:r w:rsidR="006B5DB7" w:rsidRPr="00076E3D">
        <w:t>:</w:t>
      </w:r>
    </w:p>
    <w:p w:rsidR="006B5DB7" w:rsidRPr="00076E3D" w:rsidRDefault="006B5DB7" w:rsidP="00076E3D">
      <w:pPr>
        <w:pStyle w:val="paragraphsub"/>
      </w:pPr>
      <w:r w:rsidRPr="00076E3D">
        <w:tab/>
        <w:t>(i)</w:t>
      </w:r>
      <w:r w:rsidRPr="00076E3D">
        <w:tab/>
        <w:t xml:space="preserve">objects associated with </w:t>
      </w:r>
      <w:r w:rsidR="00E626C3" w:rsidRPr="00076E3D">
        <w:t>historic shipwrecks</w:t>
      </w:r>
      <w:r w:rsidRPr="00076E3D">
        <w:t>; or</w:t>
      </w:r>
    </w:p>
    <w:p w:rsidR="006B5DB7" w:rsidRPr="00076E3D" w:rsidRDefault="006B5DB7" w:rsidP="00076E3D">
      <w:pPr>
        <w:pStyle w:val="paragraphsub"/>
      </w:pPr>
      <w:r w:rsidRPr="00076E3D">
        <w:tab/>
        <w:t>(ii)</w:t>
      </w:r>
      <w:r w:rsidRPr="00076E3D">
        <w:tab/>
        <w:t>records of government; or</w:t>
      </w:r>
    </w:p>
    <w:p w:rsidR="00E626C3" w:rsidRPr="00076E3D" w:rsidRDefault="006B5DB7" w:rsidP="00076E3D">
      <w:pPr>
        <w:pStyle w:val="paragraphsub"/>
      </w:pPr>
      <w:r w:rsidRPr="00076E3D">
        <w:tab/>
        <w:t>(iii)</w:t>
      </w:r>
      <w:r w:rsidRPr="00076E3D">
        <w:tab/>
        <w:t>other</w:t>
      </w:r>
      <w:r w:rsidR="00B154B7" w:rsidRPr="00076E3D">
        <w:t xml:space="preserve"> archival material.</w:t>
      </w:r>
    </w:p>
    <w:p w:rsidR="001834F9" w:rsidRPr="00076E3D" w:rsidRDefault="001834F9" w:rsidP="00076E3D">
      <w:pPr>
        <w:pStyle w:val="Definition"/>
      </w:pPr>
      <w:r w:rsidRPr="00076E3D">
        <w:rPr>
          <w:b/>
          <w:i/>
        </w:rPr>
        <w:t>just terms</w:t>
      </w:r>
      <w:r w:rsidRPr="00076E3D">
        <w:t xml:space="preserve"> has the same meaning as in paragraph 51(xxxi) of the Constitution.</w:t>
      </w:r>
    </w:p>
    <w:p w:rsidR="004744FC" w:rsidRPr="00076E3D" w:rsidRDefault="004744FC" w:rsidP="00076E3D">
      <w:pPr>
        <w:pStyle w:val="Definition"/>
      </w:pPr>
      <w:r w:rsidRPr="00076E3D">
        <w:rPr>
          <w:b/>
          <w:i/>
        </w:rPr>
        <w:t>lender</w:t>
      </w:r>
      <w:r w:rsidRPr="00076E3D">
        <w:t xml:space="preserve"> of an object means a person who:</w:t>
      </w:r>
    </w:p>
    <w:p w:rsidR="004744FC" w:rsidRPr="00076E3D" w:rsidRDefault="004744FC" w:rsidP="00076E3D">
      <w:pPr>
        <w:pStyle w:val="paragraph"/>
      </w:pPr>
      <w:r w:rsidRPr="00076E3D">
        <w:tab/>
        <w:t>(a)</w:t>
      </w:r>
      <w:r w:rsidRPr="00076E3D">
        <w:tab/>
        <w:t>is:</w:t>
      </w:r>
    </w:p>
    <w:p w:rsidR="004744FC" w:rsidRPr="00076E3D" w:rsidRDefault="004744FC" w:rsidP="00076E3D">
      <w:pPr>
        <w:pStyle w:val="paragraphsub"/>
      </w:pPr>
      <w:r w:rsidRPr="00076E3D">
        <w:tab/>
        <w:t>(i)</w:t>
      </w:r>
      <w:r w:rsidRPr="00076E3D">
        <w:tab/>
        <w:t>an individual who is not ordinarily resident in Australia; or</w:t>
      </w:r>
    </w:p>
    <w:p w:rsidR="004744FC" w:rsidRPr="00076E3D" w:rsidRDefault="004744FC" w:rsidP="00076E3D">
      <w:pPr>
        <w:pStyle w:val="paragraphsub"/>
      </w:pPr>
      <w:r w:rsidRPr="00076E3D">
        <w:tab/>
        <w:t>(ii)</w:t>
      </w:r>
      <w:r w:rsidRPr="00076E3D">
        <w:tab/>
        <w:t>a corporation incorporated by or under the law of a foreign country; or</w:t>
      </w:r>
    </w:p>
    <w:p w:rsidR="004744FC" w:rsidRPr="00076E3D" w:rsidRDefault="004744FC" w:rsidP="00076E3D">
      <w:pPr>
        <w:pStyle w:val="paragraphsub"/>
      </w:pPr>
      <w:r w:rsidRPr="00076E3D">
        <w:tab/>
        <w:t>(iii)</w:t>
      </w:r>
      <w:r w:rsidRPr="00076E3D">
        <w:tab/>
        <w:t>a body politic of a foreign country (or part of a foreign country); and</w:t>
      </w:r>
    </w:p>
    <w:p w:rsidR="004744FC" w:rsidRPr="00076E3D" w:rsidRDefault="004744FC" w:rsidP="00076E3D">
      <w:pPr>
        <w:pStyle w:val="paragraph"/>
      </w:pPr>
      <w:r w:rsidRPr="00076E3D">
        <w:tab/>
        <w:t>(b)</w:t>
      </w:r>
      <w:r w:rsidRPr="00076E3D">
        <w:tab/>
        <w:t>is a party to a temporary loan arrangement</w:t>
      </w:r>
      <w:r w:rsidR="00924CCE" w:rsidRPr="00076E3D">
        <w:t xml:space="preserve"> </w:t>
      </w:r>
      <w:r w:rsidRPr="00076E3D">
        <w:t xml:space="preserve">(the </w:t>
      </w:r>
      <w:r w:rsidRPr="00076E3D">
        <w:rPr>
          <w:b/>
          <w:i/>
        </w:rPr>
        <w:t>head arrangement</w:t>
      </w:r>
      <w:r w:rsidRPr="00076E3D">
        <w:t>) for the object with</w:t>
      </w:r>
      <w:r w:rsidR="00273DFA" w:rsidRPr="00076E3D">
        <w:t xml:space="preserve"> a borrowing institution, the parent of a borrowing institution or a person who</w:t>
      </w:r>
      <w:r w:rsidRPr="00076E3D">
        <w:t>:</w:t>
      </w:r>
    </w:p>
    <w:p w:rsidR="004744FC" w:rsidRPr="00076E3D" w:rsidRDefault="004744FC" w:rsidP="00076E3D">
      <w:pPr>
        <w:pStyle w:val="paragraphsub"/>
      </w:pPr>
      <w:r w:rsidRPr="00076E3D">
        <w:tab/>
        <w:t>(i)</w:t>
      </w:r>
      <w:r w:rsidRPr="00076E3D">
        <w:tab/>
      </w:r>
      <w:r w:rsidR="00273DFA" w:rsidRPr="00076E3D">
        <w:t>has, or may reasonably be expected to have in future as a result of the head arrangement, a temporary loan arrangement for the object with a borrowing institution or the parent of a borrowing institution; and</w:t>
      </w:r>
    </w:p>
    <w:p w:rsidR="004744FC" w:rsidRPr="00076E3D" w:rsidRDefault="004744FC" w:rsidP="00076E3D">
      <w:pPr>
        <w:pStyle w:val="paragraphsub"/>
      </w:pPr>
      <w:r w:rsidRPr="00076E3D">
        <w:tab/>
        <w:t>(ii)</w:t>
      </w:r>
      <w:r w:rsidRPr="00076E3D">
        <w:tab/>
      </w:r>
      <w:r w:rsidR="00273DFA" w:rsidRPr="00076E3D">
        <w:t>is not an exhibiting institution for the object or the parent of such an institution; and</w:t>
      </w:r>
    </w:p>
    <w:p w:rsidR="00273DFA" w:rsidRPr="00076E3D" w:rsidRDefault="004744FC" w:rsidP="00076E3D">
      <w:pPr>
        <w:pStyle w:val="paragraphsub"/>
      </w:pPr>
      <w:r w:rsidRPr="00076E3D">
        <w:tab/>
        <w:t>(iii)</w:t>
      </w:r>
      <w:r w:rsidRPr="00076E3D">
        <w:tab/>
      </w:r>
      <w:r w:rsidR="00273DFA" w:rsidRPr="00076E3D">
        <w:t>carries on a business (whether or not for profit) of making arrangements for temporary public exhibitions in Australia of objects from collections outside Australia; and</w:t>
      </w:r>
    </w:p>
    <w:p w:rsidR="004744FC" w:rsidRPr="00076E3D" w:rsidRDefault="004744FC" w:rsidP="00076E3D">
      <w:pPr>
        <w:pStyle w:val="paragraph"/>
      </w:pPr>
      <w:r w:rsidRPr="00076E3D">
        <w:lastRenderedPageBreak/>
        <w:tab/>
        <w:t>(c)</w:t>
      </w:r>
      <w:r w:rsidRPr="00076E3D">
        <w:tab/>
        <w:t>would reasonably be expected to have physical possession, custody or control of the object outside Australia for the period of the loan under the head arrangement, apart from that arrangement.</w:t>
      </w:r>
    </w:p>
    <w:p w:rsidR="00A64BD9" w:rsidRPr="00076E3D" w:rsidRDefault="00F479A4" w:rsidP="00076E3D">
      <w:pPr>
        <w:pStyle w:val="Definition"/>
      </w:pPr>
      <w:r w:rsidRPr="00076E3D">
        <w:rPr>
          <w:b/>
          <w:i/>
        </w:rPr>
        <w:t>loan</w:t>
      </w:r>
      <w:r w:rsidRPr="00076E3D">
        <w:t xml:space="preserve"> </w:t>
      </w:r>
      <w:r w:rsidR="0065558D" w:rsidRPr="00076E3D">
        <w:t xml:space="preserve">of an object </w:t>
      </w:r>
      <w:r w:rsidRPr="00076E3D">
        <w:t>includes</w:t>
      </w:r>
      <w:r w:rsidR="0065558D" w:rsidRPr="00076E3D">
        <w:t xml:space="preserve"> an arrangement for</w:t>
      </w:r>
      <w:r w:rsidR="00F75572" w:rsidRPr="00076E3D">
        <w:t>:</w:t>
      </w:r>
    </w:p>
    <w:p w:rsidR="00A64BD9" w:rsidRPr="00076E3D" w:rsidRDefault="00A64BD9" w:rsidP="00076E3D">
      <w:pPr>
        <w:pStyle w:val="paragraph"/>
      </w:pPr>
      <w:r w:rsidRPr="00076E3D">
        <w:tab/>
        <w:t>(a)</w:t>
      </w:r>
      <w:r w:rsidRPr="00076E3D">
        <w:tab/>
      </w:r>
      <w:r w:rsidR="0065558D" w:rsidRPr="00076E3D">
        <w:t xml:space="preserve">the temporary transfer of the physical possession, custody or control of the object </w:t>
      </w:r>
      <w:r w:rsidRPr="00076E3D">
        <w:t xml:space="preserve">directly or indirectly </w:t>
      </w:r>
      <w:r w:rsidR="0065558D" w:rsidRPr="00076E3D">
        <w:t>from one person to another person</w:t>
      </w:r>
      <w:r w:rsidRPr="00076E3D">
        <w:t>, whether or not any consideration is provided for the transfer; and</w:t>
      </w:r>
    </w:p>
    <w:p w:rsidR="00A64BD9" w:rsidRPr="00076E3D" w:rsidRDefault="00A64BD9" w:rsidP="00076E3D">
      <w:pPr>
        <w:pStyle w:val="paragraph"/>
      </w:pPr>
      <w:r w:rsidRPr="00076E3D">
        <w:tab/>
        <w:t>(b)</w:t>
      </w:r>
      <w:r w:rsidRPr="00076E3D">
        <w:tab/>
        <w:t>the transfer of the physical possession, custody or control of the object directly or indirectly from the other person back to the first person.</w:t>
      </w:r>
    </w:p>
    <w:p w:rsidR="00552C8A" w:rsidRPr="00076E3D" w:rsidRDefault="0074360A" w:rsidP="00076E3D">
      <w:pPr>
        <w:pStyle w:val="Definition"/>
      </w:pPr>
      <w:r w:rsidRPr="00076E3D">
        <w:rPr>
          <w:b/>
          <w:i/>
        </w:rPr>
        <w:t>parent</w:t>
      </w:r>
      <w:r w:rsidRPr="00076E3D">
        <w:t xml:space="preserve"> of a borrowing institution that is not a person means</w:t>
      </w:r>
      <w:r w:rsidR="00552C8A" w:rsidRPr="00076E3D">
        <w:t>:</w:t>
      </w:r>
    </w:p>
    <w:p w:rsidR="00552C8A" w:rsidRPr="00076E3D" w:rsidRDefault="00552C8A" w:rsidP="00076E3D">
      <w:pPr>
        <w:pStyle w:val="paragraph"/>
      </w:pPr>
      <w:r w:rsidRPr="00076E3D">
        <w:tab/>
        <w:t>(a)</w:t>
      </w:r>
      <w:r w:rsidRPr="00076E3D">
        <w:tab/>
        <w:t xml:space="preserve">if the institution is a Department of State, or part of such a </w:t>
      </w:r>
      <w:r w:rsidR="003C387B" w:rsidRPr="00076E3D">
        <w:t>D</w:t>
      </w:r>
      <w:r w:rsidRPr="00076E3D">
        <w:t>epartment, of the Commonwealth, a State or a Territory—the Commonwealth, State or Territory (as appropriate); or</w:t>
      </w:r>
    </w:p>
    <w:p w:rsidR="00552C8A" w:rsidRPr="00076E3D" w:rsidRDefault="00552C8A" w:rsidP="00076E3D">
      <w:pPr>
        <w:pStyle w:val="paragraph"/>
      </w:pPr>
      <w:r w:rsidRPr="00076E3D">
        <w:tab/>
        <w:t>(b)</w:t>
      </w:r>
      <w:r w:rsidRPr="00076E3D">
        <w:tab/>
        <w:t>if the</w:t>
      </w:r>
      <w:r w:rsidR="00A40C5F" w:rsidRPr="00076E3D">
        <w:t xml:space="preserve"> operations of the</w:t>
      </w:r>
      <w:r w:rsidRPr="00076E3D">
        <w:t xml:space="preserve"> institution </w:t>
      </w:r>
      <w:r w:rsidR="00A40C5F" w:rsidRPr="00076E3D">
        <w:t xml:space="preserve">are a distinct </w:t>
      </w:r>
      <w:r w:rsidRPr="00076E3D">
        <w:t>part of the operations of a body corporate—that body.</w:t>
      </w:r>
    </w:p>
    <w:p w:rsidR="000D452C" w:rsidRPr="00076E3D" w:rsidRDefault="000D452C" w:rsidP="00076E3D">
      <w:pPr>
        <w:pStyle w:val="Definition"/>
      </w:pPr>
      <w:r w:rsidRPr="00076E3D">
        <w:rPr>
          <w:b/>
          <w:i/>
        </w:rPr>
        <w:t>protected person</w:t>
      </w:r>
      <w:r w:rsidRPr="00076E3D">
        <w:t xml:space="preserve"> </w:t>
      </w:r>
      <w:r w:rsidR="00354385" w:rsidRPr="00076E3D">
        <w:t>for</w:t>
      </w:r>
      <w:r w:rsidRPr="00076E3D">
        <w:t xml:space="preserve"> an object means:</w:t>
      </w:r>
    </w:p>
    <w:p w:rsidR="000D452C" w:rsidRPr="00076E3D" w:rsidRDefault="000D452C" w:rsidP="00076E3D">
      <w:pPr>
        <w:pStyle w:val="paragraph"/>
      </w:pPr>
      <w:r w:rsidRPr="00076E3D">
        <w:tab/>
        <w:t>(a)</w:t>
      </w:r>
      <w:r w:rsidRPr="00076E3D">
        <w:tab/>
        <w:t>a lender of the object; or</w:t>
      </w:r>
    </w:p>
    <w:p w:rsidR="00552C8A" w:rsidRPr="00076E3D" w:rsidRDefault="00552C8A" w:rsidP="00076E3D">
      <w:pPr>
        <w:pStyle w:val="paragraph"/>
      </w:pPr>
      <w:r w:rsidRPr="00076E3D">
        <w:tab/>
        <w:t>(b)</w:t>
      </w:r>
      <w:r w:rsidRPr="00076E3D">
        <w:tab/>
        <w:t>an officer, employee or agent of a lender of the object who accompanies the object for some or all of the time it is on loan; or</w:t>
      </w:r>
    </w:p>
    <w:p w:rsidR="000D452C" w:rsidRPr="00076E3D" w:rsidRDefault="000D452C" w:rsidP="00076E3D">
      <w:pPr>
        <w:pStyle w:val="paragraph"/>
      </w:pPr>
      <w:r w:rsidRPr="00076E3D">
        <w:tab/>
        <w:t>(</w:t>
      </w:r>
      <w:r w:rsidR="007B5B94" w:rsidRPr="00076E3D">
        <w:t>c</w:t>
      </w:r>
      <w:r w:rsidRPr="00076E3D">
        <w:t>)</w:t>
      </w:r>
      <w:r w:rsidRPr="00076E3D">
        <w:tab/>
      </w:r>
      <w:r w:rsidR="007B5B94" w:rsidRPr="00076E3D">
        <w:t xml:space="preserve">an exhibition facilitator for the object, </w:t>
      </w:r>
      <w:r w:rsidR="00065F2D" w:rsidRPr="00076E3D">
        <w:t>an exhibiting</w:t>
      </w:r>
      <w:r w:rsidR="00CD1935" w:rsidRPr="00076E3D">
        <w:t xml:space="preserve"> </w:t>
      </w:r>
      <w:r w:rsidRPr="00076E3D">
        <w:t>institution</w:t>
      </w:r>
      <w:r w:rsidR="00065F2D" w:rsidRPr="00076E3D">
        <w:t xml:space="preserve"> for the object</w:t>
      </w:r>
      <w:r w:rsidR="007B5B94" w:rsidRPr="00076E3D">
        <w:t xml:space="preserve"> or</w:t>
      </w:r>
      <w:r w:rsidRPr="00076E3D">
        <w:t xml:space="preserve"> the parent of </w:t>
      </w:r>
      <w:r w:rsidR="00065F2D" w:rsidRPr="00076E3D">
        <w:t xml:space="preserve">such an </w:t>
      </w:r>
      <w:r w:rsidRPr="00076E3D">
        <w:t>institution; or</w:t>
      </w:r>
    </w:p>
    <w:p w:rsidR="007B5B94" w:rsidRPr="00076E3D" w:rsidRDefault="007B5B94" w:rsidP="00076E3D">
      <w:pPr>
        <w:pStyle w:val="paragraph"/>
      </w:pPr>
      <w:r w:rsidRPr="00076E3D">
        <w:tab/>
        <w:t>(d</w:t>
      </w:r>
      <w:r w:rsidR="000D452C" w:rsidRPr="00076E3D">
        <w:t>)</w:t>
      </w:r>
      <w:r w:rsidR="000D452C" w:rsidRPr="00076E3D">
        <w:tab/>
      </w:r>
      <w:r w:rsidRPr="00076E3D">
        <w:t>a person who is:</w:t>
      </w:r>
    </w:p>
    <w:p w:rsidR="007B5B94" w:rsidRPr="00076E3D" w:rsidRDefault="007B5B94" w:rsidP="00076E3D">
      <w:pPr>
        <w:pStyle w:val="paragraphsub"/>
      </w:pPr>
      <w:r w:rsidRPr="00076E3D">
        <w:tab/>
        <w:t>(i)</w:t>
      </w:r>
      <w:r w:rsidRPr="00076E3D">
        <w:tab/>
        <w:t>an officer, employee</w:t>
      </w:r>
      <w:r w:rsidR="00D8518B" w:rsidRPr="00076E3D">
        <w:t>,</w:t>
      </w:r>
      <w:r w:rsidRPr="00076E3D">
        <w:t xml:space="preserve"> agent </w:t>
      </w:r>
      <w:r w:rsidR="00D8518B" w:rsidRPr="00076E3D">
        <w:t xml:space="preserve">or delegate </w:t>
      </w:r>
      <w:r w:rsidRPr="00076E3D">
        <w:t>of an exhibition facilitator for the object; or</w:t>
      </w:r>
    </w:p>
    <w:p w:rsidR="000D452C" w:rsidRPr="00076E3D" w:rsidRDefault="007B5B94" w:rsidP="00076E3D">
      <w:pPr>
        <w:pStyle w:val="paragraphsub"/>
      </w:pPr>
      <w:r w:rsidRPr="00076E3D">
        <w:tab/>
        <w:t>(ii)</w:t>
      </w:r>
      <w:r w:rsidRPr="00076E3D">
        <w:tab/>
      </w:r>
      <w:r w:rsidR="0073592E" w:rsidRPr="00076E3D">
        <w:t xml:space="preserve">an officer, employee, agent or delegate of </w:t>
      </w:r>
      <w:r w:rsidRPr="00076E3D">
        <w:t>an exhibiting institution for the object or the parent of such an institution</w:t>
      </w:r>
      <w:r w:rsidR="0073592E" w:rsidRPr="00076E3D">
        <w:t>; or</w:t>
      </w:r>
    </w:p>
    <w:p w:rsidR="0073592E" w:rsidRPr="00076E3D" w:rsidRDefault="004567C1" w:rsidP="00076E3D">
      <w:pPr>
        <w:pStyle w:val="paragraph"/>
      </w:pPr>
      <w:r w:rsidRPr="00076E3D">
        <w:tab/>
        <w:t>(</w:t>
      </w:r>
      <w:r w:rsidR="007B5B94" w:rsidRPr="00076E3D">
        <w:t>e</w:t>
      </w:r>
      <w:r w:rsidR="0073592E" w:rsidRPr="00076E3D">
        <w:t>)</w:t>
      </w:r>
      <w:r w:rsidR="0073592E" w:rsidRPr="00076E3D">
        <w:tab/>
        <w:t>a person engaged by a lender of the object</w:t>
      </w:r>
      <w:r w:rsidR="00BE3C22" w:rsidRPr="00076E3D">
        <w:t>, an exhibition facilitator for the object</w:t>
      </w:r>
      <w:r w:rsidR="0073592E" w:rsidRPr="00076E3D">
        <w:t xml:space="preserve"> or an institution or parent described in </w:t>
      </w:r>
      <w:r w:rsidR="00076E3D" w:rsidRPr="00076E3D">
        <w:t>paragraph (</w:t>
      </w:r>
      <w:r w:rsidR="007B5B94" w:rsidRPr="00076E3D">
        <w:t>c</w:t>
      </w:r>
      <w:r w:rsidR="0073592E" w:rsidRPr="00076E3D">
        <w:t>) to do any of the following:</w:t>
      </w:r>
    </w:p>
    <w:p w:rsidR="0073592E" w:rsidRPr="00076E3D" w:rsidRDefault="0073592E" w:rsidP="00076E3D">
      <w:pPr>
        <w:pStyle w:val="paragraphsub"/>
      </w:pPr>
      <w:r w:rsidRPr="00076E3D">
        <w:lastRenderedPageBreak/>
        <w:tab/>
        <w:t>(i)</w:t>
      </w:r>
      <w:r w:rsidRPr="00076E3D">
        <w:tab/>
        <w:t xml:space="preserve">transport the object </w:t>
      </w:r>
      <w:r w:rsidR="00BB7FF8" w:rsidRPr="00076E3D">
        <w:t xml:space="preserve">from one place in </w:t>
      </w:r>
      <w:r w:rsidRPr="00076E3D">
        <w:t xml:space="preserve">Australia </w:t>
      </w:r>
      <w:r w:rsidR="00BB7FF8" w:rsidRPr="00076E3D">
        <w:t xml:space="preserve">to another </w:t>
      </w:r>
      <w:r w:rsidRPr="00076E3D">
        <w:t>or between Australia and a foreign country;</w:t>
      </w:r>
    </w:p>
    <w:p w:rsidR="0073592E" w:rsidRPr="00076E3D" w:rsidRDefault="0073592E" w:rsidP="00076E3D">
      <w:pPr>
        <w:pStyle w:val="paragraphsub"/>
      </w:pPr>
      <w:r w:rsidRPr="00076E3D">
        <w:tab/>
        <w:t>(ii)</w:t>
      </w:r>
      <w:r w:rsidRPr="00076E3D">
        <w:tab/>
        <w:t>carry out conservation work on the object in Australia;</w:t>
      </w:r>
    </w:p>
    <w:p w:rsidR="00552C8A" w:rsidRPr="00076E3D" w:rsidRDefault="0073592E" w:rsidP="00076E3D">
      <w:pPr>
        <w:pStyle w:val="paragraphsub"/>
      </w:pPr>
      <w:r w:rsidRPr="00076E3D">
        <w:tab/>
        <w:t>(iii)</w:t>
      </w:r>
      <w:r w:rsidRPr="00076E3D">
        <w:tab/>
        <w:t>store the object in Australia;</w:t>
      </w:r>
    </w:p>
    <w:p w:rsidR="00E50456" w:rsidRPr="00076E3D" w:rsidRDefault="00552C8A" w:rsidP="00076E3D">
      <w:pPr>
        <w:pStyle w:val="paragraphsub"/>
      </w:pPr>
      <w:r w:rsidRPr="00076E3D">
        <w:tab/>
        <w:t>(iv)</w:t>
      </w:r>
      <w:r w:rsidRPr="00076E3D">
        <w:tab/>
        <w:t>provide security for the object while it is being transported between Australia and a foreign country or</w:t>
      </w:r>
      <w:r w:rsidR="00524528" w:rsidRPr="00076E3D">
        <w:t xml:space="preserve"> while</w:t>
      </w:r>
      <w:r w:rsidRPr="00076E3D">
        <w:t xml:space="preserve"> it is in Australia;</w:t>
      </w:r>
    </w:p>
    <w:p w:rsidR="0073592E" w:rsidRPr="00076E3D" w:rsidRDefault="00E50456" w:rsidP="00076E3D">
      <w:pPr>
        <w:pStyle w:val="paragraphsub"/>
      </w:pPr>
      <w:r w:rsidRPr="00076E3D">
        <w:tab/>
        <w:t>(v)</w:t>
      </w:r>
      <w:r w:rsidRPr="00076E3D">
        <w:tab/>
        <w:t>provide a service that relates to the object</w:t>
      </w:r>
      <w:r w:rsidR="0073592E" w:rsidRPr="00076E3D">
        <w:t xml:space="preserve"> </w:t>
      </w:r>
      <w:r w:rsidRPr="00076E3D">
        <w:t>and is prescribed by regulatio</w:t>
      </w:r>
      <w:r w:rsidR="00BB7FF8" w:rsidRPr="00076E3D">
        <w:t>n</w:t>
      </w:r>
      <w:r w:rsidRPr="00076E3D">
        <w:t xml:space="preserve">; </w:t>
      </w:r>
      <w:r w:rsidR="0073592E" w:rsidRPr="00076E3D">
        <w:t>or</w:t>
      </w:r>
    </w:p>
    <w:p w:rsidR="0073592E" w:rsidRPr="00076E3D" w:rsidRDefault="007B5B94" w:rsidP="00076E3D">
      <w:pPr>
        <w:pStyle w:val="paragraph"/>
      </w:pPr>
      <w:r w:rsidRPr="00076E3D">
        <w:tab/>
        <w:t>(f</w:t>
      </w:r>
      <w:r w:rsidR="0073592E" w:rsidRPr="00076E3D">
        <w:t>)</w:t>
      </w:r>
      <w:r w:rsidR="0073592E" w:rsidRPr="00076E3D">
        <w:tab/>
        <w:t xml:space="preserve">an officer, employee, agent or delegate of a person described in </w:t>
      </w:r>
      <w:r w:rsidR="00076E3D" w:rsidRPr="00076E3D">
        <w:t>paragraph (</w:t>
      </w:r>
      <w:r w:rsidRPr="00076E3D">
        <w:t>e</w:t>
      </w:r>
      <w:r w:rsidR="0073592E" w:rsidRPr="00076E3D">
        <w:t>).</w:t>
      </w:r>
    </w:p>
    <w:p w:rsidR="002269F0" w:rsidRPr="00076E3D" w:rsidRDefault="002269F0" w:rsidP="00076E3D">
      <w:pPr>
        <w:pStyle w:val="Definition"/>
      </w:pPr>
      <w:r w:rsidRPr="00076E3D">
        <w:rPr>
          <w:b/>
          <w:i/>
        </w:rPr>
        <w:t>temporary loan arrangement</w:t>
      </w:r>
      <w:r w:rsidRPr="00076E3D">
        <w:t xml:space="preserve"> for an object means an arrangement for the loan of the object for temporary public exhibition of the object in Australia under arrangements made by a borrowing institution.</w:t>
      </w:r>
    </w:p>
    <w:p w:rsidR="00DF3234" w:rsidRPr="00076E3D" w:rsidRDefault="00F35CDF" w:rsidP="00076E3D">
      <w:pPr>
        <w:pStyle w:val="ActHead5"/>
      </w:pPr>
      <w:bookmarkStart w:id="8" w:name="_Toc351461594"/>
      <w:r w:rsidRPr="00076E3D">
        <w:rPr>
          <w:rStyle w:val="CharSectno"/>
        </w:rPr>
        <w:t>6</w:t>
      </w:r>
      <w:r w:rsidR="00815009" w:rsidRPr="00076E3D">
        <w:t xml:space="preserve">  </w:t>
      </w:r>
      <w:r w:rsidR="00DF3234" w:rsidRPr="00076E3D">
        <w:t>This Act binds the Crown</w:t>
      </w:r>
      <w:bookmarkEnd w:id="8"/>
    </w:p>
    <w:p w:rsidR="00DF3234" w:rsidRPr="00076E3D" w:rsidRDefault="00DF3234" w:rsidP="00076E3D">
      <w:pPr>
        <w:pStyle w:val="subsection"/>
      </w:pPr>
      <w:r w:rsidRPr="00076E3D">
        <w:tab/>
      </w:r>
      <w:r w:rsidRPr="00076E3D">
        <w:tab/>
        <w:t>This Act binds the Crown in each of its capacities.</w:t>
      </w:r>
    </w:p>
    <w:p w:rsidR="008D460A" w:rsidRPr="00076E3D" w:rsidRDefault="00F35CDF" w:rsidP="00076E3D">
      <w:pPr>
        <w:pStyle w:val="ActHead5"/>
      </w:pPr>
      <w:bookmarkStart w:id="9" w:name="_Toc351461595"/>
      <w:r w:rsidRPr="00076E3D">
        <w:rPr>
          <w:rStyle w:val="CharSectno"/>
        </w:rPr>
        <w:t>7</w:t>
      </w:r>
      <w:r w:rsidR="008D460A" w:rsidRPr="00076E3D">
        <w:t xml:space="preserve">  Extension to external Territories</w:t>
      </w:r>
      <w:bookmarkEnd w:id="9"/>
    </w:p>
    <w:p w:rsidR="008C4F93" w:rsidRPr="00076E3D" w:rsidRDefault="008D460A" w:rsidP="00076E3D">
      <w:pPr>
        <w:pStyle w:val="subsection"/>
      </w:pPr>
      <w:r w:rsidRPr="00076E3D">
        <w:tab/>
      </w:r>
      <w:r w:rsidRPr="00076E3D">
        <w:tab/>
        <w:t>This Act extends to every external Territory.</w:t>
      </w:r>
    </w:p>
    <w:p w:rsidR="008C4F93" w:rsidRPr="00076E3D" w:rsidRDefault="008C4F93" w:rsidP="00076E3D">
      <w:pPr>
        <w:pStyle w:val="PageBreak"/>
      </w:pPr>
      <w:r w:rsidRPr="00076E3D">
        <w:br w:type="page"/>
      </w:r>
    </w:p>
    <w:p w:rsidR="00715914" w:rsidRPr="00076E3D" w:rsidRDefault="009A4A2B" w:rsidP="00076E3D">
      <w:pPr>
        <w:pStyle w:val="ActHead2"/>
      </w:pPr>
      <w:bookmarkStart w:id="10" w:name="_Toc351461596"/>
      <w:r w:rsidRPr="00076E3D">
        <w:rPr>
          <w:rStyle w:val="CharPartNo"/>
        </w:rPr>
        <w:lastRenderedPageBreak/>
        <w:t>Part</w:t>
      </w:r>
      <w:r w:rsidR="00076E3D" w:rsidRPr="00076E3D">
        <w:rPr>
          <w:rStyle w:val="CharPartNo"/>
        </w:rPr>
        <w:t> </w:t>
      </w:r>
      <w:r w:rsidRPr="00076E3D">
        <w:rPr>
          <w:rStyle w:val="CharPartNo"/>
        </w:rPr>
        <w:t>2</w:t>
      </w:r>
      <w:r w:rsidRPr="00076E3D">
        <w:t>—</w:t>
      </w:r>
      <w:r w:rsidRPr="00076E3D">
        <w:rPr>
          <w:rStyle w:val="CharPartText"/>
        </w:rPr>
        <w:t>Protection</w:t>
      </w:r>
      <w:bookmarkEnd w:id="10"/>
    </w:p>
    <w:p w:rsidR="00815009" w:rsidRPr="00076E3D" w:rsidRDefault="00815009" w:rsidP="00076E3D">
      <w:pPr>
        <w:pStyle w:val="Header"/>
      </w:pPr>
      <w:r w:rsidRPr="00076E3D">
        <w:rPr>
          <w:rStyle w:val="CharDivNo"/>
        </w:rPr>
        <w:t xml:space="preserve"> </w:t>
      </w:r>
      <w:r w:rsidRPr="00076E3D">
        <w:rPr>
          <w:rStyle w:val="CharDivText"/>
        </w:rPr>
        <w:t xml:space="preserve"> </w:t>
      </w:r>
    </w:p>
    <w:p w:rsidR="00815009" w:rsidRPr="00076E3D" w:rsidRDefault="00F35CDF" w:rsidP="00076E3D">
      <w:pPr>
        <w:pStyle w:val="ActHead5"/>
      </w:pPr>
      <w:bookmarkStart w:id="11" w:name="_Toc351461597"/>
      <w:r w:rsidRPr="00076E3D">
        <w:rPr>
          <w:rStyle w:val="CharSectno"/>
        </w:rPr>
        <w:t>8</w:t>
      </w:r>
      <w:r w:rsidR="00F479A4" w:rsidRPr="00076E3D">
        <w:t xml:space="preserve">  Application of this Part</w:t>
      </w:r>
      <w:bookmarkEnd w:id="11"/>
    </w:p>
    <w:p w:rsidR="00815009" w:rsidRPr="00076E3D" w:rsidRDefault="00F479A4" w:rsidP="00076E3D">
      <w:pPr>
        <w:pStyle w:val="subsection"/>
      </w:pPr>
      <w:r w:rsidRPr="00076E3D">
        <w:tab/>
        <w:t>(1)</w:t>
      </w:r>
      <w:r w:rsidRPr="00076E3D">
        <w:tab/>
        <w:t>This Part applies to an object if:</w:t>
      </w:r>
    </w:p>
    <w:p w:rsidR="004567C1" w:rsidRPr="00076E3D" w:rsidRDefault="00F479A4" w:rsidP="00076E3D">
      <w:pPr>
        <w:pStyle w:val="paragraph"/>
      </w:pPr>
      <w:r w:rsidRPr="00076E3D">
        <w:tab/>
        <w:t>(a)</w:t>
      </w:r>
      <w:r w:rsidRPr="00076E3D">
        <w:tab/>
        <w:t>the object is imported into Australia</w:t>
      </w:r>
      <w:r w:rsidR="0016165F" w:rsidRPr="00076E3D">
        <w:t xml:space="preserve"> </w:t>
      </w:r>
      <w:r w:rsidR="00010ADB" w:rsidRPr="00076E3D">
        <w:t xml:space="preserve">on loan </w:t>
      </w:r>
      <w:r w:rsidR="0016165F" w:rsidRPr="00076E3D">
        <w:t>under</w:t>
      </w:r>
      <w:r w:rsidR="00360CB6" w:rsidRPr="00076E3D">
        <w:t xml:space="preserve"> a temporary loan arrangement between a lender of the object and </w:t>
      </w:r>
      <w:r w:rsidR="00700E11" w:rsidRPr="00076E3D">
        <w:t>either or both</w:t>
      </w:r>
      <w:r w:rsidR="00360CB6" w:rsidRPr="00076E3D">
        <w:t xml:space="preserve"> of the following</w:t>
      </w:r>
      <w:r w:rsidR="004567C1" w:rsidRPr="00076E3D">
        <w:t>:</w:t>
      </w:r>
    </w:p>
    <w:p w:rsidR="004567C1" w:rsidRPr="00076E3D" w:rsidRDefault="004567C1" w:rsidP="00076E3D">
      <w:pPr>
        <w:pStyle w:val="paragraphsub"/>
      </w:pPr>
      <w:r w:rsidRPr="00076E3D">
        <w:tab/>
        <w:t>(i)</w:t>
      </w:r>
      <w:r w:rsidRPr="00076E3D">
        <w:tab/>
      </w:r>
      <w:r w:rsidR="00065F2D" w:rsidRPr="00076E3D">
        <w:t>an</w:t>
      </w:r>
      <w:r w:rsidR="00CD1935" w:rsidRPr="00076E3D">
        <w:t xml:space="preserve"> exhibiting institution for the object </w:t>
      </w:r>
      <w:r w:rsidR="00746739" w:rsidRPr="00076E3D">
        <w:t xml:space="preserve">or </w:t>
      </w:r>
      <w:r w:rsidR="00CD1935" w:rsidRPr="00076E3D">
        <w:t>the</w:t>
      </w:r>
      <w:r w:rsidR="00746739" w:rsidRPr="00076E3D">
        <w:t xml:space="preserve"> parent of </w:t>
      </w:r>
      <w:r w:rsidR="00065F2D" w:rsidRPr="00076E3D">
        <w:t>such an</w:t>
      </w:r>
      <w:r w:rsidR="00746739" w:rsidRPr="00076E3D">
        <w:t xml:space="preserve"> institution</w:t>
      </w:r>
      <w:r w:rsidR="00360CB6" w:rsidRPr="00076E3D">
        <w:t>;</w:t>
      </w:r>
    </w:p>
    <w:p w:rsidR="00665B0A" w:rsidRPr="00076E3D" w:rsidRDefault="004567C1" w:rsidP="00076E3D">
      <w:pPr>
        <w:pStyle w:val="paragraphsub"/>
      </w:pPr>
      <w:r w:rsidRPr="00076E3D">
        <w:tab/>
        <w:t>(ii)</w:t>
      </w:r>
      <w:r w:rsidRPr="00076E3D">
        <w:tab/>
        <w:t xml:space="preserve">an exhibition facilitator for the object who has </w:t>
      </w:r>
      <w:r w:rsidR="00665B0A" w:rsidRPr="00076E3D">
        <w:t xml:space="preserve">an arrangement with </w:t>
      </w:r>
      <w:r w:rsidR="00360CB6" w:rsidRPr="00076E3D">
        <w:t xml:space="preserve">either </w:t>
      </w:r>
      <w:r w:rsidR="00065F2D" w:rsidRPr="00076E3D">
        <w:t>an</w:t>
      </w:r>
      <w:r w:rsidR="00CD1935" w:rsidRPr="00076E3D">
        <w:t xml:space="preserve"> exhibiting </w:t>
      </w:r>
      <w:r w:rsidR="00665B0A" w:rsidRPr="00076E3D">
        <w:t>institution</w:t>
      </w:r>
      <w:r w:rsidR="00CD1935" w:rsidRPr="00076E3D">
        <w:t xml:space="preserve"> for the object</w:t>
      </w:r>
      <w:r w:rsidR="00665B0A" w:rsidRPr="00076E3D">
        <w:t xml:space="preserve"> or </w:t>
      </w:r>
      <w:r w:rsidR="00CD1935" w:rsidRPr="00076E3D">
        <w:t>the</w:t>
      </w:r>
      <w:r w:rsidR="00665B0A" w:rsidRPr="00076E3D">
        <w:t xml:space="preserve"> parent of </w:t>
      </w:r>
      <w:r w:rsidR="00065F2D" w:rsidRPr="00076E3D">
        <w:t>such an</w:t>
      </w:r>
      <w:r w:rsidR="00665B0A" w:rsidRPr="00076E3D">
        <w:t xml:space="preserve"> institution; and</w:t>
      </w:r>
    </w:p>
    <w:p w:rsidR="00F479A4" w:rsidRPr="00076E3D" w:rsidRDefault="00F479A4" w:rsidP="00076E3D">
      <w:pPr>
        <w:pStyle w:val="paragraph"/>
      </w:pPr>
      <w:r w:rsidRPr="00076E3D">
        <w:tab/>
        <w:t>(b)</w:t>
      </w:r>
      <w:r w:rsidRPr="00076E3D">
        <w:tab/>
        <w:t xml:space="preserve">the </w:t>
      </w:r>
      <w:r w:rsidR="0016165F" w:rsidRPr="00076E3D">
        <w:t>object</w:t>
      </w:r>
      <w:r w:rsidRPr="00076E3D">
        <w:t xml:space="preserve"> is</w:t>
      </w:r>
      <w:r w:rsidR="0016165F" w:rsidRPr="00076E3D">
        <w:t xml:space="preserve"> imported only or mainly for the purpose of </w:t>
      </w:r>
      <w:r w:rsidR="003076C7" w:rsidRPr="00076E3D">
        <w:t>temporary public exhibition of the object in Australia under arrangements made by the institution</w:t>
      </w:r>
      <w:r w:rsidR="00604238" w:rsidRPr="00076E3D">
        <w:t>; and</w:t>
      </w:r>
    </w:p>
    <w:p w:rsidR="00A750CE" w:rsidRPr="00076E3D" w:rsidRDefault="00A750CE" w:rsidP="00076E3D">
      <w:pPr>
        <w:pStyle w:val="paragraph"/>
      </w:pPr>
      <w:r w:rsidRPr="00076E3D">
        <w:tab/>
        <w:t>(c)</w:t>
      </w:r>
      <w:r w:rsidRPr="00076E3D">
        <w:tab/>
        <w:t xml:space="preserve">the institution is approved </w:t>
      </w:r>
      <w:r w:rsidR="00E75449" w:rsidRPr="00076E3D">
        <w:t>under Part</w:t>
      </w:r>
      <w:r w:rsidR="00076E3D" w:rsidRPr="00076E3D">
        <w:t> </w:t>
      </w:r>
      <w:r w:rsidR="00E75449" w:rsidRPr="00076E3D">
        <w:t>3</w:t>
      </w:r>
      <w:r w:rsidRPr="00076E3D">
        <w:t xml:space="preserve"> when the object is imported; and</w:t>
      </w:r>
    </w:p>
    <w:p w:rsidR="00617A8D" w:rsidRPr="00076E3D" w:rsidRDefault="00617A8D" w:rsidP="00076E3D">
      <w:pPr>
        <w:pStyle w:val="paragraph"/>
      </w:pPr>
      <w:r w:rsidRPr="00076E3D">
        <w:tab/>
        <w:t>(d)</w:t>
      </w:r>
      <w:r w:rsidRPr="00076E3D">
        <w:tab/>
        <w:t>one or more of the following circumstances exist:</w:t>
      </w:r>
    </w:p>
    <w:p w:rsidR="00617A8D" w:rsidRPr="00076E3D" w:rsidRDefault="00617A8D" w:rsidP="00076E3D">
      <w:pPr>
        <w:pStyle w:val="paragraphsub"/>
      </w:pPr>
      <w:r w:rsidRPr="00076E3D">
        <w:tab/>
        <w:t>(i)</w:t>
      </w:r>
      <w:r w:rsidRPr="00076E3D">
        <w:tab/>
        <w:t xml:space="preserve">the loan </w:t>
      </w:r>
      <w:r w:rsidR="001C4C47" w:rsidRPr="00076E3D">
        <w:t>is</w:t>
      </w:r>
      <w:r w:rsidRPr="00076E3D">
        <w:t xml:space="preserve"> in the course of trade or commerce between Australia and a foreign country;</w:t>
      </w:r>
    </w:p>
    <w:p w:rsidR="00617A8D" w:rsidRPr="00076E3D" w:rsidRDefault="00617A8D" w:rsidP="00076E3D">
      <w:pPr>
        <w:pStyle w:val="paragraphsub"/>
      </w:pPr>
      <w:r w:rsidRPr="00076E3D">
        <w:tab/>
        <w:t>(ii)</w:t>
      </w:r>
      <w:r w:rsidRPr="00076E3D">
        <w:tab/>
        <w:t>the lender of the object is a foreign corporation within the meaning of paragraph 51(xx) of the Constitution;</w:t>
      </w:r>
    </w:p>
    <w:p w:rsidR="003D2FBA" w:rsidRPr="00076E3D" w:rsidRDefault="00617A8D" w:rsidP="00076E3D">
      <w:pPr>
        <w:pStyle w:val="paragraphsub"/>
      </w:pPr>
      <w:r w:rsidRPr="00076E3D">
        <w:tab/>
        <w:t>(iii)</w:t>
      </w:r>
      <w:r w:rsidRPr="00076E3D">
        <w:tab/>
        <w:t xml:space="preserve">the institution, </w:t>
      </w:r>
      <w:r w:rsidR="00665B0A" w:rsidRPr="00076E3D">
        <w:t>the</w:t>
      </w:r>
      <w:r w:rsidRPr="00076E3D">
        <w:t xml:space="preserve"> parent of the institution</w:t>
      </w:r>
      <w:r w:rsidR="00665B0A" w:rsidRPr="00076E3D">
        <w:t xml:space="preserve"> or the exhibition facilitator</w:t>
      </w:r>
      <w:r w:rsidRPr="00076E3D">
        <w:t xml:space="preserve"> is a corporation to which paragraph 51(xx) of the Constitution applies</w:t>
      </w:r>
      <w:r w:rsidR="00CB6B3C" w:rsidRPr="00076E3D">
        <w:t xml:space="preserve"> or a </w:t>
      </w:r>
      <w:r w:rsidR="003D2FBA" w:rsidRPr="00076E3D">
        <w:t>corporation established by a law of the Commonwealth or a Territory;</w:t>
      </w:r>
    </w:p>
    <w:p w:rsidR="003D2FBA" w:rsidRPr="00076E3D" w:rsidRDefault="003D2FBA" w:rsidP="00076E3D">
      <w:pPr>
        <w:pStyle w:val="paragraphsub"/>
      </w:pPr>
      <w:r w:rsidRPr="00076E3D">
        <w:tab/>
        <w:t>(</w:t>
      </w:r>
      <w:r w:rsidR="00795C19" w:rsidRPr="00076E3D">
        <w:t>i</w:t>
      </w:r>
      <w:r w:rsidRPr="00076E3D">
        <w:t>v)</w:t>
      </w:r>
      <w:r w:rsidRPr="00076E3D">
        <w:tab/>
        <w:t>the parent of the institution or the exhibition facilitator is the Commonwealth</w:t>
      </w:r>
      <w:r w:rsidR="00795C19" w:rsidRPr="00076E3D">
        <w:t xml:space="preserve"> or</w:t>
      </w:r>
      <w:r w:rsidRPr="00076E3D">
        <w:t xml:space="preserve"> a Territory;</w:t>
      </w:r>
    </w:p>
    <w:p w:rsidR="003D2FBA" w:rsidRPr="00076E3D" w:rsidRDefault="00795C19" w:rsidP="00076E3D">
      <w:pPr>
        <w:pStyle w:val="paragraphsub"/>
      </w:pPr>
      <w:r w:rsidRPr="00076E3D">
        <w:tab/>
        <w:t>(v</w:t>
      </w:r>
      <w:r w:rsidR="003D2FBA" w:rsidRPr="00076E3D">
        <w:t>)</w:t>
      </w:r>
      <w:r w:rsidR="003D2FBA" w:rsidRPr="00076E3D">
        <w:tab/>
        <w:t>the public exhibition of the object is to occur, is occurring or has occurred in a Territory;</w:t>
      </w:r>
    </w:p>
    <w:p w:rsidR="00A65262" w:rsidRPr="00076E3D" w:rsidRDefault="003D2FBA" w:rsidP="00076E3D">
      <w:pPr>
        <w:pStyle w:val="paragraphsub"/>
      </w:pPr>
      <w:r w:rsidRPr="00076E3D">
        <w:tab/>
        <w:t>(</w:t>
      </w:r>
      <w:r w:rsidR="00617A8D" w:rsidRPr="00076E3D">
        <w:t>v</w:t>
      </w:r>
      <w:r w:rsidR="00795C19" w:rsidRPr="00076E3D">
        <w:t>i</w:t>
      </w:r>
      <w:r w:rsidR="00617A8D" w:rsidRPr="00076E3D">
        <w:t>)</w:t>
      </w:r>
      <w:r w:rsidR="00617A8D" w:rsidRPr="00076E3D">
        <w:tab/>
        <w:t>the public exhibition of the object is to occur</w:t>
      </w:r>
      <w:r w:rsidRPr="00076E3D">
        <w:t>, is occurring or has occurred</w:t>
      </w:r>
      <w:r w:rsidR="00617A8D" w:rsidRPr="00076E3D">
        <w:t xml:space="preserve"> in a place acquired by the Commonwealth for public purposes within the meaning of paragraph 52(i) of the Constitution;</w:t>
      </w:r>
    </w:p>
    <w:p w:rsidR="00617A8D" w:rsidRPr="00076E3D" w:rsidRDefault="00A65262" w:rsidP="00076E3D">
      <w:pPr>
        <w:pStyle w:val="paragraphsub"/>
      </w:pPr>
      <w:r w:rsidRPr="00076E3D">
        <w:lastRenderedPageBreak/>
        <w:tab/>
        <w:t>(v</w:t>
      </w:r>
      <w:r w:rsidR="00795C19" w:rsidRPr="00076E3D">
        <w:t>ii</w:t>
      </w:r>
      <w:r w:rsidRPr="00076E3D">
        <w:t>)</w:t>
      </w:r>
      <w:r w:rsidRPr="00076E3D">
        <w:tab/>
        <w:t xml:space="preserve">this Part is appropriate and adapted to giving effect to </w:t>
      </w:r>
      <w:r w:rsidR="00B063CF" w:rsidRPr="00076E3D">
        <w:t>Australia</w:t>
      </w:r>
      <w:r w:rsidR="0034215B" w:rsidRPr="00076E3D">
        <w:t>’</w:t>
      </w:r>
      <w:r w:rsidR="00B063CF" w:rsidRPr="00076E3D">
        <w:t xml:space="preserve">s obligations under </w:t>
      </w:r>
      <w:r w:rsidRPr="00076E3D">
        <w:t>an agreement that is between Australia and one or more foreign countries or international organisations and that</w:t>
      </w:r>
      <w:r w:rsidR="00617A8D" w:rsidRPr="00076E3D">
        <w:t xml:space="preserve"> </w:t>
      </w:r>
      <w:r w:rsidRPr="00076E3D">
        <w:t>is relevant to the loan of the object</w:t>
      </w:r>
      <w:r w:rsidR="00510AD3" w:rsidRPr="00076E3D">
        <w:t xml:space="preserve"> by the lender</w:t>
      </w:r>
      <w:r w:rsidRPr="00076E3D">
        <w:t xml:space="preserve">; </w:t>
      </w:r>
      <w:r w:rsidR="00617A8D" w:rsidRPr="00076E3D">
        <w:t>and</w:t>
      </w:r>
    </w:p>
    <w:p w:rsidR="00F479A4" w:rsidRPr="00076E3D" w:rsidRDefault="00F479A4" w:rsidP="00076E3D">
      <w:pPr>
        <w:pStyle w:val="paragraph"/>
      </w:pPr>
      <w:r w:rsidRPr="00076E3D">
        <w:tab/>
        <w:t>(</w:t>
      </w:r>
      <w:r w:rsidR="00617A8D" w:rsidRPr="00076E3D">
        <w:t>e</w:t>
      </w:r>
      <w:r w:rsidRPr="00076E3D">
        <w:t>)</w:t>
      </w:r>
      <w:r w:rsidRPr="00076E3D">
        <w:tab/>
        <w:t xml:space="preserve">the import </w:t>
      </w:r>
      <w:r w:rsidR="0016165F" w:rsidRPr="00076E3D">
        <w:t xml:space="preserve">does not contravene a law of the Commonwealth prescribed by </w:t>
      </w:r>
      <w:r w:rsidR="00360CB6" w:rsidRPr="00076E3D">
        <w:t>regulation</w:t>
      </w:r>
      <w:r w:rsidR="0016165F" w:rsidRPr="00076E3D">
        <w:t xml:space="preserve"> </w:t>
      </w:r>
      <w:r w:rsidRPr="00076E3D">
        <w:t>for the purpose</w:t>
      </w:r>
      <w:r w:rsidR="0016165F" w:rsidRPr="00076E3D">
        <w:t>s</w:t>
      </w:r>
      <w:r w:rsidRPr="00076E3D">
        <w:t xml:space="preserve"> of </w:t>
      </w:r>
      <w:r w:rsidR="004424AA" w:rsidRPr="00076E3D">
        <w:t>this paragraph; and</w:t>
      </w:r>
    </w:p>
    <w:p w:rsidR="004424AA" w:rsidRPr="00076E3D" w:rsidRDefault="00617A8D" w:rsidP="00076E3D">
      <w:pPr>
        <w:pStyle w:val="paragraph"/>
      </w:pPr>
      <w:r w:rsidRPr="00076E3D">
        <w:tab/>
        <w:t>(f</w:t>
      </w:r>
      <w:r w:rsidR="004424AA" w:rsidRPr="00076E3D">
        <w:t>)</w:t>
      </w:r>
      <w:r w:rsidR="004424AA" w:rsidRPr="00076E3D">
        <w:tab/>
        <w:t xml:space="preserve">the object is not a Class A object as defined in the </w:t>
      </w:r>
      <w:r w:rsidR="004424AA" w:rsidRPr="00076E3D">
        <w:rPr>
          <w:i/>
        </w:rPr>
        <w:t>Protection of Movable Cultural Heritage Act 1986</w:t>
      </w:r>
      <w:r w:rsidR="0078053B" w:rsidRPr="00076E3D">
        <w:t xml:space="preserve"> when the object is imported</w:t>
      </w:r>
      <w:r w:rsidR="00251823" w:rsidRPr="00076E3D">
        <w:t>; and</w:t>
      </w:r>
    </w:p>
    <w:p w:rsidR="00251823" w:rsidRPr="00076E3D" w:rsidRDefault="00251823" w:rsidP="00076E3D">
      <w:pPr>
        <w:pStyle w:val="paragraph"/>
      </w:pPr>
      <w:r w:rsidRPr="00076E3D">
        <w:tab/>
        <w:t>(g)</w:t>
      </w:r>
      <w:r w:rsidRPr="00076E3D">
        <w:tab/>
        <w:t>the object is not specified in a written notice that:</w:t>
      </w:r>
    </w:p>
    <w:p w:rsidR="00251823" w:rsidRPr="00076E3D" w:rsidRDefault="00251823" w:rsidP="00076E3D">
      <w:pPr>
        <w:pStyle w:val="paragraphsub"/>
      </w:pPr>
      <w:r w:rsidRPr="00076E3D">
        <w:tab/>
        <w:t>(i)</w:t>
      </w:r>
      <w:r w:rsidRPr="00076E3D">
        <w:tab/>
        <w:t>was given by the institution or its parent to t</w:t>
      </w:r>
      <w:r w:rsidR="008C4050" w:rsidRPr="00076E3D">
        <w:t>he Minister before a time that was prescribed by regulation and wa</w:t>
      </w:r>
      <w:r w:rsidRPr="00076E3D">
        <w:t>s before the object is imported; and</w:t>
      </w:r>
    </w:p>
    <w:p w:rsidR="00C73978" w:rsidRPr="00076E3D" w:rsidRDefault="008C4050" w:rsidP="00076E3D">
      <w:pPr>
        <w:pStyle w:val="paragraphsub"/>
      </w:pPr>
      <w:r w:rsidRPr="00076E3D">
        <w:tab/>
        <w:t>(ii)</w:t>
      </w:r>
      <w:r w:rsidRPr="00076E3D">
        <w:tab/>
        <w:t>wa</w:t>
      </w:r>
      <w:r w:rsidR="00251823" w:rsidRPr="00076E3D">
        <w:t xml:space="preserve">s in </w:t>
      </w:r>
      <w:r w:rsidRPr="00076E3D">
        <w:t>a form approved by</w:t>
      </w:r>
      <w:r w:rsidR="00C73978" w:rsidRPr="00076E3D">
        <w:t xml:space="preserve"> the Minister; and</w:t>
      </w:r>
    </w:p>
    <w:p w:rsidR="00251823" w:rsidRPr="00076E3D" w:rsidRDefault="00C73978" w:rsidP="00076E3D">
      <w:pPr>
        <w:pStyle w:val="paragraphsub"/>
      </w:pPr>
      <w:r w:rsidRPr="00076E3D">
        <w:tab/>
        <w:t>(iii)</w:t>
      </w:r>
      <w:r w:rsidRPr="00076E3D">
        <w:tab/>
        <w:t>has not been withdrawn before the object is imported.</w:t>
      </w:r>
    </w:p>
    <w:p w:rsidR="004424AA" w:rsidRPr="00076E3D" w:rsidRDefault="004424AA" w:rsidP="00076E3D">
      <w:pPr>
        <w:pStyle w:val="notetext"/>
      </w:pPr>
      <w:r w:rsidRPr="00076E3D">
        <w:t>Note:</w:t>
      </w:r>
      <w:r w:rsidRPr="00076E3D">
        <w:tab/>
        <w:t xml:space="preserve">A law is to be prescribed </w:t>
      </w:r>
      <w:r w:rsidR="00A750CE" w:rsidRPr="00076E3D">
        <w:t xml:space="preserve">for the purposes of </w:t>
      </w:r>
      <w:r w:rsidR="00076E3D" w:rsidRPr="00076E3D">
        <w:t>paragraph (</w:t>
      </w:r>
      <w:r w:rsidR="00695CFB" w:rsidRPr="00076E3D">
        <w:t>1)</w:t>
      </w:r>
      <w:r w:rsidR="00567F9D" w:rsidRPr="00076E3D">
        <w:t>(</w:t>
      </w:r>
      <w:r w:rsidR="00695CFB" w:rsidRPr="00076E3D">
        <w:t>e</w:t>
      </w:r>
      <w:r w:rsidRPr="00076E3D">
        <w:t xml:space="preserve">) only if it gives effect to an international agreement: see </w:t>
      </w:r>
      <w:r w:rsidR="002A79F8" w:rsidRPr="00076E3D">
        <w:t>section</w:t>
      </w:r>
      <w:r w:rsidR="00076E3D" w:rsidRPr="00076E3D">
        <w:t> </w:t>
      </w:r>
      <w:r w:rsidR="00F35CDF" w:rsidRPr="00076E3D">
        <w:t>21</w:t>
      </w:r>
      <w:r w:rsidR="002A79F8" w:rsidRPr="00076E3D">
        <w:t>.</w:t>
      </w:r>
    </w:p>
    <w:p w:rsidR="002A79F8" w:rsidRPr="00076E3D" w:rsidRDefault="002A79F8" w:rsidP="00076E3D">
      <w:pPr>
        <w:pStyle w:val="subsection"/>
      </w:pPr>
      <w:r w:rsidRPr="00076E3D">
        <w:tab/>
        <w:t>(2)</w:t>
      </w:r>
      <w:r w:rsidRPr="00076E3D">
        <w:tab/>
        <w:t xml:space="preserve">This Part ceases to apply to </w:t>
      </w:r>
      <w:r w:rsidR="00B008A4" w:rsidRPr="00076E3D">
        <w:t>the</w:t>
      </w:r>
      <w:r w:rsidRPr="00076E3D">
        <w:t xml:space="preserve"> object:</w:t>
      </w:r>
    </w:p>
    <w:p w:rsidR="002A79F8" w:rsidRPr="00076E3D" w:rsidRDefault="002A79F8" w:rsidP="00076E3D">
      <w:pPr>
        <w:pStyle w:val="paragraph"/>
      </w:pPr>
      <w:r w:rsidRPr="00076E3D">
        <w:tab/>
        <w:t>(a)</w:t>
      </w:r>
      <w:r w:rsidRPr="00076E3D">
        <w:tab/>
      </w:r>
      <w:r w:rsidR="0078421F" w:rsidRPr="00076E3D">
        <w:t xml:space="preserve">when </w:t>
      </w:r>
      <w:r w:rsidR="00B008A4" w:rsidRPr="00076E3D">
        <w:t xml:space="preserve">one </w:t>
      </w:r>
      <w:r w:rsidRPr="00076E3D">
        <w:t xml:space="preserve">of the following </w:t>
      </w:r>
      <w:r w:rsidR="00B008A4" w:rsidRPr="00076E3D">
        <w:t>events</w:t>
      </w:r>
      <w:r w:rsidR="0078421F" w:rsidRPr="00076E3D">
        <w:t xml:space="preserve"> occurs</w:t>
      </w:r>
      <w:r w:rsidRPr="00076E3D">
        <w:t>:</w:t>
      </w:r>
    </w:p>
    <w:p w:rsidR="002A79F8" w:rsidRPr="00076E3D" w:rsidRDefault="002A79F8" w:rsidP="00076E3D">
      <w:pPr>
        <w:pStyle w:val="paragraphsub"/>
      </w:pPr>
      <w:r w:rsidRPr="00076E3D">
        <w:tab/>
        <w:t>(i)</w:t>
      </w:r>
      <w:r w:rsidRPr="00076E3D">
        <w:tab/>
        <w:t>the end of 24 months starting on the day the object is imported into Australia;</w:t>
      </w:r>
    </w:p>
    <w:p w:rsidR="00F479A4" w:rsidRPr="00076E3D" w:rsidRDefault="002A79F8" w:rsidP="00076E3D">
      <w:pPr>
        <w:pStyle w:val="paragraphsub"/>
      </w:pPr>
      <w:r w:rsidRPr="00076E3D">
        <w:tab/>
        <w:t>(ii)</w:t>
      </w:r>
      <w:r w:rsidRPr="00076E3D">
        <w:tab/>
        <w:t xml:space="preserve">the </w:t>
      </w:r>
      <w:r w:rsidR="00B008A4" w:rsidRPr="00076E3D">
        <w:t xml:space="preserve">export of </w:t>
      </w:r>
      <w:r w:rsidRPr="00076E3D">
        <w:t>the object from Australia; or</w:t>
      </w:r>
    </w:p>
    <w:p w:rsidR="00B008A4" w:rsidRPr="00076E3D" w:rsidRDefault="002A79F8" w:rsidP="00076E3D">
      <w:pPr>
        <w:pStyle w:val="paragraph"/>
      </w:pPr>
      <w:r w:rsidRPr="00076E3D">
        <w:tab/>
        <w:t>(b)</w:t>
      </w:r>
      <w:r w:rsidRPr="00076E3D">
        <w:tab/>
        <w:t xml:space="preserve">if, before </w:t>
      </w:r>
      <w:r w:rsidR="00B008A4" w:rsidRPr="00076E3D">
        <w:t xml:space="preserve">an event described in </w:t>
      </w:r>
      <w:r w:rsidR="00076E3D" w:rsidRPr="00076E3D">
        <w:t>paragraph (</w:t>
      </w:r>
      <w:r w:rsidR="00B008A4" w:rsidRPr="00076E3D">
        <w:t xml:space="preserve">a) occurs, </w:t>
      </w:r>
      <w:r w:rsidRPr="00076E3D">
        <w:t xml:space="preserve">the </w:t>
      </w:r>
      <w:r w:rsidR="00B008A4" w:rsidRPr="00076E3D">
        <w:t xml:space="preserve">Minister declares by notice </w:t>
      </w:r>
      <w:r w:rsidR="00CE5A2E" w:rsidRPr="00076E3D">
        <w:t>published on the Department</w:t>
      </w:r>
      <w:r w:rsidR="0034215B" w:rsidRPr="00076E3D">
        <w:t>’</w:t>
      </w:r>
      <w:r w:rsidR="00CE5A2E" w:rsidRPr="00076E3D">
        <w:t xml:space="preserve">s website </w:t>
      </w:r>
      <w:r w:rsidR="00B008A4" w:rsidRPr="00076E3D">
        <w:t xml:space="preserve">that this Part ceases to apply to the object at a </w:t>
      </w:r>
      <w:r w:rsidRPr="00076E3D">
        <w:t xml:space="preserve">time </w:t>
      </w:r>
      <w:r w:rsidR="00B008A4" w:rsidRPr="00076E3D">
        <w:t>that:</w:t>
      </w:r>
    </w:p>
    <w:p w:rsidR="002A79F8" w:rsidRPr="00076E3D" w:rsidRDefault="00B008A4" w:rsidP="00076E3D">
      <w:pPr>
        <w:pStyle w:val="paragraphsub"/>
      </w:pPr>
      <w:r w:rsidRPr="00076E3D">
        <w:tab/>
        <w:t>(i)</w:t>
      </w:r>
      <w:r w:rsidRPr="00076E3D">
        <w:tab/>
        <w:t>is worked out in accordance with the declaration; and</w:t>
      </w:r>
    </w:p>
    <w:p w:rsidR="00B008A4" w:rsidRPr="00076E3D" w:rsidRDefault="00B008A4" w:rsidP="00076E3D">
      <w:pPr>
        <w:pStyle w:val="paragraphsub"/>
      </w:pPr>
      <w:r w:rsidRPr="00076E3D">
        <w:tab/>
        <w:t>(ii)</w:t>
      </w:r>
      <w:r w:rsidRPr="00076E3D">
        <w:tab/>
        <w:t>is at least 24 months after the day the object is imported into Australia;</w:t>
      </w:r>
    </w:p>
    <w:p w:rsidR="00B008A4" w:rsidRPr="00076E3D" w:rsidRDefault="00B008A4" w:rsidP="00076E3D">
      <w:pPr>
        <w:pStyle w:val="paragraph"/>
      </w:pPr>
      <w:r w:rsidRPr="00076E3D">
        <w:tab/>
      </w:r>
      <w:r w:rsidRPr="00076E3D">
        <w:tab/>
        <w:t xml:space="preserve">at the time worked </w:t>
      </w:r>
      <w:r w:rsidR="004946DA" w:rsidRPr="00076E3D">
        <w:t xml:space="preserve">out </w:t>
      </w:r>
      <w:r w:rsidRPr="00076E3D">
        <w:t>in accordance with the declaration.</w:t>
      </w:r>
    </w:p>
    <w:p w:rsidR="00611F83" w:rsidRPr="00076E3D" w:rsidRDefault="00611F83" w:rsidP="00076E3D">
      <w:pPr>
        <w:pStyle w:val="subsection"/>
      </w:pPr>
      <w:r w:rsidRPr="00076E3D">
        <w:tab/>
        <w:t>(3)</w:t>
      </w:r>
      <w:r w:rsidRPr="00076E3D">
        <w:tab/>
        <w:t xml:space="preserve">The Minister may make a declaration for the purposes of </w:t>
      </w:r>
      <w:r w:rsidR="00076E3D" w:rsidRPr="00076E3D">
        <w:t>paragraph (</w:t>
      </w:r>
      <w:r w:rsidRPr="00076E3D">
        <w:t>2)(b):</w:t>
      </w:r>
    </w:p>
    <w:p w:rsidR="00611F83" w:rsidRPr="00076E3D" w:rsidRDefault="00611F83" w:rsidP="00076E3D">
      <w:pPr>
        <w:pStyle w:val="paragraph"/>
      </w:pPr>
      <w:r w:rsidRPr="00076E3D">
        <w:tab/>
        <w:t>(a)</w:t>
      </w:r>
      <w:r w:rsidRPr="00076E3D">
        <w:tab/>
        <w:t xml:space="preserve">only on application by the </w:t>
      </w:r>
      <w:r w:rsidR="00341864" w:rsidRPr="00076E3D">
        <w:t>exhibiting</w:t>
      </w:r>
      <w:r w:rsidRPr="00076E3D">
        <w:t xml:space="preserve"> institution; and</w:t>
      </w:r>
    </w:p>
    <w:p w:rsidR="00611F83" w:rsidRPr="00076E3D" w:rsidRDefault="00611F83" w:rsidP="00076E3D">
      <w:pPr>
        <w:pStyle w:val="paragraph"/>
      </w:pPr>
      <w:r w:rsidRPr="00076E3D">
        <w:lastRenderedPageBreak/>
        <w:tab/>
        <w:t>(b)</w:t>
      </w:r>
      <w:r w:rsidRPr="00076E3D">
        <w:tab/>
        <w:t>only if the Minister is satisfied that exceptional circumstances justify the making of the declaration.</w:t>
      </w:r>
    </w:p>
    <w:p w:rsidR="007905FC" w:rsidRPr="00076E3D" w:rsidRDefault="007905FC" w:rsidP="00076E3D">
      <w:pPr>
        <w:pStyle w:val="subsection"/>
      </w:pPr>
      <w:r w:rsidRPr="00076E3D">
        <w:tab/>
        <w:t>(4)</w:t>
      </w:r>
      <w:r w:rsidRPr="00076E3D">
        <w:tab/>
        <w:t xml:space="preserve">A declaration made under </w:t>
      </w:r>
      <w:r w:rsidR="00076E3D" w:rsidRPr="00076E3D">
        <w:t>subsection (</w:t>
      </w:r>
      <w:r w:rsidRPr="00076E3D">
        <w:t>3) is not a legislative instrument.</w:t>
      </w:r>
    </w:p>
    <w:p w:rsidR="0034215B" w:rsidRPr="00076E3D" w:rsidRDefault="0034215B" w:rsidP="00076E3D">
      <w:pPr>
        <w:pStyle w:val="SubsectionHead"/>
      </w:pPr>
      <w:r w:rsidRPr="00076E3D">
        <w:t>Certain movements of objects are not import or export</w:t>
      </w:r>
    </w:p>
    <w:p w:rsidR="0034215B" w:rsidRPr="00076E3D" w:rsidRDefault="0034215B" w:rsidP="00076E3D">
      <w:pPr>
        <w:pStyle w:val="subsection"/>
      </w:pPr>
      <w:r w:rsidRPr="00076E3D">
        <w:tab/>
        <w:t>(5)</w:t>
      </w:r>
      <w:r w:rsidRPr="00076E3D">
        <w:tab/>
      </w:r>
      <w:r w:rsidR="00D4195A" w:rsidRPr="00076E3D">
        <w:t xml:space="preserve">For the purposes of this section, </w:t>
      </w:r>
      <w:r w:rsidR="00582E62" w:rsidRPr="00076E3D">
        <w:t>the</w:t>
      </w:r>
      <w:r w:rsidR="00D4195A" w:rsidRPr="00076E3D">
        <w:t xml:space="preserve"> object is neither imported into Australia nor exported from Australia merely because the object is moved between an external Territory and either a State or an internal Territory</w:t>
      </w:r>
      <w:r w:rsidR="00582E62" w:rsidRPr="00076E3D">
        <w:t xml:space="preserve"> (whether the movement is to or from the external Territory, State or internal Territory)</w:t>
      </w:r>
      <w:r w:rsidR="00D4195A" w:rsidRPr="00076E3D">
        <w:t>.</w:t>
      </w:r>
    </w:p>
    <w:p w:rsidR="00030127" w:rsidRPr="00076E3D" w:rsidRDefault="00F35CDF" w:rsidP="00076E3D">
      <w:pPr>
        <w:pStyle w:val="ActHead5"/>
      </w:pPr>
      <w:bookmarkStart w:id="12" w:name="_Toc351461598"/>
      <w:r w:rsidRPr="00076E3D">
        <w:rPr>
          <w:rStyle w:val="CharSectno"/>
        </w:rPr>
        <w:t>9</w:t>
      </w:r>
      <w:r w:rsidR="00CA264C" w:rsidRPr="00076E3D">
        <w:t xml:space="preserve">  Protection from suit</w:t>
      </w:r>
      <w:bookmarkEnd w:id="12"/>
    </w:p>
    <w:p w:rsidR="00CA264C" w:rsidRPr="00076E3D" w:rsidRDefault="00030127" w:rsidP="00076E3D">
      <w:pPr>
        <w:pStyle w:val="SubsectionHead"/>
      </w:pPr>
      <w:r w:rsidRPr="00076E3D">
        <w:t>A</w:t>
      </w:r>
      <w:r w:rsidR="00B858BB" w:rsidRPr="00076E3D">
        <w:t>ctions in personam</w:t>
      </w:r>
    </w:p>
    <w:p w:rsidR="00CA264C" w:rsidRPr="00076E3D" w:rsidRDefault="00CA264C" w:rsidP="00076E3D">
      <w:pPr>
        <w:pStyle w:val="subsection"/>
      </w:pPr>
      <w:r w:rsidRPr="00076E3D">
        <w:tab/>
        <w:t>(1)</w:t>
      </w:r>
      <w:r w:rsidRPr="00076E3D">
        <w:tab/>
      </w:r>
      <w:r w:rsidR="002B09BD" w:rsidRPr="00076E3D">
        <w:t>Proceedings for a</w:t>
      </w:r>
      <w:r w:rsidRPr="00076E3D">
        <w:t xml:space="preserve">n action in personam relating to the object </w:t>
      </w:r>
      <w:r w:rsidR="00B858BB" w:rsidRPr="00076E3D">
        <w:t xml:space="preserve">cannot be started </w:t>
      </w:r>
      <w:r w:rsidRPr="00076E3D">
        <w:t>against a protected person for the object.</w:t>
      </w:r>
    </w:p>
    <w:p w:rsidR="002B09BD" w:rsidRPr="00076E3D" w:rsidRDefault="002B09BD" w:rsidP="00076E3D">
      <w:pPr>
        <w:pStyle w:val="notetext"/>
      </w:pPr>
      <w:r w:rsidRPr="00076E3D">
        <w:t>Note:</w:t>
      </w:r>
      <w:r w:rsidRPr="00076E3D">
        <w:tab/>
        <w:t xml:space="preserve">If </w:t>
      </w:r>
      <w:r w:rsidR="003C5628" w:rsidRPr="00076E3D">
        <w:t xml:space="preserve">such proceedings </w:t>
      </w:r>
      <w:r w:rsidRPr="00076E3D">
        <w:t>ha</w:t>
      </w:r>
      <w:r w:rsidR="003C5628" w:rsidRPr="00076E3D">
        <w:t>ve</w:t>
      </w:r>
      <w:r w:rsidRPr="00076E3D">
        <w:t xml:space="preserve"> been started before this Part applies to the object, a </w:t>
      </w:r>
      <w:r w:rsidR="00EA7965" w:rsidRPr="00076E3D">
        <w:t>judgement</w:t>
      </w:r>
      <w:r w:rsidRPr="00076E3D">
        <w:t xml:space="preserve"> or order made in </w:t>
      </w:r>
      <w:r w:rsidR="005F79B1" w:rsidRPr="00076E3D">
        <w:t xml:space="preserve">the </w:t>
      </w:r>
      <w:r w:rsidRPr="00076E3D">
        <w:t>proceedings cannot be enforced while this Part applies to the object: see section</w:t>
      </w:r>
      <w:r w:rsidR="00076E3D" w:rsidRPr="00076E3D">
        <w:t> </w:t>
      </w:r>
      <w:r w:rsidR="00F35CDF" w:rsidRPr="00076E3D">
        <w:t>10</w:t>
      </w:r>
      <w:r w:rsidRPr="00076E3D">
        <w:t>.</w:t>
      </w:r>
    </w:p>
    <w:p w:rsidR="007E0A2B" w:rsidRPr="00076E3D" w:rsidRDefault="007E0A2B" w:rsidP="00076E3D">
      <w:pPr>
        <w:pStyle w:val="SubsectionHead"/>
      </w:pPr>
      <w:r w:rsidRPr="00076E3D">
        <w:t>Actions in rem</w:t>
      </w:r>
    </w:p>
    <w:p w:rsidR="007E0A2B" w:rsidRPr="00076E3D" w:rsidRDefault="007E0A2B" w:rsidP="00076E3D">
      <w:pPr>
        <w:pStyle w:val="subsection"/>
      </w:pPr>
      <w:r w:rsidRPr="00076E3D">
        <w:tab/>
        <w:t>(2)</w:t>
      </w:r>
      <w:r w:rsidRPr="00076E3D">
        <w:tab/>
        <w:t>Proceedings for an action in rem relating to the object cannot be started.</w:t>
      </w:r>
    </w:p>
    <w:p w:rsidR="005F79B1" w:rsidRPr="00076E3D" w:rsidRDefault="005F79B1" w:rsidP="00076E3D">
      <w:pPr>
        <w:pStyle w:val="notetext"/>
      </w:pPr>
      <w:r w:rsidRPr="00076E3D">
        <w:t>Note:</w:t>
      </w:r>
      <w:r w:rsidRPr="00076E3D">
        <w:tab/>
        <w:t>If such proceedings have been started before this Part applies to the object, a judgement or order made in the proceedings cannot be enforced while this Part applies to the object: see section</w:t>
      </w:r>
      <w:r w:rsidR="00076E3D" w:rsidRPr="00076E3D">
        <w:t> </w:t>
      </w:r>
      <w:r w:rsidR="00F35CDF" w:rsidRPr="00076E3D">
        <w:t>10</w:t>
      </w:r>
      <w:r w:rsidRPr="00076E3D">
        <w:t>.</w:t>
      </w:r>
    </w:p>
    <w:p w:rsidR="00030127" w:rsidRPr="00076E3D" w:rsidRDefault="00030127" w:rsidP="00076E3D">
      <w:pPr>
        <w:pStyle w:val="SubsectionHead"/>
      </w:pPr>
      <w:r w:rsidRPr="00076E3D">
        <w:t>Exception for protected persons starting proceedings</w:t>
      </w:r>
    </w:p>
    <w:p w:rsidR="00A54DFC" w:rsidRPr="00076E3D" w:rsidRDefault="007E0A2B" w:rsidP="00076E3D">
      <w:pPr>
        <w:pStyle w:val="subsection"/>
      </w:pPr>
      <w:r w:rsidRPr="00076E3D">
        <w:tab/>
        <w:t>(3</w:t>
      </w:r>
      <w:r w:rsidR="00A54DFC" w:rsidRPr="00076E3D">
        <w:t>)</w:t>
      </w:r>
      <w:r w:rsidR="00A54DFC" w:rsidRPr="00076E3D">
        <w:tab/>
      </w:r>
      <w:r w:rsidR="00076E3D" w:rsidRPr="00076E3D">
        <w:t>Subsections (</w:t>
      </w:r>
      <w:r w:rsidR="00A54DFC" w:rsidRPr="00076E3D">
        <w:t xml:space="preserve">1) </w:t>
      </w:r>
      <w:r w:rsidR="00030127" w:rsidRPr="00076E3D">
        <w:t xml:space="preserve">and (2) </w:t>
      </w:r>
      <w:r w:rsidR="00A54DFC" w:rsidRPr="00076E3D">
        <w:t xml:space="preserve">do not prevent a person who is a protected person for the object because of a particular paragraph of the definition of </w:t>
      </w:r>
      <w:r w:rsidR="00A54DFC" w:rsidRPr="00076E3D">
        <w:rPr>
          <w:b/>
          <w:i/>
        </w:rPr>
        <w:t>protected person</w:t>
      </w:r>
      <w:r w:rsidR="00A54DFC" w:rsidRPr="00076E3D">
        <w:t xml:space="preserve"> in section</w:t>
      </w:r>
      <w:r w:rsidR="00076E3D" w:rsidRPr="00076E3D">
        <w:t> </w:t>
      </w:r>
      <w:r w:rsidR="00F35CDF" w:rsidRPr="00076E3D">
        <w:t>5</w:t>
      </w:r>
      <w:r w:rsidR="00A54DFC" w:rsidRPr="00076E3D">
        <w:t xml:space="preserve"> from starting </w:t>
      </w:r>
      <w:r w:rsidR="002B09BD" w:rsidRPr="00076E3D">
        <w:t xml:space="preserve">proceedings </w:t>
      </w:r>
      <w:r w:rsidR="00A54DFC" w:rsidRPr="00076E3D">
        <w:t xml:space="preserve">against a person who is a protected person for the object because of </w:t>
      </w:r>
      <w:r w:rsidR="002D00C2" w:rsidRPr="00076E3D">
        <w:t xml:space="preserve">that paragraph, or </w:t>
      </w:r>
      <w:r w:rsidR="00A54DFC" w:rsidRPr="00076E3D">
        <w:t>a later paragraph</w:t>
      </w:r>
      <w:r w:rsidR="002D00C2" w:rsidRPr="00076E3D">
        <w:t>,</w:t>
      </w:r>
      <w:r w:rsidR="00A54DFC" w:rsidRPr="00076E3D">
        <w:t xml:space="preserve"> of that definition.</w:t>
      </w:r>
    </w:p>
    <w:p w:rsidR="00FE0CA6" w:rsidRPr="00076E3D" w:rsidRDefault="00FE0CA6" w:rsidP="00076E3D">
      <w:pPr>
        <w:pStyle w:val="notetext"/>
      </w:pPr>
      <w:r w:rsidRPr="00076E3D">
        <w:t>Example:</w:t>
      </w:r>
      <w:r w:rsidRPr="00076E3D">
        <w:tab/>
      </w:r>
      <w:r w:rsidR="00065F2D" w:rsidRPr="00076E3D">
        <w:t>An</w:t>
      </w:r>
      <w:r w:rsidR="0032063A" w:rsidRPr="00076E3D">
        <w:t xml:space="preserve"> exhibiting </w:t>
      </w:r>
      <w:r w:rsidRPr="00076E3D">
        <w:t>institution can start an action against a person it engages to transport the object, because:</w:t>
      </w:r>
    </w:p>
    <w:p w:rsidR="00FE0CA6" w:rsidRPr="00076E3D" w:rsidRDefault="00FE0CA6" w:rsidP="00076E3D">
      <w:pPr>
        <w:pStyle w:val="notepara"/>
      </w:pPr>
      <w:r w:rsidRPr="00076E3D">
        <w:lastRenderedPageBreak/>
        <w:t>(a)</w:t>
      </w:r>
      <w:r w:rsidRPr="00076E3D">
        <w:tab/>
        <w:t xml:space="preserve">the </w:t>
      </w:r>
      <w:r w:rsidR="0032063A" w:rsidRPr="00076E3D">
        <w:t>exhibiting</w:t>
      </w:r>
      <w:r w:rsidRPr="00076E3D">
        <w:t xml:space="preserve"> institution is a protected person because of </w:t>
      </w:r>
      <w:r w:rsidR="00076E3D" w:rsidRPr="00076E3D">
        <w:t>paragraph (</w:t>
      </w:r>
      <w:r w:rsidR="007577F8" w:rsidRPr="00076E3D">
        <w:t>c</w:t>
      </w:r>
      <w:r w:rsidRPr="00076E3D">
        <w:t xml:space="preserve">) of the definition of </w:t>
      </w:r>
      <w:r w:rsidRPr="00076E3D">
        <w:rPr>
          <w:b/>
          <w:i/>
        </w:rPr>
        <w:t>protected person</w:t>
      </w:r>
      <w:r w:rsidRPr="00076E3D">
        <w:t>; and</w:t>
      </w:r>
    </w:p>
    <w:p w:rsidR="00FE0CA6" w:rsidRPr="00076E3D" w:rsidRDefault="00FE0CA6" w:rsidP="00076E3D">
      <w:pPr>
        <w:pStyle w:val="notepara"/>
      </w:pPr>
      <w:r w:rsidRPr="00076E3D">
        <w:t>(b)</w:t>
      </w:r>
      <w:r w:rsidRPr="00076E3D">
        <w:tab/>
        <w:t xml:space="preserve">the person engaged to transport the object is a protected person because of </w:t>
      </w:r>
      <w:r w:rsidR="00076E3D" w:rsidRPr="00076E3D">
        <w:t>paragraph (</w:t>
      </w:r>
      <w:r w:rsidR="007577F8" w:rsidRPr="00076E3D">
        <w:t>e</w:t>
      </w:r>
      <w:r w:rsidRPr="00076E3D">
        <w:t>) of that definition.</w:t>
      </w:r>
    </w:p>
    <w:p w:rsidR="007A3CA0" w:rsidRPr="00076E3D" w:rsidRDefault="007A3CA0" w:rsidP="00076E3D">
      <w:pPr>
        <w:pStyle w:val="SubsectionHead"/>
      </w:pPr>
      <w:r w:rsidRPr="00076E3D">
        <w:t xml:space="preserve">Exception for </w:t>
      </w:r>
      <w:r w:rsidR="00AB1C73" w:rsidRPr="00076E3D">
        <w:t>certain</w:t>
      </w:r>
      <w:r w:rsidR="00FB0289" w:rsidRPr="00076E3D">
        <w:t xml:space="preserve"> </w:t>
      </w:r>
      <w:r w:rsidRPr="00076E3D">
        <w:t>proceedings</w:t>
      </w:r>
    </w:p>
    <w:p w:rsidR="00AB1C73" w:rsidRPr="00076E3D" w:rsidRDefault="007A3CA0" w:rsidP="00076E3D">
      <w:pPr>
        <w:pStyle w:val="subsection"/>
      </w:pPr>
      <w:r w:rsidRPr="00076E3D">
        <w:tab/>
        <w:t>(4)</w:t>
      </w:r>
      <w:r w:rsidRPr="00076E3D">
        <w:tab/>
      </w:r>
      <w:r w:rsidR="00076E3D" w:rsidRPr="00076E3D">
        <w:t>Subsections (</w:t>
      </w:r>
      <w:r w:rsidRPr="00076E3D">
        <w:t>1) and (2) do not apply to</w:t>
      </w:r>
      <w:r w:rsidR="00AB1C73" w:rsidRPr="00076E3D">
        <w:t>:</w:t>
      </w:r>
    </w:p>
    <w:p w:rsidR="00AB1C73" w:rsidRPr="00076E3D" w:rsidRDefault="00AB1C73" w:rsidP="00076E3D">
      <w:pPr>
        <w:pStyle w:val="paragraph"/>
      </w:pPr>
      <w:r w:rsidRPr="00076E3D">
        <w:tab/>
        <w:t>(a)</w:t>
      </w:r>
      <w:r w:rsidRPr="00076E3D">
        <w:tab/>
        <w:t xml:space="preserve">proceedings under the </w:t>
      </w:r>
      <w:r w:rsidRPr="00076E3D">
        <w:rPr>
          <w:i/>
        </w:rPr>
        <w:t>Proceeds of Crime Act 2002</w:t>
      </w:r>
      <w:r w:rsidRPr="00076E3D">
        <w:t>; or</w:t>
      </w:r>
    </w:p>
    <w:p w:rsidR="007A3CA0" w:rsidRPr="00076E3D" w:rsidRDefault="00AB1C73" w:rsidP="00076E3D">
      <w:pPr>
        <w:pStyle w:val="paragraph"/>
      </w:pPr>
      <w:r w:rsidRPr="00076E3D">
        <w:tab/>
        <w:t>(b)</w:t>
      </w:r>
      <w:r w:rsidRPr="00076E3D">
        <w:tab/>
      </w:r>
      <w:r w:rsidR="007A3CA0" w:rsidRPr="00076E3D">
        <w:t xml:space="preserve">proceedings prescribed by </w:t>
      </w:r>
      <w:r w:rsidR="00C1342C" w:rsidRPr="00076E3D">
        <w:t>regulation</w:t>
      </w:r>
      <w:r w:rsidR="007A3CA0" w:rsidRPr="00076E3D">
        <w:t xml:space="preserve"> for the purposes of this subsection.</w:t>
      </w:r>
    </w:p>
    <w:p w:rsidR="005875EE" w:rsidRPr="00076E3D" w:rsidRDefault="005875EE" w:rsidP="00076E3D">
      <w:pPr>
        <w:pStyle w:val="SubsectionHead"/>
      </w:pPr>
      <w:r w:rsidRPr="00076E3D">
        <w:t>This section applies to starting of proceedings in any way</w:t>
      </w:r>
    </w:p>
    <w:p w:rsidR="00E92BAD" w:rsidRPr="00076E3D" w:rsidRDefault="00E92BAD" w:rsidP="00076E3D">
      <w:pPr>
        <w:pStyle w:val="subsection"/>
      </w:pPr>
      <w:r w:rsidRPr="00076E3D">
        <w:tab/>
        <w:t>(</w:t>
      </w:r>
      <w:r w:rsidR="007A3CA0" w:rsidRPr="00076E3D">
        <w:t>5</w:t>
      </w:r>
      <w:r w:rsidRPr="00076E3D">
        <w:t>)</w:t>
      </w:r>
      <w:r w:rsidRPr="00076E3D">
        <w:tab/>
        <w:t>This section applies to the starting o</w:t>
      </w:r>
      <w:r w:rsidR="00471E44" w:rsidRPr="00076E3D">
        <w:t xml:space="preserve">f proceedings </w:t>
      </w:r>
      <w:r w:rsidR="00F710B8" w:rsidRPr="00076E3D">
        <w:t xml:space="preserve">in a federal court or a court of a State or Territory </w:t>
      </w:r>
      <w:r w:rsidR="00471E44" w:rsidRPr="00076E3D">
        <w:t>by claim, cross</w:t>
      </w:r>
      <w:r w:rsidR="00821787">
        <w:noBreakHyphen/>
      </w:r>
      <w:r w:rsidR="00471E44" w:rsidRPr="00076E3D">
        <w:t>claim</w:t>
      </w:r>
      <w:r w:rsidRPr="00076E3D">
        <w:t xml:space="preserve"> or otherwise.</w:t>
      </w:r>
    </w:p>
    <w:p w:rsidR="00B858BB" w:rsidRPr="00076E3D" w:rsidRDefault="00F35CDF" w:rsidP="00076E3D">
      <w:pPr>
        <w:pStyle w:val="ActHead5"/>
      </w:pPr>
      <w:bookmarkStart w:id="13" w:name="_Toc351461599"/>
      <w:r w:rsidRPr="00076E3D">
        <w:rPr>
          <w:rStyle w:val="CharSectno"/>
        </w:rPr>
        <w:t>10</w:t>
      </w:r>
      <w:r w:rsidR="00B858BB" w:rsidRPr="00076E3D">
        <w:t xml:space="preserve">  Protection from </w:t>
      </w:r>
      <w:r w:rsidR="00CC2337" w:rsidRPr="00076E3D">
        <w:t xml:space="preserve">enforcement of </w:t>
      </w:r>
      <w:r w:rsidR="00EA7965" w:rsidRPr="00076E3D">
        <w:t>judgement</w:t>
      </w:r>
      <w:r w:rsidR="00CC2337" w:rsidRPr="00076E3D">
        <w:t>s and orders</w:t>
      </w:r>
      <w:bookmarkEnd w:id="13"/>
    </w:p>
    <w:p w:rsidR="00672496" w:rsidRPr="00076E3D" w:rsidRDefault="00CC2337" w:rsidP="00076E3D">
      <w:pPr>
        <w:pStyle w:val="subsection"/>
      </w:pPr>
      <w:r w:rsidRPr="00076E3D">
        <w:tab/>
        <w:t>(1)</w:t>
      </w:r>
      <w:r w:rsidRPr="00076E3D">
        <w:tab/>
      </w:r>
      <w:r w:rsidR="002D61D8" w:rsidRPr="00076E3D">
        <w:t>A</w:t>
      </w:r>
      <w:r w:rsidR="00672496" w:rsidRPr="00076E3D">
        <w:t>n act cannot be done in relation to the object to enforce a</w:t>
      </w:r>
      <w:r w:rsidR="002D61D8" w:rsidRPr="00076E3D">
        <w:t xml:space="preserve"> </w:t>
      </w:r>
      <w:r w:rsidR="00EA7965" w:rsidRPr="00076E3D">
        <w:t>judgement</w:t>
      </w:r>
      <w:r w:rsidR="002D61D8" w:rsidRPr="00076E3D">
        <w:t xml:space="preserve"> or order of a federal court or a court of a State, Territory or foreign country</w:t>
      </w:r>
      <w:r w:rsidR="00672496" w:rsidRPr="00076E3D">
        <w:t xml:space="preserve"> that:</w:t>
      </w:r>
    </w:p>
    <w:p w:rsidR="00672496" w:rsidRPr="00076E3D" w:rsidRDefault="00672496" w:rsidP="00076E3D">
      <w:pPr>
        <w:pStyle w:val="paragraph"/>
      </w:pPr>
      <w:r w:rsidRPr="00076E3D">
        <w:tab/>
        <w:t>(a)</w:t>
      </w:r>
      <w:r w:rsidRPr="00076E3D">
        <w:tab/>
        <w:t xml:space="preserve">is a </w:t>
      </w:r>
      <w:r w:rsidR="00EA7965" w:rsidRPr="00076E3D">
        <w:t>judgement</w:t>
      </w:r>
      <w:r w:rsidRPr="00076E3D">
        <w:t xml:space="preserve"> or order </w:t>
      </w:r>
      <w:r w:rsidR="009D2FFF" w:rsidRPr="00076E3D">
        <w:t xml:space="preserve">in personam </w:t>
      </w:r>
      <w:r w:rsidRPr="00076E3D">
        <w:t>against a protected person for the object; or</w:t>
      </w:r>
    </w:p>
    <w:p w:rsidR="00CC2337" w:rsidRPr="00076E3D" w:rsidRDefault="00672496" w:rsidP="00076E3D">
      <w:pPr>
        <w:pStyle w:val="paragraph"/>
      </w:pPr>
      <w:r w:rsidRPr="00076E3D">
        <w:tab/>
        <w:t>(b)</w:t>
      </w:r>
      <w:r w:rsidRPr="00076E3D">
        <w:tab/>
        <w:t xml:space="preserve">is a </w:t>
      </w:r>
      <w:r w:rsidR="00EA7965" w:rsidRPr="00076E3D">
        <w:t>judgement</w:t>
      </w:r>
      <w:r w:rsidRPr="00076E3D">
        <w:t xml:space="preserve"> or order in rem relating to the object.</w:t>
      </w:r>
    </w:p>
    <w:p w:rsidR="002D00C2" w:rsidRPr="00076E3D" w:rsidRDefault="002D00C2" w:rsidP="00076E3D">
      <w:pPr>
        <w:pStyle w:val="SubsectionHead"/>
      </w:pPr>
      <w:r w:rsidRPr="00076E3D">
        <w:t xml:space="preserve">Exception for some foreign </w:t>
      </w:r>
      <w:r w:rsidR="00EA7965" w:rsidRPr="00076E3D">
        <w:t>judgement</w:t>
      </w:r>
      <w:r w:rsidRPr="00076E3D">
        <w:t>s and awards</w:t>
      </w:r>
    </w:p>
    <w:p w:rsidR="00A54DFC" w:rsidRPr="00076E3D" w:rsidRDefault="002B09BD" w:rsidP="00076E3D">
      <w:pPr>
        <w:pStyle w:val="subsection"/>
      </w:pPr>
      <w:r w:rsidRPr="00076E3D">
        <w:tab/>
        <w:t>(2)</w:t>
      </w:r>
      <w:r w:rsidRPr="00076E3D">
        <w:tab/>
      </w:r>
      <w:r w:rsidR="00076E3D" w:rsidRPr="00076E3D">
        <w:t>Subsection (</w:t>
      </w:r>
      <w:r w:rsidRPr="00076E3D">
        <w:t xml:space="preserve">1) does not </w:t>
      </w:r>
      <w:r w:rsidR="003E7998" w:rsidRPr="00076E3D">
        <w:t>prevent an act from being done:</w:t>
      </w:r>
    </w:p>
    <w:p w:rsidR="0081764B" w:rsidRPr="00076E3D" w:rsidRDefault="00CA264C" w:rsidP="00076E3D">
      <w:pPr>
        <w:pStyle w:val="paragraph"/>
      </w:pPr>
      <w:r w:rsidRPr="00076E3D">
        <w:tab/>
        <w:t>(a)</w:t>
      </w:r>
      <w:r w:rsidRPr="00076E3D">
        <w:tab/>
      </w:r>
      <w:r w:rsidR="00672496" w:rsidRPr="00076E3D">
        <w:t>under Part</w:t>
      </w:r>
      <w:r w:rsidR="00076E3D" w:rsidRPr="00076E3D">
        <w:t> </w:t>
      </w:r>
      <w:r w:rsidR="00672496" w:rsidRPr="00076E3D">
        <w:t xml:space="preserve">2 of the </w:t>
      </w:r>
      <w:r w:rsidR="00672496" w:rsidRPr="00076E3D">
        <w:rPr>
          <w:i/>
        </w:rPr>
        <w:t>Foreign Judgments Act 1991</w:t>
      </w:r>
      <w:r w:rsidR="00672496" w:rsidRPr="00076E3D">
        <w:t xml:space="preserve"> to enforce</w:t>
      </w:r>
      <w:r w:rsidR="00216EB7" w:rsidRPr="00076E3D">
        <w:t xml:space="preserve"> a </w:t>
      </w:r>
      <w:r w:rsidR="00EA7965" w:rsidRPr="00076E3D">
        <w:t>judgement</w:t>
      </w:r>
      <w:r w:rsidR="00216EB7" w:rsidRPr="00076E3D">
        <w:t xml:space="preserve"> of</w:t>
      </w:r>
      <w:r w:rsidR="0081764B" w:rsidRPr="00076E3D">
        <w:t>:</w:t>
      </w:r>
    </w:p>
    <w:p w:rsidR="0081764B" w:rsidRPr="00076E3D" w:rsidRDefault="0081764B" w:rsidP="00076E3D">
      <w:pPr>
        <w:pStyle w:val="paragraphsub"/>
      </w:pPr>
      <w:r w:rsidRPr="00076E3D">
        <w:tab/>
        <w:t>(i)</w:t>
      </w:r>
      <w:r w:rsidRPr="00076E3D">
        <w:tab/>
        <w:t>a superior court of a country in relation to which that Part extends; or</w:t>
      </w:r>
    </w:p>
    <w:p w:rsidR="0081764B" w:rsidRPr="00076E3D" w:rsidRDefault="0081764B" w:rsidP="00076E3D">
      <w:pPr>
        <w:pStyle w:val="paragraphsub"/>
      </w:pPr>
      <w:r w:rsidRPr="00076E3D">
        <w:tab/>
        <w:t>(ii)</w:t>
      </w:r>
      <w:r w:rsidRPr="00076E3D">
        <w:tab/>
        <w:t>an inferior court to which that Part extends; or</w:t>
      </w:r>
    </w:p>
    <w:p w:rsidR="00216EB7" w:rsidRPr="00076E3D" w:rsidRDefault="00216EB7" w:rsidP="00076E3D">
      <w:pPr>
        <w:pStyle w:val="paragraph"/>
      </w:pPr>
      <w:r w:rsidRPr="00076E3D">
        <w:tab/>
        <w:t>(b)</w:t>
      </w:r>
      <w:r w:rsidRPr="00076E3D">
        <w:tab/>
        <w:t>under Part</w:t>
      </w:r>
      <w:r w:rsidR="00076E3D" w:rsidRPr="00076E3D">
        <w:t> </w:t>
      </w:r>
      <w:r w:rsidRPr="00076E3D">
        <w:t xml:space="preserve">7 of the </w:t>
      </w:r>
      <w:r w:rsidRPr="00076E3D">
        <w:rPr>
          <w:i/>
        </w:rPr>
        <w:t>Trans</w:t>
      </w:r>
      <w:r w:rsidR="00821787">
        <w:rPr>
          <w:i/>
        </w:rPr>
        <w:noBreakHyphen/>
      </w:r>
      <w:r w:rsidRPr="00076E3D">
        <w:rPr>
          <w:i/>
        </w:rPr>
        <w:t>Tasman Proceedings Act 2010</w:t>
      </w:r>
      <w:r w:rsidRPr="00076E3D">
        <w:t xml:space="preserve"> to enforce a </w:t>
      </w:r>
      <w:r w:rsidR="00EA7965" w:rsidRPr="00076E3D">
        <w:t>judgement</w:t>
      </w:r>
      <w:r w:rsidRPr="00076E3D">
        <w:t xml:space="preserve"> of a court of New Zealand; or</w:t>
      </w:r>
    </w:p>
    <w:p w:rsidR="00216EB7" w:rsidRPr="00076E3D" w:rsidRDefault="00216EB7" w:rsidP="00076E3D">
      <w:pPr>
        <w:pStyle w:val="paragraph"/>
      </w:pPr>
      <w:r w:rsidRPr="00076E3D">
        <w:tab/>
        <w:t>(c)</w:t>
      </w:r>
      <w:r w:rsidRPr="00076E3D">
        <w:tab/>
      </w:r>
      <w:r w:rsidR="003E7998" w:rsidRPr="00076E3D">
        <w:t>under Part</w:t>
      </w:r>
      <w:r w:rsidR="00076E3D" w:rsidRPr="00076E3D">
        <w:t> </w:t>
      </w:r>
      <w:r w:rsidR="003E7998" w:rsidRPr="00076E3D">
        <w:t xml:space="preserve">II of the </w:t>
      </w:r>
      <w:r w:rsidR="003E7998" w:rsidRPr="00076E3D">
        <w:rPr>
          <w:i/>
        </w:rPr>
        <w:t>International Arbitration Act 1974</w:t>
      </w:r>
      <w:r w:rsidR="003E7998" w:rsidRPr="00076E3D">
        <w:t>.</w:t>
      </w:r>
    </w:p>
    <w:p w:rsidR="002D00C2" w:rsidRPr="00076E3D" w:rsidRDefault="002D00C2" w:rsidP="00076E3D">
      <w:pPr>
        <w:pStyle w:val="SubsectionHead"/>
      </w:pPr>
      <w:r w:rsidRPr="00076E3D">
        <w:lastRenderedPageBreak/>
        <w:t xml:space="preserve">Exception for </w:t>
      </w:r>
      <w:r w:rsidR="00EA7965" w:rsidRPr="00076E3D">
        <w:t>judgement</w:t>
      </w:r>
      <w:r w:rsidRPr="00076E3D">
        <w:t>s and orders favouring protected persons</w:t>
      </w:r>
    </w:p>
    <w:p w:rsidR="004641E5" w:rsidRPr="00076E3D" w:rsidRDefault="004641E5" w:rsidP="00076E3D">
      <w:pPr>
        <w:pStyle w:val="subsection"/>
      </w:pPr>
      <w:r w:rsidRPr="00076E3D">
        <w:tab/>
        <w:t>(3)</w:t>
      </w:r>
      <w:r w:rsidRPr="00076E3D">
        <w:tab/>
      </w:r>
      <w:r w:rsidR="00076E3D" w:rsidRPr="00076E3D">
        <w:t>Subsection (</w:t>
      </w:r>
      <w:r w:rsidRPr="00076E3D">
        <w:t xml:space="preserve">1) does not prevent an act from being done to enforce a </w:t>
      </w:r>
      <w:r w:rsidR="00EA7965" w:rsidRPr="00076E3D">
        <w:t>judgement</w:t>
      </w:r>
      <w:r w:rsidRPr="00076E3D">
        <w:t xml:space="preserve"> or order in favour of a protected person</w:t>
      </w:r>
      <w:r w:rsidR="002D00C2" w:rsidRPr="00076E3D">
        <w:t xml:space="preserve"> for the object</w:t>
      </w:r>
      <w:r w:rsidRPr="00076E3D">
        <w:t>, unless:</w:t>
      </w:r>
    </w:p>
    <w:p w:rsidR="002D00C2" w:rsidRPr="00076E3D" w:rsidRDefault="004641E5" w:rsidP="00076E3D">
      <w:pPr>
        <w:pStyle w:val="paragraph"/>
      </w:pPr>
      <w:r w:rsidRPr="00076E3D">
        <w:tab/>
        <w:t>(a)</w:t>
      </w:r>
      <w:r w:rsidRPr="00076E3D">
        <w:tab/>
      </w:r>
      <w:r w:rsidR="002D00C2" w:rsidRPr="00076E3D">
        <w:t xml:space="preserve">that person is a protected person for the object because of a particular paragraph of the definition of </w:t>
      </w:r>
      <w:r w:rsidR="002D00C2" w:rsidRPr="00076E3D">
        <w:rPr>
          <w:b/>
          <w:i/>
        </w:rPr>
        <w:t>protected person</w:t>
      </w:r>
      <w:r w:rsidR="002D00C2" w:rsidRPr="00076E3D">
        <w:t xml:space="preserve"> in section</w:t>
      </w:r>
      <w:r w:rsidR="00076E3D" w:rsidRPr="00076E3D">
        <w:t> </w:t>
      </w:r>
      <w:r w:rsidR="00F35CDF" w:rsidRPr="00076E3D">
        <w:t>5</w:t>
      </w:r>
      <w:r w:rsidR="002D00C2" w:rsidRPr="00076E3D">
        <w:t>; and</w:t>
      </w:r>
    </w:p>
    <w:p w:rsidR="002D00C2" w:rsidRPr="00076E3D" w:rsidRDefault="002D00C2" w:rsidP="00076E3D">
      <w:pPr>
        <w:pStyle w:val="paragraph"/>
      </w:pPr>
      <w:r w:rsidRPr="00076E3D">
        <w:tab/>
        <w:t>(b)</w:t>
      </w:r>
      <w:r w:rsidRPr="00076E3D">
        <w:tab/>
        <w:t xml:space="preserve">the </w:t>
      </w:r>
      <w:r w:rsidR="00EA7965" w:rsidRPr="00076E3D">
        <w:t>judgement</w:t>
      </w:r>
      <w:r w:rsidRPr="00076E3D">
        <w:t xml:space="preserve"> or order is against a person who is a protected person </w:t>
      </w:r>
      <w:r w:rsidR="00511F00" w:rsidRPr="00076E3D">
        <w:t xml:space="preserve">for the object </w:t>
      </w:r>
      <w:r w:rsidRPr="00076E3D">
        <w:t>because of an earlier paragraph of that definition.</w:t>
      </w:r>
    </w:p>
    <w:p w:rsidR="00FB0289" w:rsidRPr="00076E3D" w:rsidRDefault="00FB0289" w:rsidP="00076E3D">
      <w:pPr>
        <w:pStyle w:val="SubsectionHead"/>
      </w:pPr>
      <w:r w:rsidRPr="00076E3D">
        <w:t xml:space="preserve">Exception for </w:t>
      </w:r>
      <w:r w:rsidR="00AB1C73" w:rsidRPr="00076E3D">
        <w:t xml:space="preserve">certain other </w:t>
      </w:r>
      <w:r w:rsidR="00EA7965" w:rsidRPr="00076E3D">
        <w:t>judgement</w:t>
      </w:r>
      <w:r w:rsidRPr="00076E3D">
        <w:t>s and orders</w:t>
      </w:r>
    </w:p>
    <w:p w:rsidR="00AB1C73" w:rsidRPr="00076E3D" w:rsidRDefault="00FB0289" w:rsidP="00076E3D">
      <w:pPr>
        <w:pStyle w:val="subsection"/>
      </w:pPr>
      <w:r w:rsidRPr="00076E3D">
        <w:tab/>
        <w:t>(4)</w:t>
      </w:r>
      <w:r w:rsidRPr="00076E3D">
        <w:tab/>
      </w:r>
      <w:r w:rsidR="00076E3D" w:rsidRPr="00076E3D">
        <w:t>Subsection (</w:t>
      </w:r>
      <w:r w:rsidRPr="00076E3D">
        <w:t>1) does not apply to</w:t>
      </w:r>
      <w:r w:rsidR="00AB1C73" w:rsidRPr="00076E3D">
        <w:t>:</w:t>
      </w:r>
    </w:p>
    <w:p w:rsidR="00AB1C73" w:rsidRPr="00076E3D" w:rsidRDefault="00AB1C73" w:rsidP="00076E3D">
      <w:pPr>
        <w:pStyle w:val="paragraph"/>
      </w:pPr>
      <w:r w:rsidRPr="00076E3D">
        <w:tab/>
        <w:t>(a)</w:t>
      </w:r>
      <w:r w:rsidRPr="00076E3D">
        <w:tab/>
        <w:t xml:space="preserve">an order made under the </w:t>
      </w:r>
      <w:r w:rsidRPr="00076E3D">
        <w:rPr>
          <w:i/>
        </w:rPr>
        <w:t>Proceeds of Crime Act 2002</w:t>
      </w:r>
      <w:r w:rsidRPr="00076E3D">
        <w:t>; or</w:t>
      </w:r>
    </w:p>
    <w:p w:rsidR="00FB0289" w:rsidRPr="00076E3D" w:rsidRDefault="00AB1C73" w:rsidP="00076E3D">
      <w:pPr>
        <w:pStyle w:val="paragraph"/>
      </w:pPr>
      <w:r w:rsidRPr="00076E3D">
        <w:tab/>
        <w:t>(b)</w:t>
      </w:r>
      <w:r w:rsidRPr="00076E3D">
        <w:tab/>
      </w:r>
      <w:r w:rsidR="00FB0289" w:rsidRPr="00076E3D">
        <w:t xml:space="preserve">a </w:t>
      </w:r>
      <w:r w:rsidR="00EA7965" w:rsidRPr="00076E3D">
        <w:t>judgement</w:t>
      </w:r>
      <w:r w:rsidR="00FB0289" w:rsidRPr="00076E3D">
        <w:t xml:space="preserve"> or order made in proceedings prescribed by </w:t>
      </w:r>
      <w:r w:rsidR="000C1DF8" w:rsidRPr="00076E3D">
        <w:t>regulation</w:t>
      </w:r>
      <w:r w:rsidR="00FB0289" w:rsidRPr="00076E3D">
        <w:t xml:space="preserve"> for the purposes of this subsection.</w:t>
      </w:r>
    </w:p>
    <w:p w:rsidR="00511F00" w:rsidRPr="00076E3D" w:rsidRDefault="00F35CDF" w:rsidP="00076E3D">
      <w:pPr>
        <w:pStyle w:val="ActHead5"/>
      </w:pPr>
      <w:bookmarkStart w:id="14" w:name="_Toc351461600"/>
      <w:r w:rsidRPr="00076E3D">
        <w:rPr>
          <w:rStyle w:val="CharSectno"/>
        </w:rPr>
        <w:t>11</w:t>
      </w:r>
      <w:r w:rsidR="00511F00" w:rsidRPr="00076E3D">
        <w:t xml:space="preserve">  Protection from seizure under statutory powers</w:t>
      </w:r>
      <w:bookmarkEnd w:id="14"/>
    </w:p>
    <w:p w:rsidR="00511F00" w:rsidRPr="00076E3D" w:rsidRDefault="00511F00" w:rsidP="00076E3D">
      <w:pPr>
        <w:pStyle w:val="subsection"/>
      </w:pPr>
      <w:r w:rsidRPr="00076E3D">
        <w:tab/>
        <w:t>(1)</w:t>
      </w:r>
      <w:r w:rsidRPr="00076E3D">
        <w:tab/>
        <w:t>The object cannot be seized under a law of the Commonwealth, a State or a Territory.</w:t>
      </w:r>
    </w:p>
    <w:p w:rsidR="00511F00" w:rsidRPr="00076E3D" w:rsidRDefault="00511F00" w:rsidP="00076E3D">
      <w:pPr>
        <w:pStyle w:val="subsection"/>
      </w:pPr>
      <w:r w:rsidRPr="00076E3D">
        <w:tab/>
        <w:t>(2)</w:t>
      </w:r>
      <w:r w:rsidRPr="00076E3D">
        <w:tab/>
      </w:r>
      <w:r w:rsidR="00076E3D" w:rsidRPr="00076E3D">
        <w:t>Subsection (</w:t>
      </w:r>
      <w:r w:rsidRPr="00076E3D">
        <w:t xml:space="preserve">1) does not </w:t>
      </w:r>
      <w:r w:rsidR="00ED0B4A" w:rsidRPr="00076E3D">
        <w:t>prevent</w:t>
      </w:r>
      <w:r w:rsidRPr="00076E3D">
        <w:t xml:space="preserve"> seizure under:</w:t>
      </w:r>
    </w:p>
    <w:p w:rsidR="00511F00" w:rsidRPr="00076E3D" w:rsidRDefault="00511F00" w:rsidP="00076E3D">
      <w:pPr>
        <w:pStyle w:val="paragraph"/>
      </w:pPr>
      <w:r w:rsidRPr="00076E3D">
        <w:tab/>
        <w:t>(a)</w:t>
      </w:r>
      <w:r w:rsidRPr="00076E3D">
        <w:tab/>
        <w:t>Part</w:t>
      </w:r>
      <w:r w:rsidR="00076E3D" w:rsidRPr="00076E3D">
        <w:t> </w:t>
      </w:r>
      <w:r w:rsidRPr="00076E3D">
        <w:t xml:space="preserve">IAA of the </w:t>
      </w:r>
      <w:r w:rsidRPr="00076E3D">
        <w:rPr>
          <w:i/>
        </w:rPr>
        <w:t>Crimes Act 1914</w:t>
      </w:r>
      <w:r w:rsidRPr="00076E3D">
        <w:t>; or</w:t>
      </w:r>
    </w:p>
    <w:p w:rsidR="00AB1C73" w:rsidRPr="00076E3D" w:rsidRDefault="00AB1C73" w:rsidP="00076E3D">
      <w:pPr>
        <w:pStyle w:val="paragraph"/>
      </w:pPr>
      <w:r w:rsidRPr="00076E3D">
        <w:tab/>
        <w:t>(b)</w:t>
      </w:r>
      <w:r w:rsidRPr="00076E3D">
        <w:tab/>
      </w:r>
      <w:r w:rsidR="00353647" w:rsidRPr="00076E3D">
        <w:t>Part</w:t>
      </w:r>
      <w:r w:rsidR="00076E3D" w:rsidRPr="00076E3D">
        <w:t> </w:t>
      </w:r>
      <w:r w:rsidR="00353647" w:rsidRPr="00076E3D">
        <w:t>3</w:t>
      </w:r>
      <w:r w:rsidR="00821787">
        <w:noBreakHyphen/>
      </w:r>
      <w:r w:rsidR="00353647" w:rsidRPr="00076E3D">
        <w:t xml:space="preserve">5 of </w:t>
      </w:r>
      <w:r w:rsidRPr="00076E3D">
        <w:t xml:space="preserve">the </w:t>
      </w:r>
      <w:r w:rsidRPr="00076E3D">
        <w:rPr>
          <w:i/>
        </w:rPr>
        <w:t>Proceeds of Crime Act 2002</w:t>
      </w:r>
      <w:r w:rsidRPr="00076E3D">
        <w:t>; or</w:t>
      </w:r>
    </w:p>
    <w:p w:rsidR="00511F00" w:rsidRPr="00076E3D" w:rsidRDefault="00AB1C73" w:rsidP="00076E3D">
      <w:pPr>
        <w:pStyle w:val="paragraph"/>
      </w:pPr>
      <w:r w:rsidRPr="00076E3D">
        <w:tab/>
        <w:t>(c</w:t>
      </w:r>
      <w:r w:rsidR="00511F00" w:rsidRPr="00076E3D">
        <w:t>)</w:t>
      </w:r>
      <w:r w:rsidR="00511F00" w:rsidRPr="00076E3D">
        <w:tab/>
        <w:t>a law of the Commonwealth, a State or a Territory that gives a police officer (however described) a power of seizure and does not give that power to anyone other than a police officer; or</w:t>
      </w:r>
    </w:p>
    <w:p w:rsidR="00511F00" w:rsidRPr="00076E3D" w:rsidRDefault="00AB1C73" w:rsidP="00076E3D">
      <w:pPr>
        <w:pStyle w:val="paragraph"/>
      </w:pPr>
      <w:r w:rsidRPr="00076E3D">
        <w:tab/>
        <w:t>(d</w:t>
      </w:r>
      <w:r w:rsidR="00511F00" w:rsidRPr="00076E3D">
        <w:t>)</w:t>
      </w:r>
      <w:r w:rsidR="00511F00" w:rsidRPr="00076E3D">
        <w:tab/>
      </w:r>
      <w:r w:rsidR="00301848" w:rsidRPr="00076E3D">
        <w:t xml:space="preserve">a law of the Commonwealth, a State or a Territory prescribed by </w:t>
      </w:r>
      <w:r w:rsidR="0084775D" w:rsidRPr="00076E3D">
        <w:t>regulation</w:t>
      </w:r>
      <w:r w:rsidR="00301848" w:rsidRPr="00076E3D">
        <w:t xml:space="preserve"> for the purposes of this </w:t>
      </w:r>
      <w:r w:rsidR="003076C7" w:rsidRPr="00076E3D">
        <w:t>subsection</w:t>
      </w:r>
      <w:r w:rsidR="00301848" w:rsidRPr="00076E3D">
        <w:t>.</w:t>
      </w:r>
    </w:p>
    <w:p w:rsidR="00511F00" w:rsidRPr="00076E3D" w:rsidRDefault="00F35CDF" w:rsidP="00076E3D">
      <w:pPr>
        <w:pStyle w:val="ActHead5"/>
      </w:pPr>
      <w:bookmarkStart w:id="15" w:name="_Toc351461601"/>
      <w:r w:rsidRPr="00076E3D">
        <w:rPr>
          <w:rStyle w:val="CharSectno"/>
        </w:rPr>
        <w:t>12</w:t>
      </w:r>
      <w:r w:rsidR="006A0925" w:rsidRPr="00076E3D">
        <w:t xml:space="preserve">  Protection from forfeiture</w:t>
      </w:r>
      <w:bookmarkEnd w:id="15"/>
    </w:p>
    <w:p w:rsidR="006A0925" w:rsidRPr="00076E3D" w:rsidRDefault="006A0925" w:rsidP="00076E3D">
      <w:pPr>
        <w:pStyle w:val="subsection"/>
      </w:pPr>
      <w:r w:rsidRPr="00076E3D">
        <w:tab/>
        <w:t>(1)</w:t>
      </w:r>
      <w:r w:rsidRPr="00076E3D">
        <w:tab/>
      </w:r>
      <w:r w:rsidR="00610ED8" w:rsidRPr="00076E3D">
        <w:t>The object cannot be forfeited because of a law of the Commonwealth, a State or a Territory.</w:t>
      </w:r>
    </w:p>
    <w:p w:rsidR="00963A7B" w:rsidRPr="00076E3D" w:rsidRDefault="00610ED8" w:rsidP="00076E3D">
      <w:pPr>
        <w:pStyle w:val="subsection"/>
      </w:pPr>
      <w:r w:rsidRPr="00076E3D">
        <w:lastRenderedPageBreak/>
        <w:tab/>
        <w:t>(2)</w:t>
      </w:r>
      <w:r w:rsidRPr="00076E3D">
        <w:tab/>
      </w:r>
      <w:r w:rsidR="00076E3D" w:rsidRPr="00076E3D">
        <w:t>Subsection (</w:t>
      </w:r>
      <w:r w:rsidRPr="00076E3D">
        <w:t>1) does not prevent forfeiture (or the possibility of forfeiture) because of</w:t>
      </w:r>
      <w:r w:rsidR="00963A7B" w:rsidRPr="00076E3D">
        <w:t>:</w:t>
      </w:r>
    </w:p>
    <w:p w:rsidR="00DB6F5E" w:rsidRPr="00076E3D" w:rsidRDefault="00DB6F5E" w:rsidP="00076E3D">
      <w:pPr>
        <w:pStyle w:val="paragraph"/>
      </w:pPr>
      <w:r w:rsidRPr="00076E3D">
        <w:tab/>
        <w:t>(a)</w:t>
      </w:r>
      <w:r w:rsidRPr="00076E3D">
        <w:tab/>
        <w:t>Part</w:t>
      </w:r>
      <w:r w:rsidR="00076E3D" w:rsidRPr="00076E3D">
        <w:t> </w:t>
      </w:r>
      <w:r w:rsidRPr="00076E3D">
        <w:t xml:space="preserve">IAA of the </w:t>
      </w:r>
      <w:r w:rsidRPr="00076E3D">
        <w:rPr>
          <w:i/>
        </w:rPr>
        <w:t>Crimes Act 1914</w:t>
      </w:r>
      <w:r w:rsidRPr="00076E3D">
        <w:t>; or</w:t>
      </w:r>
    </w:p>
    <w:p w:rsidR="00963A7B" w:rsidRPr="00076E3D" w:rsidRDefault="00DB6F5E" w:rsidP="00076E3D">
      <w:pPr>
        <w:pStyle w:val="paragraph"/>
      </w:pPr>
      <w:r w:rsidRPr="00076E3D">
        <w:tab/>
        <w:t>(b</w:t>
      </w:r>
      <w:r w:rsidR="00963A7B" w:rsidRPr="00076E3D">
        <w:t>)</w:t>
      </w:r>
      <w:r w:rsidR="00963A7B" w:rsidRPr="00076E3D">
        <w:tab/>
      </w:r>
      <w:r w:rsidR="00E62416" w:rsidRPr="00076E3D">
        <w:t>Part</w:t>
      </w:r>
      <w:r w:rsidR="00076E3D" w:rsidRPr="00076E3D">
        <w:t> </w:t>
      </w:r>
      <w:r w:rsidR="00E62416" w:rsidRPr="00076E3D">
        <w:t>2</w:t>
      </w:r>
      <w:r w:rsidR="00821787">
        <w:noBreakHyphen/>
      </w:r>
      <w:r w:rsidR="00E62416" w:rsidRPr="00076E3D">
        <w:t>2 or 2</w:t>
      </w:r>
      <w:r w:rsidR="00821787">
        <w:noBreakHyphen/>
      </w:r>
      <w:r w:rsidR="00E62416" w:rsidRPr="00076E3D">
        <w:t xml:space="preserve">3 of </w:t>
      </w:r>
      <w:r w:rsidR="00963A7B" w:rsidRPr="00076E3D">
        <w:t xml:space="preserve">the </w:t>
      </w:r>
      <w:r w:rsidR="00963A7B" w:rsidRPr="00076E3D">
        <w:rPr>
          <w:i/>
        </w:rPr>
        <w:t>Proceeds of Crime Act 2002</w:t>
      </w:r>
      <w:r w:rsidR="00963A7B" w:rsidRPr="00076E3D">
        <w:t>; or</w:t>
      </w:r>
    </w:p>
    <w:p w:rsidR="00610ED8" w:rsidRPr="00076E3D" w:rsidRDefault="00DB6F5E" w:rsidP="00076E3D">
      <w:pPr>
        <w:pStyle w:val="paragraph"/>
      </w:pPr>
      <w:r w:rsidRPr="00076E3D">
        <w:tab/>
        <w:t>(c</w:t>
      </w:r>
      <w:r w:rsidR="00963A7B" w:rsidRPr="00076E3D">
        <w:t>)</w:t>
      </w:r>
      <w:r w:rsidR="00963A7B" w:rsidRPr="00076E3D">
        <w:tab/>
      </w:r>
      <w:r w:rsidR="00AE716B" w:rsidRPr="00076E3D">
        <w:t xml:space="preserve">a law of the Commonwealth, a State or a Territory prescribed by </w:t>
      </w:r>
      <w:r w:rsidR="006072AB" w:rsidRPr="00076E3D">
        <w:t>regulation</w:t>
      </w:r>
      <w:r w:rsidR="00AE716B" w:rsidRPr="00076E3D">
        <w:t xml:space="preserve"> for the purposes of this subsection.</w:t>
      </w:r>
    </w:p>
    <w:p w:rsidR="00FE6BB2" w:rsidRPr="00076E3D" w:rsidRDefault="00F35CDF" w:rsidP="00076E3D">
      <w:pPr>
        <w:pStyle w:val="ActHead5"/>
      </w:pPr>
      <w:bookmarkStart w:id="16" w:name="_Toc351461602"/>
      <w:r w:rsidRPr="00076E3D">
        <w:rPr>
          <w:rStyle w:val="CharSectno"/>
        </w:rPr>
        <w:t>13</w:t>
      </w:r>
      <w:r w:rsidR="00FE6BB2" w:rsidRPr="00076E3D">
        <w:t xml:space="preserve">  Protection from </w:t>
      </w:r>
      <w:r w:rsidR="00BE5205" w:rsidRPr="00076E3D">
        <w:t>heritage laws and things done under them</w:t>
      </w:r>
      <w:bookmarkEnd w:id="16"/>
    </w:p>
    <w:p w:rsidR="00BE5205" w:rsidRPr="00076E3D" w:rsidRDefault="00BE5205" w:rsidP="00076E3D">
      <w:pPr>
        <w:pStyle w:val="subsection"/>
      </w:pPr>
      <w:r w:rsidRPr="00076E3D">
        <w:tab/>
        <w:t>(1)</w:t>
      </w:r>
      <w:r w:rsidRPr="00076E3D">
        <w:tab/>
        <w:t xml:space="preserve">Nothing in, or done under, a heritage law prohibits or restricts, conditionally or unconditionally, a protected person </w:t>
      </w:r>
      <w:r w:rsidR="001F489F" w:rsidRPr="00076E3D">
        <w:t xml:space="preserve">for the object </w:t>
      </w:r>
      <w:r w:rsidRPr="00076E3D">
        <w:t>doing anything in relation to the object for the purpose of:</w:t>
      </w:r>
    </w:p>
    <w:p w:rsidR="00BE5205" w:rsidRPr="00076E3D" w:rsidRDefault="00BE5205" w:rsidP="00076E3D">
      <w:pPr>
        <w:pStyle w:val="paragraph"/>
      </w:pPr>
      <w:r w:rsidRPr="00076E3D">
        <w:tab/>
        <w:t>(a)</w:t>
      </w:r>
      <w:r w:rsidRPr="00076E3D">
        <w:tab/>
        <w:t>giving effect to a temporary loan arrangement for the object (whether or not the person is party to the arrangement); or</w:t>
      </w:r>
    </w:p>
    <w:p w:rsidR="00BE5205" w:rsidRPr="00076E3D" w:rsidRDefault="00BE5205" w:rsidP="00076E3D">
      <w:pPr>
        <w:pStyle w:val="paragraph"/>
      </w:pPr>
      <w:r w:rsidRPr="00076E3D">
        <w:tab/>
        <w:t>(b)</w:t>
      </w:r>
      <w:r w:rsidRPr="00076E3D">
        <w:tab/>
      </w:r>
      <w:r w:rsidR="0083755F" w:rsidRPr="00076E3D">
        <w:t>meeting the person</w:t>
      </w:r>
      <w:r w:rsidR="0034215B" w:rsidRPr="00076E3D">
        <w:t>’</w:t>
      </w:r>
      <w:r w:rsidR="0083755F" w:rsidRPr="00076E3D">
        <w:t>s obligations to another protected person who is party to a temporary loan arrangement for the object.</w:t>
      </w:r>
    </w:p>
    <w:p w:rsidR="0083755F" w:rsidRPr="00076E3D" w:rsidRDefault="0083755F" w:rsidP="00076E3D">
      <w:pPr>
        <w:pStyle w:val="subsection"/>
      </w:pPr>
      <w:r w:rsidRPr="00076E3D">
        <w:tab/>
        <w:t>(2)</w:t>
      </w:r>
      <w:r w:rsidRPr="00076E3D">
        <w:tab/>
        <w:t>Nothing in, or done under, a heritage law affects:</w:t>
      </w:r>
    </w:p>
    <w:p w:rsidR="0083755F" w:rsidRPr="00076E3D" w:rsidRDefault="0083755F" w:rsidP="00076E3D">
      <w:pPr>
        <w:pStyle w:val="paragraph"/>
      </w:pPr>
      <w:r w:rsidRPr="00076E3D">
        <w:tab/>
        <w:t>(a)</w:t>
      </w:r>
      <w:r w:rsidRPr="00076E3D">
        <w:tab/>
        <w:t>ownership of the object; or</w:t>
      </w:r>
    </w:p>
    <w:p w:rsidR="00BE5205" w:rsidRPr="00076E3D" w:rsidRDefault="0083755F" w:rsidP="00076E3D">
      <w:pPr>
        <w:pStyle w:val="paragraph"/>
      </w:pPr>
      <w:r w:rsidRPr="00076E3D">
        <w:tab/>
        <w:t>(b)</w:t>
      </w:r>
      <w:r w:rsidRPr="00076E3D">
        <w:tab/>
        <w:t>physical possession, custody or control of the object by a protected person; or</w:t>
      </w:r>
    </w:p>
    <w:p w:rsidR="0083755F" w:rsidRPr="00076E3D" w:rsidRDefault="0083755F" w:rsidP="00076E3D">
      <w:pPr>
        <w:pStyle w:val="paragraph"/>
      </w:pPr>
      <w:r w:rsidRPr="00076E3D">
        <w:tab/>
        <w:t>(c)</w:t>
      </w:r>
      <w:r w:rsidRPr="00076E3D">
        <w:tab/>
        <w:t>a right of a protected person to physical possession, custody or control of the object.</w:t>
      </w:r>
    </w:p>
    <w:p w:rsidR="003076C7" w:rsidRPr="00076E3D" w:rsidRDefault="003076C7" w:rsidP="00076E3D">
      <w:pPr>
        <w:pStyle w:val="SubsectionHead"/>
      </w:pPr>
      <w:r w:rsidRPr="00076E3D">
        <w:t xml:space="preserve">Exception for </w:t>
      </w:r>
      <w:r w:rsidR="001F489F" w:rsidRPr="00076E3D">
        <w:t xml:space="preserve">prescribed </w:t>
      </w:r>
      <w:r w:rsidRPr="00076E3D">
        <w:t>heritage laws</w:t>
      </w:r>
    </w:p>
    <w:p w:rsidR="003076C7" w:rsidRPr="00076E3D" w:rsidRDefault="003076C7" w:rsidP="00076E3D">
      <w:pPr>
        <w:pStyle w:val="subsection"/>
      </w:pPr>
      <w:r w:rsidRPr="00076E3D">
        <w:tab/>
        <w:t>(3)</w:t>
      </w:r>
      <w:r w:rsidRPr="00076E3D">
        <w:tab/>
        <w:t xml:space="preserve">This section does not apply to a heritage law prescribed by </w:t>
      </w:r>
      <w:r w:rsidR="00ED1E33" w:rsidRPr="00076E3D">
        <w:t>regulation</w:t>
      </w:r>
      <w:r w:rsidRPr="00076E3D">
        <w:t xml:space="preserve"> for the purposes of this subsection.</w:t>
      </w:r>
    </w:p>
    <w:p w:rsidR="003076C7" w:rsidRPr="00076E3D" w:rsidRDefault="003076C7" w:rsidP="00076E3D">
      <w:pPr>
        <w:pStyle w:val="SubsectionHead"/>
      </w:pPr>
      <w:r w:rsidRPr="00076E3D">
        <w:t>Relationship of this section with the rest of this Part</w:t>
      </w:r>
    </w:p>
    <w:p w:rsidR="00BE5205" w:rsidRPr="00076E3D" w:rsidRDefault="003076C7" w:rsidP="00076E3D">
      <w:pPr>
        <w:pStyle w:val="subsection"/>
      </w:pPr>
      <w:r w:rsidRPr="00076E3D">
        <w:tab/>
        <w:t>(4</w:t>
      </w:r>
      <w:r w:rsidR="0083755F" w:rsidRPr="00076E3D">
        <w:t>)</w:t>
      </w:r>
      <w:r w:rsidR="0083755F" w:rsidRPr="00076E3D">
        <w:tab/>
        <w:t>This section does not limit any other section of this Part, and is not limited by any other section of this Part.</w:t>
      </w:r>
    </w:p>
    <w:p w:rsidR="00D4024A" w:rsidRPr="00076E3D" w:rsidRDefault="00F35CDF" w:rsidP="00076E3D">
      <w:pPr>
        <w:pStyle w:val="ActHead5"/>
      </w:pPr>
      <w:bookmarkStart w:id="17" w:name="_Toc351461603"/>
      <w:r w:rsidRPr="00076E3D">
        <w:rPr>
          <w:rStyle w:val="CharSectno"/>
        </w:rPr>
        <w:t>14</w:t>
      </w:r>
      <w:r w:rsidR="00D0333F" w:rsidRPr="00076E3D">
        <w:t xml:space="preserve">  Relationship with other laws</w:t>
      </w:r>
      <w:bookmarkEnd w:id="17"/>
    </w:p>
    <w:p w:rsidR="00AA4D84" w:rsidRPr="00076E3D" w:rsidRDefault="00D0333F" w:rsidP="00076E3D">
      <w:pPr>
        <w:pStyle w:val="subsection"/>
      </w:pPr>
      <w:r w:rsidRPr="00076E3D">
        <w:tab/>
      </w:r>
      <w:r w:rsidRPr="00076E3D">
        <w:tab/>
        <w:t>This Part has effect despite</w:t>
      </w:r>
      <w:r w:rsidR="00AA4D84" w:rsidRPr="00076E3D">
        <w:t>:</w:t>
      </w:r>
    </w:p>
    <w:p w:rsidR="00D0333F" w:rsidRPr="00076E3D" w:rsidRDefault="00AA4D84" w:rsidP="00076E3D">
      <w:pPr>
        <w:pStyle w:val="paragraph"/>
      </w:pPr>
      <w:r w:rsidRPr="00076E3D">
        <w:tab/>
        <w:t>(a)</w:t>
      </w:r>
      <w:r w:rsidRPr="00076E3D">
        <w:tab/>
      </w:r>
      <w:r w:rsidR="00D0333F" w:rsidRPr="00076E3D">
        <w:t>any other law of the Commonwealth (whether made before or after th</w:t>
      </w:r>
      <w:r w:rsidRPr="00076E3D">
        <w:t>e commencement of this section); and</w:t>
      </w:r>
    </w:p>
    <w:p w:rsidR="00AA4D84" w:rsidRPr="00076E3D" w:rsidRDefault="00AA4D84" w:rsidP="00076E3D">
      <w:pPr>
        <w:pStyle w:val="paragraph"/>
      </w:pPr>
      <w:r w:rsidRPr="00076E3D">
        <w:lastRenderedPageBreak/>
        <w:tab/>
        <w:t>(b)</w:t>
      </w:r>
      <w:r w:rsidRPr="00076E3D">
        <w:tab/>
        <w:t>any rule of common law</w:t>
      </w:r>
      <w:r w:rsidR="007A3CA0" w:rsidRPr="00076E3D">
        <w:t xml:space="preserve"> or</w:t>
      </w:r>
      <w:r w:rsidRPr="00076E3D">
        <w:t xml:space="preserve"> equity</w:t>
      </w:r>
      <w:r w:rsidR="007A3CA0" w:rsidRPr="00076E3D">
        <w:t xml:space="preserve"> (including, for example,</w:t>
      </w:r>
      <w:r w:rsidR="00216EB7" w:rsidRPr="00076E3D">
        <w:t xml:space="preserve"> </w:t>
      </w:r>
      <w:r w:rsidR="007A3CA0" w:rsidRPr="00076E3D">
        <w:t xml:space="preserve">a rule of </w:t>
      </w:r>
      <w:r w:rsidR="00216EB7" w:rsidRPr="00076E3D">
        <w:t>private international law</w:t>
      </w:r>
      <w:r w:rsidR="007A3CA0" w:rsidRPr="00076E3D">
        <w:t>)</w:t>
      </w:r>
      <w:r w:rsidRPr="00076E3D">
        <w:t>.</w:t>
      </w:r>
    </w:p>
    <w:p w:rsidR="009A4A2B" w:rsidRPr="00076E3D" w:rsidRDefault="009A4A2B" w:rsidP="00076E3D">
      <w:pPr>
        <w:pStyle w:val="PageBreak"/>
      </w:pPr>
      <w:r w:rsidRPr="00076E3D">
        <w:br w:type="page"/>
      </w:r>
    </w:p>
    <w:p w:rsidR="009A4A2B" w:rsidRPr="00076E3D" w:rsidRDefault="009A4A2B" w:rsidP="00076E3D">
      <w:pPr>
        <w:pStyle w:val="ActHead2"/>
      </w:pPr>
      <w:bookmarkStart w:id="18" w:name="_Toc351461604"/>
      <w:r w:rsidRPr="00076E3D">
        <w:rPr>
          <w:rStyle w:val="CharPartNo"/>
        </w:rPr>
        <w:lastRenderedPageBreak/>
        <w:t>Part</w:t>
      </w:r>
      <w:r w:rsidR="00076E3D" w:rsidRPr="00076E3D">
        <w:rPr>
          <w:rStyle w:val="CharPartNo"/>
        </w:rPr>
        <w:t> </w:t>
      </w:r>
      <w:r w:rsidRPr="00076E3D">
        <w:rPr>
          <w:rStyle w:val="CharPartNo"/>
        </w:rPr>
        <w:t>3</w:t>
      </w:r>
      <w:r w:rsidRPr="00076E3D">
        <w:t>—</w:t>
      </w:r>
      <w:r w:rsidRPr="00076E3D">
        <w:rPr>
          <w:rStyle w:val="CharPartText"/>
        </w:rPr>
        <w:t>Approval of institutions</w:t>
      </w:r>
      <w:bookmarkEnd w:id="18"/>
    </w:p>
    <w:p w:rsidR="009A4A2B" w:rsidRPr="00076E3D" w:rsidRDefault="009A4A2B" w:rsidP="00076E3D">
      <w:pPr>
        <w:pStyle w:val="ActHead3"/>
      </w:pPr>
      <w:bookmarkStart w:id="19" w:name="_Toc351461605"/>
      <w:r w:rsidRPr="00076E3D">
        <w:rPr>
          <w:rStyle w:val="CharDivNo"/>
        </w:rPr>
        <w:t>Division</w:t>
      </w:r>
      <w:r w:rsidR="00076E3D" w:rsidRPr="00076E3D">
        <w:rPr>
          <w:rStyle w:val="CharDivNo"/>
        </w:rPr>
        <w:t> </w:t>
      </w:r>
      <w:r w:rsidRPr="00076E3D">
        <w:rPr>
          <w:rStyle w:val="CharDivNo"/>
        </w:rPr>
        <w:t>1</w:t>
      </w:r>
      <w:r w:rsidRPr="00076E3D">
        <w:t>—</w:t>
      </w:r>
      <w:r w:rsidRPr="00076E3D">
        <w:rPr>
          <w:rStyle w:val="CharDivText"/>
        </w:rPr>
        <w:t>Approval</w:t>
      </w:r>
      <w:bookmarkEnd w:id="19"/>
    </w:p>
    <w:p w:rsidR="000A1C0A" w:rsidRPr="00076E3D" w:rsidRDefault="00F35CDF" w:rsidP="00076E3D">
      <w:pPr>
        <w:pStyle w:val="ActHead5"/>
      </w:pPr>
      <w:bookmarkStart w:id="20" w:name="_Toc351461606"/>
      <w:r w:rsidRPr="00076E3D">
        <w:rPr>
          <w:rStyle w:val="CharSectno"/>
        </w:rPr>
        <w:t>15</w:t>
      </w:r>
      <w:r w:rsidR="000A1C0A" w:rsidRPr="00076E3D">
        <w:t xml:space="preserve">  </w:t>
      </w:r>
      <w:r w:rsidR="00CE5A2E" w:rsidRPr="00076E3D">
        <w:t>Approval</w:t>
      </w:r>
      <w:bookmarkEnd w:id="20"/>
    </w:p>
    <w:p w:rsidR="00CE5A2E" w:rsidRPr="00076E3D" w:rsidRDefault="00CE5A2E" w:rsidP="00076E3D">
      <w:pPr>
        <w:pStyle w:val="subsection"/>
      </w:pPr>
      <w:r w:rsidRPr="00076E3D">
        <w:tab/>
        <w:t>(1)</w:t>
      </w:r>
      <w:r w:rsidRPr="00076E3D">
        <w:tab/>
        <w:t>On application by or on behalf of a borrowing institution, the Minister may approve the institution</w:t>
      </w:r>
      <w:r w:rsidR="003844CD" w:rsidRPr="00076E3D">
        <w:t>, for a specified period not more than 60 months,</w:t>
      </w:r>
      <w:r w:rsidRPr="00076E3D">
        <w:t xml:space="preserve"> by notice </w:t>
      </w:r>
      <w:r w:rsidR="00A17503" w:rsidRPr="00076E3D">
        <w:t xml:space="preserve">given to the institution and </w:t>
      </w:r>
      <w:r w:rsidRPr="00076E3D">
        <w:t>published on the Department</w:t>
      </w:r>
      <w:r w:rsidR="0034215B" w:rsidRPr="00076E3D">
        <w:t>’</w:t>
      </w:r>
      <w:r w:rsidRPr="00076E3D">
        <w:t>s website.</w:t>
      </w:r>
    </w:p>
    <w:p w:rsidR="00CE5A2E" w:rsidRPr="00076E3D" w:rsidRDefault="00CE5A2E" w:rsidP="00076E3D">
      <w:pPr>
        <w:pStyle w:val="SubsectionHead"/>
      </w:pPr>
      <w:r w:rsidRPr="00076E3D">
        <w:t>Considerations in deciding whether to approve</w:t>
      </w:r>
    </w:p>
    <w:p w:rsidR="00281D00" w:rsidRPr="00076E3D" w:rsidRDefault="00CE5A2E" w:rsidP="00076E3D">
      <w:pPr>
        <w:pStyle w:val="subsection"/>
      </w:pPr>
      <w:r w:rsidRPr="00076E3D">
        <w:tab/>
        <w:t>(2)</w:t>
      </w:r>
      <w:r w:rsidRPr="00076E3D">
        <w:tab/>
        <w:t>In deciding whether to approve a borrowing institution, the Minister must consider</w:t>
      </w:r>
      <w:r w:rsidR="00281D00" w:rsidRPr="00076E3D">
        <w:t>:</w:t>
      </w:r>
    </w:p>
    <w:p w:rsidR="00D44B0B" w:rsidRPr="00076E3D" w:rsidRDefault="00D44B0B" w:rsidP="00076E3D">
      <w:pPr>
        <w:pStyle w:val="paragraph"/>
      </w:pPr>
      <w:r w:rsidRPr="00076E3D">
        <w:tab/>
        <w:t>(a)</w:t>
      </w:r>
      <w:r w:rsidRPr="00076E3D">
        <w:tab/>
        <w:t xml:space="preserve">the </w:t>
      </w:r>
      <w:r w:rsidR="00A40E89" w:rsidRPr="00076E3D">
        <w:t xml:space="preserve">institution’s curatorial </w:t>
      </w:r>
      <w:r w:rsidRPr="00076E3D">
        <w:t xml:space="preserve">expertise </w:t>
      </w:r>
      <w:r w:rsidR="00A40E89" w:rsidRPr="00076E3D">
        <w:t xml:space="preserve">and expertise </w:t>
      </w:r>
      <w:r w:rsidRPr="00076E3D">
        <w:t>in management of collections; and</w:t>
      </w:r>
    </w:p>
    <w:p w:rsidR="00281D00" w:rsidRPr="00076E3D" w:rsidRDefault="00AA3B2C" w:rsidP="00076E3D">
      <w:pPr>
        <w:pStyle w:val="paragraph"/>
      </w:pPr>
      <w:r w:rsidRPr="00076E3D">
        <w:tab/>
        <w:t>(b</w:t>
      </w:r>
      <w:r w:rsidR="00281D00" w:rsidRPr="00076E3D">
        <w:t>)</w:t>
      </w:r>
      <w:r w:rsidR="00281D00" w:rsidRPr="00076E3D">
        <w:tab/>
        <w:t xml:space="preserve">the procedures used by the institution to </w:t>
      </w:r>
      <w:r w:rsidR="00E57F69" w:rsidRPr="00076E3D">
        <w:t>identify</w:t>
      </w:r>
      <w:r w:rsidR="00281D00" w:rsidRPr="00076E3D">
        <w:t xml:space="preserve"> the provenance of objects </w:t>
      </w:r>
      <w:r w:rsidR="00D44B0B" w:rsidRPr="00076E3D">
        <w:t xml:space="preserve">collected or </w:t>
      </w:r>
      <w:r w:rsidR="00281D00" w:rsidRPr="00076E3D">
        <w:t>exhibited by the institution; and</w:t>
      </w:r>
    </w:p>
    <w:p w:rsidR="00FE4B07" w:rsidRPr="00076E3D" w:rsidRDefault="00AA3B2C" w:rsidP="00076E3D">
      <w:pPr>
        <w:pStyle w:val="paragraph"/>
      </w:pPr>
      <w:r w:rsidRPr="00076E3D">
        <w:tab/>
        <w:t>(c</w:t>
      </w:r>
      <w:r w:rsidR="00FE4B07" w:rsidRPr="00076E3D">
        <w:t>)</w:t>
      </w:r>
      <w:r w:rsidR="00FE4B07" w:rsidRPr="00076E3D">
        <w:tab/>
      </w:r>
      <w:r w:rsidR="00B3390D" w:rsidRPr="00076E3D">
        <w:t>the procedures used by the institution to identify objects in a foreign country that could be the subject of temporary loan arrangements for exhibition under arrangements made by the institution; and</w:t>
      </w:r>
    </w:p>
    <w:p w:rsidR="00C73721" w:rsidRPr="00076E3D" w:rsidRDefault="00AA3B2C" w:rsidP="00076E3D">
      <w:pPr>
        <w:pStyle w:val="paragraph"/>
      </w:pPr>
      <w:r w:rsidRPr="00076E3D">
        <w:tab/>
        <w:t>(d</w:t>
      </w:r>
      <w:r w:rsidR="00C73721" w:rsidRPr="00076E3D">
        <w:t>)</w:t>
      </w:r>
      <w:r w:rsidR="00C73721" w:rsidRPr="00076E3D">
        <w:tab/>
      </w:r>
      <w:r w:rsidR="00B3390D" w:rsidRPr="00076E3D">
        <w:t xml:space="preserve">the procedures used by the institution or by its parent for negotiating temporary loan arrangements for objects </w:t>
      </w:r>
      <w:r w:rsidR="00984898" w:rsidRPr="00076E3D">
        <w:t xml:space="preserve">that are </w:t>
      </w:r>
      <w:r w:rsidR="00F5250A" w:rsidRPr="00076E3D">
        <w:t xml:space="preserve">normally in a foreign country </w:t>
      </w:r>
      <w:r w:rsidR="00B3390D" w:rsidRPr="00076E3D">
        <w:t>(whether those arrangements are with lenders or exhibition facilitators); and</w:t>
      </w:r>
    </w:p>
    <w:p w:rsidR="00B3390D" w:rsidRPr="00076E3D" w:rsidRDefault="00B3390D" w:rsidP="00076E3D">
      <w:pPr>
        <w:pStyle w:val="paragraph"/>
      </w:pPr>
      <w:r w:rsidRPr="00076E3D">
        <w:tab/>
        <w:t>(</w:t>
      </w:r>
      <w:r w:rsidR="00AA3B2C" w:rsidRPr="00076E3D">
        <w:t>e</w:t>
      </w:r>
      <w:r w:rsidRPr="00076E3D">
        <w:t>)</w:t>
      </w:r>
      <w:r w:rsidRPr="00076E3D">
        <w:tab/>
        <w:t xml:space="preserve">whether the institution often publicly exhibits in Australia objects </w:t>
      </w:r>
      <w:r w:rsidR="00984898" w:rsidRPr="00076E3D">
        <w:t xml:space="preserve">that are </w:t>
      </w:r>
      <w:r w:rsidRPr="00076E3D">
        <w:t>normally in a foreign country; and</w:t>
      </w:r>
    </w:p>
    <w:p w:rsidR="00281D00" w:rsidRPr="00076E3D" w:rsidRDefault="00FE4B07" w:rsidP="00076E3D">
      <w:pPr>
        <w:pStyle w:val="paragraph"/>
      </w:pPr>
      <w:r w:rsidRPr="00076E3D">
        <w:tab/>
        <w:t>(</w:t>
      </w:r>
      <w:r w:rsidR="00AA3B2C" w:rsidRPr="00076E3D">
        <w:t>f</w:t>
      </w:r>
      <w:r w:rsidR="00281D00" w:rsidRPr="00076E3D">
        <w:t>)</w:t>
      </w:r>
      <w:r w:rsidR="00281D00" w:rsidRPr="00076E3D">
        <w:tab/>
      </w:r>
      <w:r w:rsidR="00CE5A2E" w:rsidRPr="00076E3D">
        <w:t>the matters (if any)</w:t>
      </w:r>
      <w:r w:rsidR="00281D00" w:rsidRPr="00076E3D">
        <w:t xml:space="preserve"> prescribed by </w:t>
      </w:r>
      <w:r w:rsidR="0020144B" w:rsidRPr="00076E3D">
        <w:t>regulation for the purposes of this paragraph</w:t>
      </w:r>
      <w:r w:rsidR="00281D00" w:rsidRPr="00076E3D">
        <w:t>.</w:t>
      </w:r>
    </w:p>
    <w:p w:rsidR="00CE5A2E" w:rsidRPr="00076E3D" w:rsidRDefault="00CE5A2E" w:rsidP="00076E3D">
      <w:pPr>
        <w:pStyle w:val="subsection2"/>
      </w:pPr>
      <w:r w:rsidRPr="00076E3D">
        <w:t>This does not limit the matters the Minister may consider.</w:t>
      </w:r>
    </w:p>
    <w:p w:rsidR="00281D00" w:rsidRPr="00076E3D" w:rsidRDefault="00281D00" w:rsidP="00076E3D">
      <w:pPr>
        <w:pStyle w:val="SubsectionHead"/>
      </w:pPr>
      <w:r w:rsidRPr="00076E3D">
        <w:t>Approval is not a legislative instrument</w:t>
      </w:r>
    </w:p>
    <w:p w:rsidR="00281D00" w:rsidRPr="00076E3D" w:rsidRDefault="00281D00" w:rsidP="00076E3D">
      <w:pPr>
        <w:pStyle w:val="subsection"/>
      </w:pPr>
      <w:r w:rsidRPr="00076E3D">
        <w:tab/>
        <w:t>(3)</w:t>
      </w:r>
      <w:r w:rsidRPr="00076E3D">
        <w:tab/>
        <w:t xml:space="preserve">A notice under </w:t>
      </w:r>
      <w:r w:rsidR="00076E3D" w:rsidRPr="00076E3D">
        <w:t>subsection (</w:t>
      </w:r>
      <w:r w:rsidRPr="00076E3D">
        <w:t>1) is not a legislative instrument.</w:t>
      </w:r>
    </w:p>
    <w:p w:rsidR="00CE5A2E" w:rsidRPr="00076E3D" w:rsidRDefault="00F35CDF" w:rsidP="00076E3D">
      <w:pPr>
        <w:pStyle w:val="ActHead5"/>
      </w:pPr>
      <w:bookmarkStart w:id="21" w:name="_Toc351461607"/>
      <w:r w:rsidRPr="00076E3D">
        <w:rPr>
          <w:rStyle w:val="CharSectno"/>
        </w:rPr>
        <w:lastRenderedPageBreak/>
        <w:t>16</w:t>
      </w:r>
      <w:r w:rsidR="00CE5A2E" w:rsidRPr="00076E3D">
        <w:t xml:space="preserve">  </w:t>
      </w:r>
      <w:r w:rsidR="00D161E8" w:rsidRPr="00076E3D">
        <w:t>Conditions on approval</w:t>
      </w:r>
      <w:bookmarkEnd w:id="21"/>
    </w:p>
    <w:p w:rsidR="00D161E8" w:rsidRPr="00076E3D" w:rsidRDefault="00D161E8" w:rsidP="00076E3D">
      <w:pPr>
        <w:pStyle w:val="subsection"/>
      </w:pPr>
      <w:r w:rsidRPr="00076E3D">
        <w:tab/>
      </w:r>
      <w:r w:rsidR="00281D00" w:rsidRPr="00076E3D">
        <w:t>(1)</w:t>
      </w:r>
      <w:r w:rsidRPr="00076E3D">
        <w:tab/>
        <w:t>The Minister may impose, vary and revoke conditions on the approval of a borrowing institution</w:t>
      </w:r>
      <w:r w:rsidR="00695CFB" w:rsidRPr="00076E3D">
        <w:t>,</w:t>
      </w:r>
      <w:r w:rsidRPr="00076E3D">
        <w:t xml:space="preserve"> by notice </w:t>
      </w:r>
      <w:r w:rsidR="00A17503" w:rsidRPr="00076E3D">
        <w:t xml:space="preserve">given to the institution and </w:t>
      </w:r>
      <w:r w:rsidRPr="00076E3D">
        <w:t>published on the Department</w:t>
      </w:r>
      <w:r w:rsidR="0034215B" w:rsidRPr="00076E3D">
        <w:t>’</w:t>
      </w:r>
      <w:r w:rsidRPr="00076E3D">
        <w:t>s website.</w:t>
      </w:r>
    </w:p>
    <w:p w:rsidR="00281D00" w:rsidRPr="00076E3D" w:rsidRDefault="00281D00" w:rsidP="00076E3D">
      <w:pPr>
        <w:pStyle w:val="subsection"/>
      </w:pPr>
      <w:r w:rsidRPr="00076E3D">
        <w:tab/>
        <w:t>(2)</w:t>
      </w:r>
      <w:r w:rsidRPr="00076E3D">
        <w:tab/>
        <w:t xml:space="preserve">A notice under </w:t>
      </w:r>
      <w:r w:rsidR="00076E3D" w:rsidRPr="00076E3D">
        <w:t>subsection (</w:t>
      </w:r>
      <w:r w:rsidRPr="00076E3D">
        <w:t>1) is not a legislative instrument.</w:t>
      </w:r>
    </w:p>
    <w:p w:rsidR="009A4A2B" w:rsidRPr="00076E3D" w:rsidRDefault="009A4A2B" w:rsidP="00076E3D">
      <w:pPr>
        <w:pStyle w:val="PageBreak"/>
      </w:pPr>
      <w:r w:rsidRPr="00076E3D">
        <w:br w:type="page"/>
      </w:r>
    </w:p>
    <w:p w:rsidR="009A4A2B" w:rsidRPr="00076E3D" w:rsidRDefault="009A4A2B" w:rsidP="00076E3D">
      <w:pPr>
        <w:pStyle w:val="ActHead3"/>
      </w:pPr>
      <w:bookmarkStart w:id="22" w:name="_Toc351461608"/>
      <w:r w:rsidRPr="00076E3D">
        <w:rPr>
          <w:rStyle w:val="CharDivNo"/>
        </w:rPr>
        <w:lastRenderedPageBreak/>
        <w:t>Division</w:t>
      </w:r>
      <w:r w:rsidR="00076E3D" w:rsidRPr="00076E3D">
        <w:rPr>
          <w:rStyle w:val="CharDivNo"/>
        </w:rPr>
        <w:t> </w:t>
      </w:r>
      <w:r w:rsidRPr="00076E3D">
        <w:rPr>
          <w:rStyle w:val="CharDivNo"/>
        </w:rPr>
        <w:t>2</w:t>
      </w:r>
      <w:r w:rsidRPr="00076E3D">
        <w:t>—</w:t>
      </w:r>
      <w:r w:rsidR="003844CD" w:rsidRPr="00076E3D">
        <w:rPr>
          <w:rStyle w:val="CharDivText"/>
        </w:rPr>
        <w:t>Revoc</w:t>
      </w:r>
      <w:r w:rsidRPr="00076E3D">
        <w:rPr>
          <w:rStyle w:val="CharDivText"/>
        </w:rPr>
        <w:t>ation of approval</w:t>
      </w:r>
      <w:bookmarkEnd w:id="22"/>
    </w:p>
    <w:p w:rsidR="00CE5A2E" w:rsidRPr="00076E3D" w:rsidRDefault="00F35CDF" w:rsidP="00076E3D">
      <w:pPr>
        <w:pStyle w:val="ActHead5"/>
      </w:pPr>
      <w:bookmarkStart w:id="23" w:name="_Toc351461609"/>
      <w:r w:rsidRPr="00076E3D">
        <w:rPr>
          <w:rStyle w:val="CharSectno"/>
        </w:rPr>
        <w:t>17</w:t>
      </w:r>
      <w:r w:rsidR="00CE5A2E" w:rsidRPr="00076E3D">
        <w:t xml:space="preserve">  Revocation of approval</w:t>
      </w:r>
      <w:bookmarkEnd w:id="23"/>
    </w:p>
    <w:p w:rsidR="00281D00" w:rsidRPr="00076E3D" w:rsidRDefault="00281D00" w:rsidP="00076E3D">
      <w:pPr>
        <w:pStyle w:val="subsection"/>
      </w:pPr>
      <w:r w:rsidRPr="00076E3D">
        <w:tab/>
        <w:t>(1)</w:t>
      </w:r>
      <w:r w:rsidRPr="00076E3D">
        <w:tab/>
        <w:t>The Minister may revoke an approval of a borrowing institution by notice</w:t>
      </w:r>
      <w:r w:rsidR="00A17503" w:rsidRPr="00076E3D">
        <w:t xml:space="preserve"> given to the institution and</w:t>
      </w:r>
      <w:r w:rsidRPr="00076E3D">
        <w:t xml:space="preserve"> published on the Department</w:t>
      </w:r>
      <w:r w:rsidR="0034215B" w:rsidRPr="00076E3D">
        <w:t>’</w:t>
      </w:r>
      <w:r w:rsidRPr="00076E3D">
        <w:t>s website if the Minister is satisfied:</w:t>
      </w:r>
    </w:p>
    <w:p w:rsidR="00281D00" w:rsidRPr="00076E3D" w:rsidRDefault="00281D00" w:rsidP="00076E3D">
      <w:pPr>
        <w:pStyle w:val="paragraph"/>
      </w:pPr>
      <w:r w:rsidRPr="00076E3D">
        <w:tab/>
        <w:t>(a)</w:t>
      </w:r>
      <w:r w:rsidRPr="00076E3D">
        <w:tab/>
        <w:t>that there has been:</w:t>
      </w:r>
    </w:p>
    <w:p w:rsidR="00281D00" w:rsidRPr="00076E3D" w:rsidRDefault="00281D00" w:rsidP="00076E3D">
      <w:pPr>
        <w:pStyle w:val="paragraphsub"/>
      </w:pPr>
      <w:r w:rsidRPr="00076E3D">
        <w:tab/>
        <w:t>(i)</w:t>
      </w:r>
      <w:r w:rsidRPr="00076E3D">
        <w:tab/>
        <w:t xml:space="preserve">a contravention of </w:t>
      </w:r>
      <w:r w:rsidR="00BD5AE5" w:rsidRPr="00076E3D">
        <w:t>a regulation</w:t>
      </w:r>
      <w:r w:rsidRPr="00076E3D">
        <w:t xml:space="preserve"> involving the institution; or</w:t>
      </w:r>
    </w:p>
    <w:p w:rsidR="00281D00" w:rsidRPr="00076E3D" w:rsidRDefault="00281D00" w:rsidP="00076E3D">
      <w:pPr>
        <w:pStyle w:val="paragraphsub"/>
      </w:pPr>
      <w:r w:rsidRPr="00076E3D">
        <w:tab/>
        <w:t>(ii)</w:t>
      </w:r>
      <w:r w:rsidRPr="00076E3D">
        <w:tab/>
      </w:r>
      <w:r w:rsidR="00675695" w:rsidRPr="00076E3D">
        <w:t>a contravention of any conditions on the approval; or</w:t>
      </w:r>
    </w:p>
    <w:p w:rsidR="00675695" w:rsidRPr="00076E3D" w:rsidRDefault="00675695" w:rsidP="00076E3D">
      <w:pPr>
        <w:pStyle w:val="paragraph"/>
      </w:pPr>
      <w:r w:rsidRPr="00076E3D">
        <w:tab/>
        <w:t>(b)</w:t>
      </w:r>
      <w:r w:rsidRPr="00076E3D">
        <w:tab/>
      </w:r>
      <w:r w:rsidR="002C3530" w:rsidRPr="00076E3D">
        <w:t xml:space="preserve">that the approval should be revoked, having regard to the matters described in paragraphs </w:t>
      </w:r>
      <w:r w:rsidR="00F35CDF" w:rsidRPr="00076E3D">
        <w:t>15</w:t>
      </w:r>
      <w:r w:rsidR="002C3530" w:rsidRPr="00076E3D">
        <w:t>(2)(a), (b), (c)</w:t>
      </w:r>
      <w:r w:rsidR="00B3390D" w:rsidRPr="00076E3D">
        <w:t>, (d)</w:t>
      </w:r>
      <w:r w:rsidR="00AA3B2C" w:rsidRPr="00076E3D">
        <w:t>, (e)</w:t>
      </w:r>
      <w:r w:rsidR="00B3390D" w:rsidRPr="00076E3D">
        <w:t xml:space="preserve"> </w:t>
      </w:r>
      <w:r w:rsidR="002C3530" w:rsidRPr="00076E3D">
        <w:t>and (</w:t>
      </w:r>
      <w:r w:rsidR="00AA3B2C" w:rsidRPr="00076E3D">
        <w:t>f</w:t>
      </w:r>
      <w:r w:rsidR="002C3530" w:rsidRPr="00076E3D">
        <w:t>) and any other relevant matters.</w:t>
      </w:r>
    </w:p>
    <w:p w:rsidR="00281D00" w:rsidRPr="00076E3D" w:rsidRDefault="00281D00" w:rsidP="00076E3D">
      <w:pPr>
        <w:pStyle w:val="subsection"/>
      </w:pPr>
      <w:r w:rsidRPr="00076E3D">
        <w:tab/>
        <w:t>(2)</w:t>
      </w:r>
      <w:r w:rsidRPr="00076E3D">
        <w:tab/>
        <w:t xml:space="preserve">A notice under </w:t>
      </w:r>
      <w:r w:rsidR="00076E3D" w:rsidRPr="00076E3D">
        <w:t>subsection (</w:t>
      </w:r>
      <w:r w:rsidRPr="00076E3D">
        <w:t>1) is not a legislative instrument.</w:t>
      </w:r>
    </w:p>
    <w:p w:rsidR="009A4A2B" w:rsidRPr="00076E3D" w:rsidRDefault="009A4A2B" w:rsidP="00076E3D">
      <w:pPr>
        <w:pStyle w:val="PageBreak"/>
      </w:pPr>
      <w:r w:rsidRPr="00076E3D">
        <w:br w:type="page"/>
      </w:r>
    </w:p>
    <w:p w:rsidR="009A4A2B" w:rsidRPr="00076E3D" w:rsidRDefault="00DF3234" w:rsidP="00076E3D">
      <w:pPr>
        <w:pStyle w:val="ActHead3"/>
      </w:pPr>
      <w:bookmarkStart w:id="24" w:name="_Toc351461610"/>
      <w:r w:rsidRPr="00076E3D">
        <w:rPr>
          <w:rStyle w:val="CharDivNo"/>
        </w:rPr>
        <w:lastRenderedPageBreak/>
        <w:t>Division</w:t>
      </w:r>
      <w:r w:rsidR="00076E3D" w:rsidRPr="00076E3D">
        <w:rPr>
          <w:rStyle w:val="CharDivNo"/>
        </w:rPr>
        <w:t> </w:t>
      </w:r>
      <w:r w:rsidRPr="00076E3D">
        <w:rPr>
          <w:rStyle w:val="CharDivNo"/>
        </w:rPr>
        <w:t>3</w:t>
      </w:r>
      <w:r w:rsidRPr="00076E3D">
        <w:t>—</w:t>
      </w:r>
      <w:r w:rsidRPr="00076E3D">
        <w:rPr>
          <w:rStyle w:val="CharDivText"/>
        </w:rPr>
        <w:t>Review of decisions</w:t>
      </w:r>
      <w:bookmarkEnd w:id="24"/>
    </w:p>
    <w:p w:rsidR="003633A0" w:rsidRPr="00076E3D" w:rsidRDefault="00F35CDF" w:rsidP="00076E3D">
      <w:pPr>
        <w:pStyle w:val="ActHead5"/>
      </w:pPr>
      <w:bookmarkStart w:id="25" w:name="_Toc351461611"/>
      <w:r w:rsidRPr="00076E3D">
        <w:rPr>
          <w:rStyle w:val="CharSectno"/>
        </w:rPr>
        <w:t>18</w:t>
      </w:r>
      <w:r w:rsidR="003633A0" w:rsidRPr="00076E3D">
        <w:t xml:space="preserve">  Review by the Administrative Appeals Tribunal</w:t>
      </w:r>
      <w:bookmarkEnd w:id="25"/>
    </w:p>
    <w:p w:rsidR="003633A0" w:rsidRPr="00076E3D" w:rsidRDefault="003633A0" w:rsidP="00076E3D">
      <w:pPr>
        <w:pStyle w:val="subsection"/>
      </w:pPr>
      <w:r w:rsidRPr="00076E3D">
        <w:tab/>
      </w:r>
      <w:r w:rsidRPr="00076E3D">
        <w:tab/>
        <w:t>Applications may be made to the Administrative Appeals Tribunal for decisions of the Minister:</w:t>
      </w:r>
    </w:p>
    <w:p w:rsidR="003633A0" w:rsidRPr="00076E3D" w:rsidRDefault="003633A0" w:rsidP="00076E3D">
      <w:pPr>
        <w:pStyle w:val="paragraph"/>
      </w:pPr>
      <w:r w:rsidRPr="00076E3D">
        <w:tab/>
        <w:t>(a)</w:t>
      </w:r>
      <w:r w:rsidRPr="00076E3D">
        <w:tab/>
        <w:t>to refuse to approve a borrowing institution under section</w:t>
      </w:r>
      <w:r w:rsidR="00076E3D" w:rsidRPr="00076E3D">
        <w:t> </w:t>
      </w:r>
      <w:r w:rsidR="00F35CDF" w:rsidRPr="00076E3D">
        <w:t>15</w:t>
      </w:r>
      <w:r w:rsidRPr="00076E3D">
        <w:t>; or</w:t>
      </w:r>
    </w:p>
    <w:p w:rsidR="003633A0" w:rsidRPr="00076E3D" w:rsidRDefault="003633A0" w:rsidP="00076E3D">
      <w:pPr>
        <w:pStyle w:val="paragraph"/>
      </w:pPr>
      <w:r w:rsidRPr="00076E3D">
        <w:tab/>
        <w:t>(b)</w:t>
      </w:r>
      <w:r w:rsidRPr="00076E3D">
        <w:tab/>
        <w:t>to impose or vary under section</w:t>
      </w:r>
      <w:r w:rsidR="00076E3D" w:rsidRPr="00076E3D">
        <w:t> </w:t>
      </w:r>
      <w:r w:rsidR="00F35CDF" w:rsidRPr="00076E3D">
        <w:t>16</w:t>
      </w:r>
      <w:r w:rsidRPr="00076E3D">
        <w:t xml:space="preserve"> a condition on the approval of a borrowing institution; or</w:t>
      </w:r>
    </w:p>
    <w:p w:rsidR="003633A0" w:rsidRPr="00076E3D" w:rsidRDefault="003633A0" w:rsidP="00076E3D">
      <w:pPr>
        <w:pStyle w:val="paragraph"/>
      </w:pPr>
      <w:r w:rsidRPr="00076E3D">
        <w:tab/>
        <w:t>(c)</w:t>
      </w:r>
      <w:r w:rsidRPr="00076E3D">
        <w:tab/>
        <w:t>to revoke under section</w:t>
      </w:r>
      <w:r w:rsidR="00076E3D" w:rsidRPr="00076E3D">
        <w:t> </w:t>
      </w:r>
      <w:r w:rsidR="00F35CDF" w:rsidRPr="00076E3D">
        <w:t>17</w:t>
      </w:r>
      <w:r w:rsidRPr="00076E3D">
        <w:t xml:space="preserve"> an approval of a borrowing institution.</w:t>
      </w:r>
    </w:p>
    <w:p w:rsidR="009A4A2B" w:rsidRPr="00076E3D" w:rsidRDefault="009A4A2B" w:rsidP="00076E3D">
      <w:pPr>
        <w:pStyle w:val="PageBreak"/>
      </w:pPr>
      <w:r w:rsidRPr="00076E3D">
        <w:br w:type="page"/>
      </w:r>
    </w:p>
    <w:p w:rsidR="009A4A2B" w:rsidRPr="00076E3D" w:rsidRDefault="009A4A2B" w:rsidP="00076E3D">
      <w:pPr>
        <w:pStyle w:val="ActHead2"/>
      </w:pPr>
      <w:bookmarkStart w:id="26" w:name="_Toc351461612"/>
      <w:r w:rsidRPr="00076E3D">
        <w:rPr>
          <w:rStyle w:val="CharPartNo"/>
        </w:rPr>
        <w:lastRenderedPageBreak/>
        <w:t>Part</w:t>
      </w:r>
      <w:r w:rsidR="00076E3D" w:rsidRPr="00076E3D">
        <w:rPr>
          <w:rStyle w:val="CharPartNo"/>
        </w:rPr>
        <w:t> </w:t>
      </w:r>
      <w:r w:rsidRPr="00076E3D">
        <w:rPr>
          <w:rStyle w:val="CharPartNo"/>
        </w:rPr>
        <w:t>4</w:t>
      </w:r>
      <w:r w:rsidRPr="00076E3D">
        <w:t>—</w:t>
      </w:r>
      <w:r w:rsidRPr="00076E3D">
        <w:rPr>
          <w:rStyle w:val="CharPartText"/>
        </w:rPr>
        <w:t>Miscellaneous</w:t>
      </w:r>
      <w:bookmarkEnd w:id="26"/>
    </w:p>
    <w:p w:rsidR="00DF3234" w:rsidRPr="00076E3D" w:rsidRDefault="00DF3234" w:rsidP="00076E3D">
      <w:pPr>
        <w:pStyle w:val="Header"/>
      </w:pPr>
      <w:r w:rsidRPr="00076E3D">
        <w:rPr>
          <w:rStyle w:val="CharDivNo"/>
        </w:rPr>
        <w:t xml:space="preserve"> </w:t>
      </w:r>
      <w:r w:rsidRPr="00076E3D">
        <w:rPr>
          <w:rStyle w:val="CharDivText"/>
        </w:rPr>
        <w:t xml:space="preserve"> </w:t>
      </w:r>
    </w:p>
    <w:p w:rsidR="00DF3234" w:rsidRPr="00076E3D" w:rsidRDefault="00F35CDF" w:rsidP="00076E3D">
      <w:pPr>
        <w:pStyle w:val="ActHead5"/>
      </w:pPr>
      <w:bookmarkStart w:id="27" w:name="_Toc351461613"/>
      <w:r w:rsidRPr="00076E3D">
        <w:rPr>
          <w:rStyle w:val="CharSectno"/>
        </w:rPr>
        <w:t>19</w:t>
      </w:r>
      <w:r w:rsidR="007D0593" w:rsidRPr="00076E3D">
        <w:t xml:space="preserve">  </w:t>
      </w:r>
      <w:r w:rsidR="00DF3234" w:rsidRPr="00076E3D">
        <w:t>Delegation</w:t>
      </w:r>
      <w:bookmarkEnd w:id="27"/>
    </w:p>
    <w:p w:rsidR="00A35E18" w:rsidRPr="00076E3D" w:rsidRDefault="00150F59" w:rsidP="00076E3D">
      <w:pPr>
        <w:pStyle w:val="subsection"/>
      </w:pPr>
      <w:r w:rsidRPr="00076E3D">
        <w:tab/>
      </w:r>
      <w:r w:rsidRPr="00076E3D">
        <w:tab/>
        <w:t>The Minister may, by writing, delegate all or any of his or her functions and powers under this Act, except section</w:t>
      </w:r>
      <w:r w:rsidR="00076E3D" w:rsidRPr="00076E3D">
        <w:t> </w:t>
      </w:r>
      <w:r w:rsidR="00F35CDF" w:rsidRPr="00076E3D">
        <w:t>21</w:t>
      </w:r>
      <w:r w:rsidRPr="00076E3D">
        <w:t>, to an SES employee or acting SES employee in the Department.</w:t>
      </w:r>
    </w:p>
    <w:p w:rsidR="00A35E18" w:rsidRPr="00076E3D" w:rsidRDefault="00150F59" w:rsidP="00076E3D">
      <w:pPr>
        <w:pStyle w:val="notetext"/>
      </w:pPr>
      <w:r w:rsidRPr="00076E3D">
        <w:t>Note:</w:t>
      </w:r>
      <w:r w:rsidRPr="00076E3D">
        <w:tab/>
        <w:t xml:space="preserve">The expressions </w:t>
      </w:r>
      <w:r w:rsidRPr="00076E3D">
        <w:rPr>
          <w:b/>
          <w:i/>
        </w:rPr>
        <w:t>SES employee</w:t>
      </w:r>
      <w:r w:rsidRPr="00076E3D">
        <w:t xml:space="preserve"> and </w:t>
      </w:r>
      <w:r w:rsidRPr="00076E3D">
        <w:rPr>
          <w:b/>
          <w:i/>
        </w:rPr>
        <w:t>acting SES employee</w:t>
      </w:r>
      <w:r w:rsidRPr="00076E3D">
        <w:t xml:space="preserve"> are defined in section</w:t>
      </w:r>
      <w:r w:rsidR="00076E3D" w:rsidRPr="00076E3D">
        <w:t> </w:t>
      </w:r>
      <w:r w:rsidRPr="00076E3D">
        <w:t xml:space="preserve">2B of the </w:t>
      </w:r>
      <w:r w:rsidRPr="00076E3D">
        <w:rPr>
          <w:i/>
        </w:rPr>
        <w:t>Acts Interpretation Act 1901</w:t>
      </w:r>
      <w:r w:rsidRPr="00076E3D">
        <w:t>.</w:t>
      </w:r>
    </w:p>
    <w:p w:rsidR="00A35E18" w:rsidRPr="00076E3D" w:rsidRDefault="00F35CDF" w:rsidP="00076E3D">
      <w:pPr>
        <w:pStyle w:val="ActHead5"/>
      </w:pPr>
      <w:bookmarkStart w:id="28" w:name="_Toc351461614"/>
      <w:r w:rsidRPr="00076E3D">
        <w:rPr>
          <w:rStyle w:val="CharSectno"/>
        </w:rPr>
        <w:t>20</w:t>
      </w:r>
      <w:r w:rsidR="00A35E18" w:rsidRPr="00076E3D">
        <w:t xml:space="preserve">  Compensation for acquisition of property</w:t>
      </w:r>
      <w:bookmarkEnd w:id="28"/>
    </w:p>
    <w:p w:rsidR="00A35E18" w:rsidRPr="00076E3D" w:rsidRDefault="00A35E18" w:rsidP="00076E3D">
      <w:pPr>
        <w:pStyle w:val="subsection"/>
      </w:pPr>
      <w:r w:rsidRPr="00076E3D">
        <w:tab/>
        <w:t>(1)</w:t>
      </w:r>
      <w:r w:rsidRPr="00076E3D">
        <w:tab/>
        <w:t>If the operation of this Act would result in an acquisition of property from a person otherwise than on just terms, the Commonwealth is liable to pay a reasonable amount of compensation to the person.</w:t>
      </w:r>
    </w:p>
    <w:p w:rsidR="00A35E18" w:rsidRPr="00076E3D" w:rsidRDefault="00A35E18" w:rsidP="00076E3D">
      <w:pPr>
        <w:pStyle w:val="subsection"/>
      </w:pPr>
      <w:r w:rsidRPr="00076E3D">
        <w:tab/>
        <w:t>(2)</w:t>
      </w:r>
      <w:r w:rsidRPr="00076E3D">
        <w:tab/>
        <w:t xml:space="preserve">If the Commonwealth and the person do not agree on the amount of the compensation, the person may </w:t>
      </w:r>
      <w:r w:rsidR="001A37A7" w:rsidRPr="00076E3D">
        <w:t>start</w:t>
      </w:r>
      <w:r w:rsidRPr="00076E3D">
        <w:t xml:space="preserve"> proceedings in a court of competent jurisdiction for the recovery from the Commonwealth of such reasonable amount of compensation as the court determines.</w:t>
      </w:r>
    </w:p>
    <w:p w:rsidR="00DF3234" w:rsidRPr="00076E3D" w:rsidRDefault="00F35CDF" w:rsidP="00076E3D">
      <w:pPr>
        <w:pStyle w:val="ActHead5"/>
      </w:pPr>
      <w:bookmarkStart w:id="29" w:name="_Toc351461615"/>
      <w:r w:rsidRPr="00076E3D">
        <w:rPr>
          <w:rStyle w:val="CharSectno"/>
        </w:rPr>
        <w:t>21</w:t>
      </w:r>
      <w:r w:rsidR="002A79F8" w:rsidRPr="00076E3D">
        <w:t xml:space="preserve">  </w:t>
      </w:r>
      <w:r w:rsidR="00DF3234" w:rsidRPr="00076E3D">
        <w:t>Regulations</w:t>
      </w:r>
      <w:bookmarkEnd w:id="29"/>
    </w:p>
    <w:p w:rsidR="00DF3234" w:rsidRPr="00076E3D" w:rsidRDefault="00DF3234" w:rsidP="00076E3D">
      <w:pPr>
        <w:pStyle w:val="subsection"/>
      </w:pPr>
      <w:r w:rsidRPr="00076E3D">
        <w:tab/>
      </w:r>
      <w:r w:rsidR="002A79F8" w:rsidRPr="00076E3D">
        <w:t>(1)</w:t>
      </w:r>
      <w:r w:rsidRPr="00076E3D">
        <w:tab/>
        <w:t>The Governor</w:t>
      </w:r>
      <w:r w:rsidR="00821787">
        <w:noBreakHyphen/>
      </w:r>
      <w:r w:rsidRPr="00076E3D">
        <w:t>General may make regulations prescribing matters:</w:t>
      </w:r>
    </w:p>
    <w:p w:rsidR="00DF3234" w:rsidRPr="00076E3D" w:rsidRDefault="00DF3234" w:rsidP="00076E3D">
      <w:pPr>
        <w:pStyle w:val="paragraph"/>
      </w:pPr>
      <w:r w:rsidRPr="00076E3D">
        <w:tab/>
        <w:t>(a)</w:t>
      </w:r>
      <w:r w:rsidRPr="00076E3D">
        <w:tab/>
        <w:t>required or permitted by this Act to be prescribed; or</w:t>
      </w:r>
    </w:p>
    <w:p w:rsidR="00DF3234" w:rsidRPr="00076E3D" w:rsidRDefault="00DF3234" w:rsidP="00076E3D">
      <w:pPr>
        <w:pStyle w:val="paragraph"/>
      </w:pPr>
      <w:r w:rsidRPr="00076E3D">
        <w:tab/>
        <w:t>(b)</w:t>
      </w:r>
      <w:r w:rsidRPr="00076E3D">
        <w:tab/>
        <w:t>necessary or convenient to be prescribed for carrying out or giving effect to this Act.</w:t>
      </w:r>
    </w:p>
    <w:p w:rsidR="0081764B" w:rsidRPr="00076E3D" w:rsidRDefault="0081764B" w:rsidP="00076E3D">
      <w:pPr>
        <w:pStyle w:val="subsection"/>
      </w:pPr>
      <w:r w:rsidRPr="00076E3D">
        <w:tab/>
        <w:t>(2)</w:t>
      </w:r>
      <w:r w:rsidRPr="00076E3D">
        <w:tab/>
        <w:t>Before the Governor</w:t>
      </w:r>
      <w:r w:rsidR="00821787">
        <w:noBreakHyphen/>
      </w:r>
      <w:r w:rsidRPr="00076E3D">
        <w:t xml:space="preserve">General makes a regulation prescribing a law of the Commonwealth for the purposes of paragraph </w:t>
      </w:r>
      <w:r w:rsidR="00F35CDF" w:rsidRPr="00076E3D">
        <w:t>8</w:t>
      </w:r>
      <w:r w:rsidRPr="00076E3D">
        <w:t>(1)(e), the Minister must be satisfied that the law to be prescribed gives effect to an agreement between Australia and one or more foreign countries or international organisations.</w:t>
      </w:r>
    </w:p>
    <w:p w:rsidR="002A79F8" w:rsidRPr="00076E3D" w:rsidRDefault="0081764B" w:rsidP="00076E3D">
      <w:pPr>
        <w:pStyle w:val="subsection"/>
      </w:pPr>
      <w:r w:rsidRPr="00076E3D">
        <w:tab/>
        <w:t>(3</w:t>
      </w:r>
      <w:r w:rsidR="00460460" w:rsidRPr="00076E3D">
        <w:t>)</w:t>
      </w:r>
      <w:r w:rsidR="00460460" w:rsidRPr="00076E3D">
        <w:tab/>
      </w:r>
      <w:r w:rsidR="00AE4DE4" w:rsidRPr="00076E3D">
        <w:t>A</w:t>
      </w:r>
      <w:r w:rsidR="00460460" w:rsidRPr="00076E3D">
        <w:t xml:space="preserve"> regulation may</w:t>
      </w:r>
      <w:r w:rsidR="00695CFB" w:rsidRPr="00076E3D">
        <w:t xml:space="preserve"> make</w:t>
      </w:r>
      <w:r w:rsidR="00485B30" w:rsidRPr="00076E3D">
        <w:t xml:space="preserve"> provision relating to</w:t>
      </w:r>
      <w:r w:rsidR="00460460" w:rsidRPr="00076E3D">
        <w:t>:</w:t>
      </w:r>
    </w:p>
    <w:p w:rsidR="00485B30" w:rsidRPr="00076E3D" w:rsidRDefault="00460460" w:rsidP="00076E3D">
      <w:pPr>
        <w:pStyle w:val="paragraph"/>
      </w:pPr>
      <w:r w:rsidRPr="00076E3D">
        <w:tab/>
        <w:t>(a)</w:t>
      </w:r>
      <w:r w:rsidRPr="00076E3D">
        <w:tab/>
      </w:r>
      <w:r w:rsidR="00485B30" w:rsidRPr="00076E3D">
        <w:t xml:space="preserve">the consultation by </w:t>
      </w:r>
      <w:r w:rsidR="00836EC0" w:rsidRPr="00076E3D">
        <w:t>borrowing institution</w:t>
      </w:r>
      <w:r w:rsidR="00F1537B" w:rsidRPr="00076E3D">
        <w:t>s</w:t>
      </w:r>
      <w:r w:rsidR="00836EC0" w:rsidRPr="00076E3D">
        <w:t>, or the</w:t>
      </w:r>
      <w:r w:rsidR="00F1537B" w:rsidRPr="00076E3D">
        <w:t>ir</w:t>
      </w:r>
      <w:r w:rsidR="00836EC0" w:rsidRPr="00076E3D">
        <w:t xml:space="preserve"> parent</w:t>
      </w:r>
      <w:r w:rsidR="00F1537B" w:rsidRPr="00076E3D">
        <w:t>s</w:t>
      </w:r>
      <w:r w:rsidR="00836EC0" w:rsidRPr="00076E3D">
        <w:t xml:space="preserve">, </w:t>
      </w:r>
      <w:r w:rsidR="00485B30" w:rsidRPr="00076E3D">
        <w:t>of members of communities, or organisations representing them, about proposed loans</w:t>
      </w:r>
      <w:r w:rsidR="00AE4DE4" w:rsidRPr="00076E3D">
        <w:t xml:space="preserve"> of objects relating to those </w:t>
      </w:r>
      <w:r w:rsidR="00AE4DE4" w:rsidRPr="00076E3D">
        <w:lastRenderedPageBreak/>
        <w:t>communities</w:t>
      </w:r>
      <w:r w:rsidR="00485B30" w:rsidRPr="00076E3D">
        <w:t xml:space="preserve"> </w:t>
      </w:r>
      <w:r w:rsidR="00AE4DE4" w:rsidRPr="00076E3D">
        <w:t xml:space="preserve">to the institutions or parents </w:t>
      </w:r>
      <w:r w:rsidR="00485B30" w:rsidRPr="00076E3D">
        <w:t>by lenders</w:t>
      </w:r>
      <w:r w:rsidR="00AE4DE4" w:rsidRPr="00076E3D">
        <w:t xml:space="preserve"> or exhibition facilitators</w:t>
      </w:r>
      <w:r w:rsidR="00485B30" w:rsidRPr="00076E3D">
        <w:t>; and</w:t>
      </w:r>
    </w:p>
    <w:p w:rsidR="002E4C06" w:rsidRPr="00076E3D" w:rsidRDefault="002E4C06" w:rsidP="00076E3D">
      <w:pPr>
        <w:pStyle w:val="paragraph"/>
      </w:pPr>
      <w:r w:rsidRPr="00076E3D">
        <w:tab/>
        <w:t>(b)</w:t>
      </w:r>
      <w:r w:rsidRPr="00076E3D">
        <w:tab/>
        <w:t>the consultation by borrowing institutions, or their parents, of persons or bodies responsible for archives</w:t>
      </w:r>
      <w:r w:rsidR="000F613B" w:rsidRPr="00076E3D">
        <w:t xml:space="preserve"> of States or Territories about proposed loans of objects relevant to those archives</w:t>
      </w:r>
      <w:r w:rsidR="00AE4DE4" w:rsidRPr="00076E3D">
        <w:t xml:space="preserve"> to the institutions or parents by lenders or exhibition facilitators</w:t>
      </w:r>
      <w:r w:rsidR="000F613B" w:rsidRPr="00076E3D">
        <w:t>; and</w:t>
      </w:r>
    </w:p>
    <w:p w:rsidR="00485B30" w:rsidRPr="00076E3D" w:rsidRDefault="002E4C06" w:rsidP="00076E3D">
      <w:pPr>
        <w:pStyle w:val="paragraph"/>
      </w:pPr>
      <w:r w:rsidRPr="00076E3D">
        <w:tab/>
        <w:t>(c</w:t>
      </w:r>
      <w:r w:rsidR="00485B30" w:rsidRPr="00076E3D">
        <w:t>)</w:t>
      </w:r>
      <w:r w:rsidR="00485B30" w:rsidRPr="00076E3D">
        <w:tab/>
        <w:t>the publication of information by borrowing institutions or their parents about objects proposed to be lent to them by lenders</w:t>
      </w:r>
      <w:r w:rsidR="00AE4DE4" w:rsidRPr="00076E3D">
        <w:t xml:space="preserve"> or exhibition facilitators</w:t>
      </w:r>
      <w:r w:rsidR="00485B30" w:rsidRPr="00076E3D">
        <w:t>; and</w:t>
      </w:r>
    </w:p>
    <w:p w:rsidR="00387778" w:rsidRPr="00076E3D" w:rsidRDefault="002E4C06" w:rsidP="00076E3D">
      <w:pPr>
        <w:pStyle w:val="paragraph"/>
      </w:pPr>
      <w:r w:rsidRPr="00076E3D">
        <w:tab/>
        <w:t>(d</w:t>
      </w:r>
      <w:r w:rsidR="00387778" w:rsidRPr="00076E3D">
        <w:t>)</w:t>
      </w:r>
      <w:r w:rsidR="00387778" w:rsidRPr="00076E3D">
        <w:tab/>
        <w:t>the action to be taken by a borrowing institution, or a parent of a borrowing institution, if it becomes aware of an act or event:</w:t>
      </w:r>
    </w:p>
    <w:p w:rsidR="00387778" w:rsidRPr="00076E3D" w:rsidRDefault="00387778" w:rsidP="00076E3D">
      <w:pPr>
        <w:pStyle w:val="paragraphsub"/>
      </w:pPr>
      <w:r w:rsidRPr="00076E3D">
        <w:tab/>
        <w:t>(i)</w:t>
      </w:r>
      <w:r w:rsidRPr="00076E3D">
        <w:tab/>
        <w:t>that relates to an object to which Part</w:t>
      </w:r>
      <w:r w:rsidR="00076E3D" w:rsidRPr="00076E3D">
        <w:t> </w:t>
      </w:r>
      <w:r w:rsidRPr="00076E3D">
        <w:t>2 applies in connection with the institution; and</w:t>
      </w:r>
    </w:p>
    <w:p w:rsidR="00387778" w:rsidRPr="00076E3D" w:rsidRDefault="00387778" w:rsidP="00076E3D">
      <w:pPr>
        <w:pStyle w:val="paragraphsub"/>
      </w:pPr>
      <w:r w:rsidRPr="00076E3D">
        <w:tab/>
        <w:t>(ii)</w:t>
      </w:r>
      <w:r w:rsidRPr="00076E3D">
        <w:tab/>
        <w:t>that the institution or parent believes may be or lead to a contravention of Part</w:t>
      </w:r>
      <w:r w:rsidR="00076E3D" w:rsidRPr="00076E3D">
        <w:t> </w:t>
      </w:r>
      <w:r w:rsidRPr="00076E3D">
        <w:t>2; and</w:t>
      </w:r>
    </w:p>
    <w:p w:rsidR="00DF1B9D" w:rsidRPr="00076E3D" w:rsidRDefault="001834F9" w:rsidP="00076E3D">
      <w:pPr>
        <w:pStyle w:val="paragraph"/>
      </w:pPr>
      <w:r w:rsidRPr="00076E3D">
        <w:tab/>
        <w:t>(</w:t>
      </w:r>
      <w:r w:rsidR="002E4C06" w:rsidRPr="00076E3D">
        <w:t>e</w:t>
      </w:r>
      <w:r w:rsidRPr="00076E3D">
        <w:t>)</w:t>
      </w:r>
      <w:r w:rsidRPr="00076E3D">
        <w:tab/>
      </w:r>
      <w:r w:rsidR="00F1537B" w:rsidRPr="00076E3D">
        <w:t>the giving to the Minister of reports on activities</w:t>
      </w:r>
      <w:r w:rsidR="00DF1B9D" w:rsidRPr="00076E3D">
        <w:t xml:space="preserve"> of borrowing </w:t>
      </w:r>
      <w:r w:rsidR="00F75572" w:rsidRPr="00076E3D">
        <w:t>institutions</w:t>
      </w:r>
      <w:r w:rsidR="00DF1B9D" w:rsidRPr="00076E3D">
        <w:t xml:space="preserve"> relevant to the operation of this Act </w:t>
      </w:r>
      <w:r w:rsidR="00695CFB" w:rsidRPr="00076E3D">
        <w:t xml:space="preserve">or </w:t>
      </w:r>
      <w:r w:rsidR="00C55CCB" w:rsidRPr="00076E3D">
        <w:t>a regulation</w:t>
      </w:r>
      <w:r w:rsidR="00695CFB" w:rsidRPr="00076E3D">
        <w:t xml:space="preserve"> </w:t>
      </w:r>
      <w:r w:rsidR="00DF1B9D" w:rsidRPr="00076E3D">
        <w:t>in a financial year by the next 31</w:t>
      </w:r>
      <w:r w:rsidR="00076E3D" w:rsidRPr="00076E3D">
        <w:t> </w:t>
      </w:r>
      <w:r w:rsidR="00DF1B9D" w:rsidRPr="00076E3D">
        <w:t>October after the financial year; and</w:t>
      </w:r>
    </w:p>
    <w:p w:rsidR="00DF1B9D" w:rsidRPr="00076E3D" w:rsidRDefault="00485B30" w:rsidP="00076E3D">
      <w:pPr>
        <w:pStyle w:val="paragraph"/>
      </w:pPr>
      <w:r w:rsidRPr="00076E3D">
        <w:tab/>
        <w:t>(</w:t>
      </w:r>
      <w:r w:rsidR="002E4C06" w:rsidRPr="00076E3D">
        <w:t>f</w:t>
      </w:r>
      <w:r w:rsidR="00DF1B9D" w:rsidRPr="00076E3D">
        <w:t>)</w:t>
      </w:r>
      <w:r w:rsidR="00DF1B9D" w:rsidRPr="00076E3D">
        <w:tab/>
        <w:t xml:space="preserve">the giving to the Minister of other reports </w:t>
      </w:r>
      <w:r w:rsidR="003E3572" w:rsidRPr="00076E3D">
        <w:t>relevant to the operation of this Act</w:t>
      </w:r>
      <w:r w:rsidR="00695CFB" w:rsidRPr="00076E3D">
        <w:t xml:space="preserve"> or </w:t>
      </w:r>
      <w:r w:rsidR="00C55CCB" w:rsidRPr="00076E3D">
        <w:t>a</w:t>
      </w:r>
      <w:r w:rsidR="00695CFB" w:rsidRPr="00076E3D">
        <w:t xml:space="preserve"> regulation</w:t>
      </w:r>
      <w:r w:rsidR="003E3572" w:rsidRPr="00076E3D">
        <w:t>.</w:t>
      </w:r>
    </w:p>
    <w:p w:rsidR="00821787" w:rsidRDefault="00460460" w:rsidP="00076E3D">
      <w:pPr>
        <w:pStyle w:val="subsection2"/>
      </w:pPr>
      <w:r w:rsidRPr="00076E3D">
        <w:t xml:space="preserve">This does not limit </w:t>
      </w:r>
      <w:r w:rsidR="00076E3D" w:rsidRPr="00076E3D">
        <w:t>subsection (</w:t>
      </w:r>
      <w:r w:rsidRPr="00076E3D">
        <w:t>1).</w:t>
      </w:r>
    </w:p>
    <w:p w:rsidR="007E5950" w:rsidRDefault="007E5950" w:rsidP="007E5950">
      <w:pPr>
        <w:pStyle w:val="subsection"/>
        <w:sectPr w:rsidR="007E5950" w:rsidSect="007E595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238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B81AAC" w:rsidRDefault="00B81AAC">
      <w:pPr>
        <w:pStyle w:val="2ndRd"/>
        <w:keepNext/>
        <w:spacing w:line="260" w:lineRule="atLeast"/>
        <w:rPr>
          <w:i/>
        </w:rPr>
      </w:pPr>
      <w:r>
        <w:lastRenderedPageBreak/>
        <w:t xml:space="preserve"> [</w:t>
      </w:r>
      <w:r>
        <w:rPr>
          <w:i/>
        </w:rPr>
        <w:t>Minister’s second reading speech made in—</w:t>
      </w:r>
    </w:p>
    <w:p w:rsidR="00B81AAC" w:rsidRDefault="00B81AAC">
      <w:pPr>
        <w:pStyle w:val="2ndRd"/>
        <w:keepNext/>
        <w:spacing w:line="260" w:lineRule="atLeast"/>
        <w:rPr>
          <w:i/>
        </w:rPr>
      </w:pPr>
      <w:r>
        <w:rPr>
          <w:i/>
        </w:rPr>
        <w:t xml:space="preserve">House of Representatives on </w:t>
      </w:r>
      <w:r w:rsidRPr="00B81AAC">
        <w:rPr>
          <w:i/>
        </w:rPr>
        <w:t>28 November 2012</w:t>
      </w:r>
    </w:p>
    <w:p w:rsidR="00B81AAC" w:rsidRDefault="00B81AAC">
      <w:pPr>
        <w:pStyle w:val="2ndRd"/>
        <w:keepNext/>
        <w:spacing w:line="260" w:lineRule="atLeast"/>
        <w:rPr>
          <w:i/>
        </w:rPr>
      </w:pPr>
      <w:r>
        <w:rPr>
          <w:i/>
        </w:rPr>
        <w:t xml:space="preserve">Senate on </w:t>
      </w:r>
      <w:r w:rsidRPr="00B81AAC">
        <w:rPr>
          <w:i/>
        </w:rPr>
        <w:t>28 February 2013</w:t>
      </w:r>
      <w:r>
        <w:t>]</w:t>
      </w:r>
    </w:p>
    <w:p w:rsidR="00B81AAC" w:rsidRDefault="00B81AAC" w:rsidP="00B81AAC">
      <w:pPr>
        <w:framePr w:hSpace="180" w:wrap="around" w:vAnchor="text" w:hAnchor="page" w:x="2425" w:y="9392"/>
      </w:pPr>
      <w:r>
        <w:t>(212/12)</w:t>
      </w:r>
    </w:p>
    <w:p w:rsidR="00B81AAC" w:rsidRDefault="00B81AAC"/>
    <w:sectPr w:rsidR="00B81AAC" w:rsidSect="007E595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238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11" w:rsidRDefault="005A2311" w:rsidP="00715914">
      <w:pPr>
        <w:spacing w:line="240" w:lineRule="auto"/>
      </w:pPr>
      <w:r>
        <w:separator/>
      </w:r>
    </w:p>
  </w:endnote>
  <w:endnote w:type="continuationSeparator" w:id="0">
    <w:p w:rsidR="005A2311" w:rsidRDefault="005A231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D3" w:rsidRDefault="002A7AD3" w:rsidP="00076E3D">
    <w:pPr>
      <w:pStyle w:val="Footer"/>
      <w:spacing w:before="12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0" w:rsidRPr="007A1328" w:rsidRDefault="007E5950" w:rsidP="00076E3D">
    <w:pPr>
      <w:pBdr>
        <w:top w:val="single" w:sz="6" w:space="1" w:color="auto"/>
      </w:pBdr>
      <w:spacing w:before="120"/>
      <w:rPr>
        <w:sz w:val="18"/>
      </w:rPr>
    </w:pPr>
  </w:p>
  <w:p w:rsidR="007E5950" w:rsidRDefault="007E5950" w:rsidP="00715914">
    <w:pPr>
      <w:jc w:val="right"/>
      <w:rPr>
        <w:i/>
        <w:sz w:val="18"/>
      </w:rPr>
    </w:pP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     </w:t>
    </w:r>
    <w:r w:rsidRPr="007A1328">
      <w:rPr>
        <w:i/>
        <w:sz w:val="18"/>
      </w:rPr>
      <w:fldChar w:fldCharType="begin"/>
    </w:r>
    <w:r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5C290F">
      <w:rPr>
        <w:i/>
        <w:noProof/>
        <w:sz w:val="18"/>
      </w:rPr>
      <w:t>20</w:t>
    </w:r>
    <w:r w:rsidRPr="007A1328">
      <w:rPr>
        <w:i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0" w:rsidRPr="007A1328" w:rsidRDefault="007E5950" w:rsidP="00076E3D">
    <w:pPr>
      <w:pBdr>
        <w:top w:val="single" w:sz="6" w:space="1" w:color="auto"/>
      </w:pBdr>
      <w:spacing w:before="120"/>
      <w:rPr>
        <w:sz w:val="18"/>
      </w:rPr>
    </w:pPr>
  </w:p>
  <w:p w:rsidR="007E5950" w:rsidRDefault="007E5950" w:rsidP="00715914">
    <w:pPr>
      <w:jc w:val="right"/>
      <w:rPr>
        <w:i/>
        <w:sz w:val="18"/>
      </w:rPr>
    </w:pP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5C290F">
      <w:rPr>
        <w:i/>
        <w:noProof/>
        <w:sz w:val="18"/>
      </w:rPr>
      <w:t>20</w:t>
    </w:r>
    <w:r w:rsidRPr="007A1328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AC" w:rsidRDefault="00B81AAC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B81AAC" w:rsidRDefault="00B81AAC"/>
  <w:p w:rsidR="002A7AD3" w:rsidRDefault="002A7AD3" w:rsidP="00076E3D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D3" w:rsidRDefault="002A7AD3" w:rsidP="00076E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ED79B6" w:rsidRDefault="005A2311" w:rsidP="00076E3D">
    <w:pPr>
      <w:pBdr>
        <w:top w:val="single" w:sz="6" w:space="1" w:color="auto"/>
      </w:pBdr>
      <w:spacing w:before="120"/>
      <w:rPr>
        <w:sz w:val="18"/>
      </w:rPr>
    </w:pPr>
  </w:p>
  <w:p w:rsidR="002A7AD3" w:rsidRDefault="005A2311" w:rsidP="00715914">
    <w:pPr>
      <w:jc w:val="right"/>
      <w:rPr>
        <w:i/>
        <w:sz w:val="18"/>
      </w:rPr>
    </w:pPr>
    <w:r w:rsidRPr="00ED79B6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ED79B6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ED79B6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5C290F">
      <w:rPr>
        <w:i/>
        <w:noProof/>
        <w:sz w:val="18"/>
      </w:rPr>
      <w:t>xx</w:t>
    </w:r>
    <w:r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ED79B6" w:rsidRDefault="005A2311" w:rsidP="00076E3D">
    <w:pPr>
      <w:pBdr>
        <w:top w:val="single" w:sz="6" w:space="1" w:color="auto"/>
      </w:pBdr>
      <w:spacing w:before="120"/>
      <w:rPr>
        <w:sz w:val="18"/>
      </w:rPr>
    </w:pPr>
  </w:p>
  <w:p w:rsidR="002A7AD3" w:rsidRDefault="005A2311" w:rsidP="00715914">
    <w:pPr>
      <w:rPr>
        <w:i/>
        <w:sz w:val="18"/>
      </w:rPr>
    </w:pP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5C290F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ED79B6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ED79B6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ED79B6">
      <w:rPr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7A1328" w:rsidRDefault="005A2311" w:rsidP="00076E3D">
    <w:pPr>
      <w:pBdr>
        <w:top w:val="single" w:sz="6" w:space="1" w:color="auto"/>
      </w:pBdr>
      <w:spacing w:before="120"/>
      <w:rPr>
        <w:sz w:val="18"/>
      </w:rPr>
    </w:pPr>
  </w:p>
  <w:p w:rsidR="002A7AD3" w:rsidRDefault="005A2311" w:rsidP="00715914">
    <w:pPr>
      <w:rPr>
        <w:i/>
        <w:sz w:val="18"/>
      </w:rPr>
    </w:pPr>
    <w:r w:rsidRPr="007A1328">
      <w:rPr>
        <w:i/>
        <w:sz w:val="18"/>
      </w:rPr>
      <w:fldChar w:fldCharType="begin"/>
    </w:r>
    <w:r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5C290F">
      <w:rPr>
        <w:i/>
        <w:noProof/>
        <w:sz w:val="18"/>
      </w:rPr>
      <w:t>2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7A1328">
      <w:rPr>
        <w:i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7A1328" w:rsidRDefault="005A2311" w:rsidP="00076E3D">
    <w:pPr>
      <w:pBdr>
        <w:top w:val="single" w:sz="6" w:space="1" w:color="auto"/>
      </w:pBdr>
      <w:spacing w:before="120"/>
      <w:rPr>
        <w:sz w:val="18"/>
      </w:rPr>
    </w:pPr>
  </w:p>
  <w:p w:rsidR="002A7AD3" w:rsidRDefault="005A2311" w:rsidP="00715914">
    <w:pPr>
      <w:jc w:val="right"/>
      <w:rPr>
        <w:i/>
        <w:sz w:val="18"/>
      </w:rPr>
    </w:pP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     </w:t>
    </w:r>
    <w:r w:rsidRPr="007A1328">
      <w:rPr>
        <w:i/>
        <w:sz w:val="18"/>
      </w:rPr>
      <w:fldChar w:fldCharType="begin"/>
    </w:r>
    <w:r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5C290F">
      <w:rPr>
        <w:i/>
        <w:noProof/>
        <w:sz w:val="18"/>
      </w:rPr>
      <w:t>19</w:t>
    </w:r>
    <w:r w:rsidRPr="007A1328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7A1328" w:rsidRDefault="005A2311" w:rsidP="00076E3D">
    <w:pPr>
      <w:pBdr>
        <w:top w:val="single" w:sz="6" w:space="1" w:color="auto"/>
      </w:pBdr>
      <w:spacing w:before="120"/>
      <w:rPr>
        <w:sz w:val="18"/>
      </w:rPr>
    </w:pPr>
  </w:p>
  <w:p w:rsidR="002A7AD3" w:rsidRDefault="005A2311" w:rsidP="00715914">
    <w:pPr>
      <w:jc w:val="right"/>
      <w:rPr>
        <w:i/>
        <w:sz w:val="18"/>
      </w:rPr>
    </w:pP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5C290F">
      <w:rPr>
        <w:i/>
        <w:noProof/>
        <w:sz w:val="18"/>
      </w:rPr>
      <w:t>1</w:t>
    </w:r>
    <w:r w:rsidRPr="007A1328">
      <w:rPr>
        <w:i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0" w:rsidRPr="007A1328" w:rsidRDefault="007E5950" w:rsidP="00076E3D">
    <w:pPr>
      <w:pBdr>
        <w:top w:val="single" w:sz="6" w:space="1" w:color="auto"/>
      </w:pBdr>
      <w:spacing w:before="120"/>
      <w:rPr>
        <w:sz w:val="18"/>
      </w:rPr>
    </w:pPr>
  </w:p>
  <w:p w:rsidR="007E5950" w:rsidRDefault="007E5950" w:rsidP="00715914">
    <w:pPr>
      <w:rPr>
        <w:i/>
        <w:sz w:val="18"/>
      </w:rPr>
    </w:pPr>
    <w:r w:rsidRPr="007A1328">
      <w:rPr>
        <w:i/>
        <w:sz w:val="18"/>
      </w:rPr>
      <w:fldChar w:fldCharType="begin"/>
    </w:r>
    <w:r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5C290F">
      <w:rPr>
        <w:i/>
        <w:noProof/>
        <w:sz w:val="18"/>
      </w:rPr>
      <w:t>20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Protection of Cultural Objects on Loan Act 2013</w:t>
    </w:r>
    <w:r w:rsidRPr="007A1328">
      <w:rPr>
        <w:i/>
        <w:sz w:val="18"/>
      </w:rPr>
      <w:fldChar w:fldCharType="end"/>
    </w:r>
    <w:r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5C290F">
      <w:rPr>
        <w:i/>
        <w:sz w:val="18"/>
      </w:rPr>
      <w:t>No. 12, 2013</w:t>
    </w:r>
    <w:r w:rsidRPr="007A1328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11" w:rsidRDefault="005A2311" w:rsidP="00715914">
      <w:pPr>
        <w:spacing w:line="240" w:lineRule="auto"/>
      </w:pPr>
      <w:r>
        <w:separator/>
      </w:r>
    </w:p>
  </w:footnote>
  <w:footnote w:type="continuationSeparator" w:id="0">
    <w:p w:rsidR="005A2311" w:rsidRDefault="005A231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5F1388" w:rsidRDefault="005A2311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0" w:rsidRDefault="007E5950" w:rsidP="00715914">
    <w:pPr>
      <w:rPr>
        <w:sz w:val="20"/>
      </w:rPr>
    </w:pPr>
  </w:p>
  <w:p w:rsidR="007E5950" w:rsidRDefault="007E5950" w:rsidP="00715914">
    <w:pPr>
      <w:rPr>
        <w:sz w:val="20"/>
      </w:rPr>
    </w:pPr>
  </w:p>
  <w:p w:rsidR="007E5950" w:rsidRPr="007A1328" w:rsidRDefault="007E5950" w:rsidP="00715914">
    <w:pPr>
      <w:rPr>
        <w:sz w:val="20"/>
      </w:rPr>
    </w:pPr>
  </w:p>
  <w:p w:rsidR="007E5950" w:rsidRPr="007A1328" w:rsidRDefault="007E5950" w:rsidP="00715914">
    <w:pPr>
      <w:rPr>
        <w:b/>
        <w:sz w:val="24"/>
      </w:rPr>
    </w:pPr>
  </w:p>
  <w:p w:rsidR="007E5950" w:rsidRPr="007A1328" w:rsidRDefault="007E5950" w:rsidP="00715914">
    <w:pPr>
      <w:pBdr>
        <w:bottom w:val="single" w:sz="6" w:space="1" w:color="auto"/>
      </w:pBdr>
      <w:rPr>
        <w:sz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0" w:rsidRPr="007A1328" w:rsidRDefault="007E5950" w:rsidP="00715914">
    <w:pPr>
      <w:jc w:val="right"/>
      <w:rPr>
        <w:sz w:val="20"/>
      </w:rPr>
    </w:pPr>
  </w:p>
  <w:p w:rsidR="007E5950" w:rsidRPr="007A1328" w:rsidRDefault="007E5950" w:rsidP="00715914">
    <w:pPr>
      <w:jc w:val="right"/>
      <w:rPr>
        <w:sz w:val="20"/>
      </w:rPr>
    </w:pPr>
  </w:p>
  <w:p w:rsidR="007E5950" w:rsidRPr="007A1328" w:rsidRDefault="007E5950" w:rsidP="00715914">
    <w:pPr>
      <w:jc w:val="right"/>
      <w:rPr>
        <w:sz w:val="20"/>
      </w:rPr>
    </w:pPr>
  </w:p>
  <w:p w:rsidR="007E5950" w:rsidRPr="007A1328" w:rsidRDefault="007E5950" w:rsidP="00715914">
    <w:pPr>
      <w:jc w:val="right"/>
      <w:rPr>
        <w:b/>
        <w:sz w:val="24"/>
      </w:rPr>
    </w:pPr>
  </w:p>
  <w:p w:rsidR="007E5950" w:rsidRPr="007A1328" w:rsidRDefault="007E5950" w:rsidP="00715914">
    <w:pPr>
      <w:pBdr>
        <w:bottom w:val="single" w:sz="6" w:space="1" w:color="auto"/>
      </w:pBdr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50" w:rsidRPr="007A1328" w:rsidRDefault="007E5950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5F1388" w:rsidRDefault="005A231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5F1388" w:rsidRDefault="005A231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ED79B6" w:rsidRDefault="005A2311" w:rsidP="00715914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ED79B6" w:rsidRDefault="005A2311" w:rsidP="00715914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ED79B6" w:rsidRDefault="005A231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Default="005A231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A2311" w:rsidRDefault="005A231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5C290F">
      <w:rPr>
        <w:b/>
        <w:sz w:val="20"/>
      </w:rPr>
      <w:fldChar w:fldCharType="separate"/>
    </w:r>
    <w:r w:rsidR="005C290F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5C290F">
      <w:rPr>
        <w:sz w:val="20"/>
      </w:rPr>
      <w:fldChar w:fldCharType="separate"/>
    </w:r>
    <w:r w:rsidR="005C290F">
      <w:rPr>
        <w:noProof/>
        <w:sz w:val="20"/>
      </w:rPr>
      <w:t>Preliminary</w:t>
    </w:r>
    <w:r>
      <w:rPr>
        <w:sz w:val="20"/>
      </w:rPr>
      <w:fldChar w:fldCharType="end"/>
    </w:r>
  </w:p>
  <w:p w:rsidR="005A2311" w:rsidRPr="007A1328" w:rsidRDefault="005A231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A2311" w:rsidRPr="007A1328" w:rsidRDefault="005A2311" w:rsidP="00715914">
    <w:pPr>
      <w:rPr>
        <w:b/>
        <w:sz w:val="24"/>
      </w:rPr>
    </w:pPr>
  </w:p>
  <w:p w:rsidR="005A2311" w:rsidRPr="007A1328" w:rsidRDefault="005A2311" w:rsidP="00715914">
    <w:pPr>
      <w:pBdr>
        <w:bottom w:val="single" w:sz="6" w:space="1" w:color="auto"/>
      </w:pBdr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C290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7A1328" w:rsidRDefault="005A231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A2311" w:rsidRPr="007A1328" w:rsidRDefault="005A231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C290F">
      <w:rPr>
        <w:sz w:val="20"/>
      </w:rPr>
      <w:fldChar w:fldCharType="separate"/>
    </w:r>
    <w:r w:rsidR="005C290F">
      <w:rPr>
        <w:noProof/>
        <w:sz w:val="20"/>
      </w:rPr>
      <w:t>Miscellaneous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C290F">
      <w:rPr>
        <w:b/>
        <w:sz w:val="20"/>
      </w:rPr>
      <w:fldChar w:fldCharType="separate"/>
    </w:r>
    <w:r w:rsidR="005C290F">
      <w:rPr>
        <w:b/>
        <w:noProof/>
        <w:sz w:val="20"/>
      </w:rPr>
      <w:t>Part 4</w:t>
    </w:r>
    <w:r>
      <w:rPr>
        <w:b/>
        <w:sz w:val="20"/>
      </w:rPr>
      <w:fldChar w:fldCharType="end"/>
    </w:r>
  </w:p>
  <w:p w:rsidR="005A2311" w:rsidRPr="007A1328" w:rsidRDefault="005A231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A2311" w:rsidRPr="007A1328" w:rsidRDefault="005A2311" w:rsidP="00715914">
    <w:pPr>
      <w:jc w:val="right"/>
      <w:rPr>
        <w:b/>
        <w:sz w:val="24"/>
      </w:rPr>
    </w:pPr>
  </w:p>
  <w:p w:rsidR="005A2311" w:rsidRPr="007A1328" w:rsidRDefault="005A2311" w:rsidP="00715914">
    <w:pPr>
      <w:pBdr>
        <w:bottom w:val="single" w:sz="6" w:space="1" w:color="auto"/>
      </w:pBdr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C290F">
      <w:rPr>
        <w:noProof/>
        <w:sz w:val="24"/>
      </w:rPr>
      <w:t>19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11" w:rsidRPr="007A1328" w:rsidRDefault="005A2311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B4D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A4B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34D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120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80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3C"/>
    <w:rsid w:val="00001AB5"/>
    <w:rsid w:val="00010ADB"/>
    <w:rsid w:val="000136AF"/>
    <w:rsid w:val="00014B3D"/>
    <w:rsid w:val="0002024E"/>
    <w:rsid w:val="0002578B"/>
    <w:rsid w:val="00026E97"/>
    <w:rsid w:val="00030127"/>
    <w:rsid w:val="00033DF3"/>
    <w:rsid w:val="0003495F"/>
    <w:rsid w:val="00036E8F"/>
    <w:rsid w:val="0003751E"/>
    <w:rsid w:val="00047E5D"/>
    <w:rsid w:val="000614BF"/>
    <w:rsid w:val="00065911"/>
    <w:rsid w:val="00065F2D"/>
    <w:rsid w:val="00067F4B"/>
    <w:rsid w:val="00073750"/>
    <w:rsid w:val="00076E3D"/>
    <w:rsid w:val="00080161"/>
    <w:rsid w:val="00081C85"/>
    <w:rsid w:val="00081D87"/>
    <w:rsid w:val="00083666"/>
    <w:rsid w:val="00083A15"/>
    <w:rsid w:val="0008466F"/>
    <w:rsid w:val="000855A1"/>
    <w:rsid w:val="00093BB0"/>
    <w:rsid w:val="00094469"/>
    <w:rsid w:val="00094C81"/>
    <w:rsid w:val="000A1C0A"/>
    <w:rsid w:val="000A23D9"/>
    <w:rsid w:val="000A4804"/>
    <w:rsid w:val="000A4A33"/>
    <w:rsid w:val="000A6B57"/>
    <w:rsid w:val="000B08B5"/>
    <w:rsid w:val="000B2EA1"/>
    <w:rsid w:val="000B4444"/>
    <w:rsid w:val="000C1DF8"/>
    <w:rsid w:val="000D05EF"/>
    <w:rsid w:val="000D0EAB"/>
    <w:rsid w:val="000D452C"/>
    <w:rsid w:val="000D5CD9"/>
    <w:rsid w:val="000E2261"/>
    <w:rsid w:val="000E585E"/>
    <w:rsid w:val="000E7AED"/>
    <w:rsid w:val="000F21C1"/>
    <w:rsid w:val="000F28D7"/>
    <w:rsid w:val="000F4F55"/>
    <w:rsid w:val="000F5770"/>
    <w:rsid w:val="000F613B"/>
    <w:rsid w:val="000F690C"/>
    <w:rsid w:val="0010264B"/>
    <w:rsid w:val="0010745C"/>
    <w:rsid w:val="001151D9"/>
    <w:rsid w:val="00117694"/>
    <w:rsid w:val="001274BB"/>
    <w:rsid w:val="00127AE8"/>
    <w:rsid w:val="00134ABC"/>
    <w:rsid w:val="00136961"/>
    <w:rsid w:val="00143275"/>
    <w:rsid w:val="00146627"/>
    <w:rsid w:val="001466DE"/>
    <w:rsid w:val="00146A58"/>
    <w:rsid w:val="00146A75"/>
    <w:rsid w:val="00150F59"/>
    <w:rsid w:val="0016165F"/>
    <w:rsid w:val="00164B48"/>
    <w:rsid w:val="0016664C"/>
    <w:rsid w:val="00166C2F"/>
    <w:rsid w:val="001713E2"/>
    <w:rsid w:val="001753E6"/>
    <w:rsid w:val="00176274"/>
    <w:rsid w:val="00180373"/>
    <w:rsid w:val="001834F9"/>
    <w:rsid w:val="00183B64"/>
    <w:rsid w:val="00186BB9"/>
    <w:rsid w:val="001875B3"/>
    <w:rsid w:val="00187743"/>
    <w:rsid w:val="00187EE2"/>
    <w:rsid w:val="001939E1"/>
    <w:rsid w:val="00195382"/>
    <w:rsid w:val="00195E05"/>
    <w:rsid w:val="001A2F26"/>
    <w:rsid w:val="001A37A7"/>
    <w:rsid w:val="001A4BF8"/>
    <w:rsid w:val="001B02D3"/>
    <w:rsid w:val="001B11DE"/>
    <w:rsid w:val="001B4B83"/>
    <w:rsid w:val="001B607F"/>
    <w:rsid w:val="001B7AF2"/>
    <w:rsid w:val="001B7DCB"/>
    <w:rsid w:val="001C255E"/>
    <w:rsid w:val="001C4C47"/>
    <w:rsid w:val="001C613A"/>
    <w:rsid w:val="001C6848"/>
    <w:rsid w:val="001C69C4"/>
    <w:rsid w:val="001D37EF"/>
    <w:rsid w:val="001D7095"/>
    <w:rsid w:val="001E3590"/>
    <w:rsid w:val="001E7407"/>
    <w:rsid w:val="001F4136"/>
    <w:rsid w:val="001F489F"/>
    <w:rsid w:val="001F5D5E"/>
    <w:rsid w:val="001F6219"/>
    <w:rsid w:val="001F63A7"/>
    <w:rsid w:val="001F75C1"/>
    <w:rsid w:val="0020144B"/>
    <w:rsid w:val="00203824"/>
    <w:rsid w:val="00212261"/>
    <w:rsid w:val="00212B11"/>
    <w:rsid w:val="00212B48"/>
    <w:rsid w:val="00215EBF"/>
    <w:rsid w:val="00216EB7"/>
    <w:rsid w:val="002201D9"/>
    <w:rsid w:val="00220E25"/>
    <w:rsid w:val="002257B9"/>
    <w:rsid w:val="002269F0"/>
    <w:rsid w:val="00235C32"/>
    <w:rsid w:val="00237A3C"/>
    <w:rsid w:val="00237F38"/>
    <w:rsid w:val="0024010F"/>
    <w:rsid w:val="00240749"/>
    <w:rsid w:val="00251823"/>
    <w:rsid w:val="002564A4"/>
    <w:rsid w:val="002648A6"/>
    <w:rsid w:val="002666BF"/>
    <w:rsid w:val="0026700D"/>
    <w:rsid w:val="00272821"/>
    <w:rsid w:val="00272DF7"/>
    <w:rsid w:val="00273DFA"/>
    <w:rsid w:val="0027736B"/>
    <w:rsid w:val="00281B02"/>
    <w:rsid w:val="00281D00"/>
    <w:rsid w:val="00282244"/>
    <w:rsid w:val="00285321"/>
    <w:rsid w:val="00297ECB"/>
    <w:rsid w:val="002A06F5"/>
    <w:rsid w:val="002A1B49"/>
    <w:rsid w:val="002A1E51"/>
    <w:rsid w:val="002A2F81"/>
    <w:rsid w:val="002A79F8"/>
    <w:rsid w:val="002A7AD3"/>
    <w:rsid w:val="002B09BD"/>
    <w:rsid w:val="002C3530"/>
    <w:rsid w:val="002C3E04"/>
    <w:rsid w:val="002C4F29"/>
    <w:rsid w:val="002D00C2"/>
    <w:rsid w:val="002D043A"/>
    <w:rsid w:val="002D19B4"/>
    <w:rsid w:val="002D2A46"/>
    <w:rsid w:val="002D61D8"/>
    <w:rsid w:val="002D6224"/>
    <w:rsid w:val="002E1DF4"/>
    <w:rsid w:val="002E4C06"/>
    <w:rsid w:val="002F1015"/>
    <w:rsid w:val="002F16F1"/>
    <w:rsid w:val="0030013C"/>
    <w:rsid w:val="00301848"/>
    <w:rsid w:val="00303A79"/>
    <w:rsid w:val="00303B6B"/>
    <w:rsid w:val="00304490"/>
    <w:rsid w:val="003050DB"/>
    <w:rsid w:val="00305C1F"/>
    <w:rsid w:val="00306FC4"/>
    <w:rsid w:val="003076C7"/>
    <w:rsid w:val="0032063A"/>
    <w:rsid w:val="0032075D"/>
    <w:rsid w:val="003241CA"/>
    <w:rsid w:val="00326BBB"/>
    <w:rsid w:val="00327D43"/>
    <w:rsid w:val="003415D3"/>
    <w:rsid w:val="00341864"/>
    <w:rsid w:val="0034215B"/>
    <w:rsid w:val="00343AF4"/>
    <w:rsid w:val="00350958"/>
    <w:rsid w:val="00352592"/>
    <w:rsid w:val="00352B0F"/>
    <w:rsid w:val="00353647"/>
    <w:rsid w:val="00354385"/>
    <w:rsid w:val="003568A7"/>
    <w:rsid w:val="00357642"/>
    <w:rsid w:val="00360459"/>
    <w:rsid w:val="00360CB6"/>
    <w:rsid w:val="003633A0"/>
    <w:rsid w:val="00366658"/>
    <w:rsid w:val="00367AA7"/>
    <w:rsid w:val="00374A16"/>
    <w:rsid w:val="00377973"/>
    <w:rsid w:val="003844CD"/>
    <w:rsid w:val="00387778"/>
    <w:rsid w:val="00390349"/>
    <w:rsid w:val="003906CA"/>
    <w:rsid w:val="00392DF2"/>
    <w:rsid w:val="003962A6"/>
    <w:rsid w:val="003A222C"/>
    <w:rsid w:val="003A3909"/>
    <w:rsid w:val="003A73B0"/>
    <w:rsid w:val="003B2364"/>
    <w:rsid w:val="003C22DD"/>
    <w:rsid w:val="003C2568"/>
    <w:rsid w:val="003C387B"/>
    <w:rsid w:val="003C46D4"/>
    <w:rsid w:val="003C4776"/>
    <w:rsid w:val="003C5628"/>
    <w:rsid w:val="003C6135"/>
    <w:rsid w:val="003C7067"/>
    <w:rsid w:val="003D0AA8"/>
    <w:rsid w:val="003D0BFE"/>
    <w:rsid w:val="003D2FBA"/>
    <w:rsid w:val="003D5700"/>
    <w:rsid w:val="003E3572"/>
    <w:rsid w:val="003E7105"/>
    <w:rsid w:val="003E7998"/>
    <w:rsid w:val="003F17FA"/>
    <w:rsid w:val="003F3841"/>
    <w:rsid w:val="003F53C0"/>
    <w:rsid w:val="00403179"/>
    <w:rsid w:val="004040E1"/>
    <w:rsid w:val="00407A11"/>
    <w:rsid w:val="004116CD"/>
    <w:rsid w:val="00417EB9"/>
    <w:rsid w:val="00420C79"/>
    <w:rsid w:val="00424CA9"/>
    <w:rsid w:val="00424D22"/>
    <w:rsid w:val="00426A52"/>
    <w:rsid w:val="0043430C"/>
    <w:rsid w:val="00434C2B"/>
    <w:rsid w:val="004424AA"/>
    <w:rsid w:val="0044291A"/>
    <w:rsid w:val="00443392"/>
    <w:rsid w:val="004451D6"/>
    <w:rsid w:val="00450BCF"/>
    <w:rsid w:val="004567C1"/>
    <w:rsid w:val="00460460"/>
    <w:rsid w:val="004641E5"/>
    <w:rsid w:val="00471E44"/>
    <w:rsid w:val="004727B6"/>
    <w:rsid w:val="0047434E"/>
    <w:rsid w:val="004744FC"/>
    <w:rsid w:val="0047702B"/>
    <w:rsid w:val="00483020"/>
    <w:rsid w:val="00485B30"/>
    <w:rsid w:val="0048672F"/>
    <w:rsid w:val="00487D85"/>
    <w:rsid w:val="00490000"/>
    <w:rsid w:val="00493404"/>
    <w:rsid w:val="004946DA"/>
    <w:rsid w:val="00496F97"/>
    <w:rsid w:val="004A639F"/>
    <w:rsid w:val="004C08D9"/>
    <w:rsid w:val="004C20EE"/>
    <w:rsid w:val="004C316A"/>
    <w:rsid w:val="004C3388"/>
    <w:rsid w:val="004C35A0"/>
    <w:rsid w:val="004C42CA"/>
    <w:rsid w:val="004C62C8"/>
    <w:rsid w:val="004D1AAB"/>
    <w:rsid w:val="004D3CBE"/>
    <w:rsid w:val="004E46E6"/>
    <w:rsid w:val="004E7BEC"/>
    <w:rsid w:val="004F0FBB"/>
    <w:rsid w:val="00501D53"/>
    <w:rsid w:val="005020F1"/>
    <w:rsid w:val="0050446B"/>
    <w:rsid w:val="005072DE"/>
    <w:rsid w:val="005108D2"/>
    <w:rsid w:val="00510AD3"/>
    <w:rsid w:val="00511F00"/>
    <w:rsid w:val="00514023"/>
    <w:rsid w:val="00514124"/>
    <w:rsid w:val="00514156"/>
    <w:rsid w:val="00516B8D"/>
    <w:rsid w:val="005215D0"/>
    <w:rsid w:val="005216F3"/>
    <w:rsid w:val="00524528"/>
    <w:rsid w:val="005326AC"/>
    <w:rsid w:val="005357B5"/>
    <w:rsid w:val="00537FBC"/>
    <w:rsid w:val="00552C8A"/>
    <w:rsid w:val="005530ED"/>
    <w:rsid w:val="0055317E"/>
    <w:rsid w:val="005606DB"/>
    <w:rsid w:val="00567F9D"/>
    <w:rsid w:val="0057229C"/>
    <w:rsid w:val="00572ACE"/>
    <w:rsid w:val="00573BB3"/>
    <w:rsid w:val="00582E62"/>
    <w:rsid w:val="005837C7"/>
    <w:rsid w:val="00584811"/>
    <w:rsid w:val="005875EE"/>
    <w:rsid w:val="00593AA6"/>
    <w:rsid w:val="00594161"/>
    <w:rsid w:val="00594749"/>
    <w:rsid w:val="005A068F"/>
    <w:rsid w:val="005A2311"/>
    <w:rsid w:val="005A5483"/>
    <w:rsid w:val="005B27E5"/>
    <w:rsid w:val="005B4067"/>
    <w:rsid w:val="005C050A"/>
    <w:rsid w:val="005C0AC8"/>
    <w:rsid w:val="005C290F"/>
    <w:rsid w:val="005C3F41"/>
    <w:rsid w:val="005D495D"/>
    <w:rsid w:val="005E50CD"/>
    <w:rsid w:val="005F6A2A"/>
    <w:rsid w:val="005F79B1"/>
    <w:rsid w:val="00600219"/>
    <w:rsid w:val="00604238"/>
    <w:rsid w:val="006072AB"/>
    <w:rsid w:val="00610ED8"/>
    <w:rsid w:val="00611F83"/>
    <w:rsid w:val="006150CD"/>
    <w:rsid w:val="00617A8D"/>
    <w:rsid w:val="0062537D"/>
    <w:rsid w:val="00625F95"/>
    <w:rsid w:val="00631224"/>
    <w:rsid w:val="006407CD"/>
    <w:rsid w:val="00650660"/>
    <w:rsid w:val="006511F0"/>
    <w:rsid w:val="00651468"/>
    <w:rsid w:val="0065558D"/>
    <w:rsid w:val="0065575C"/>
    <w:rsid w:val="00663510"/>
    <w:rsid w:val="00665B0A"/>
    <w:rsid w:val="006661D5"/>
    <w:rsid w:val="00666EE5"/>
    <w:rsid w:val="006708FC"/>
    <w:rsid w:val="00672496"/>
    <w:rsid w:val="00673A7D"/>
    <w:rsid w:val="006743B2"/>
    <w:rsid w:val="00675695"/>
    <w:rsid w:val="00677CC2"/>
    <w:rsid w:val="006905DE"/>
    <w:rsid w:val="0069191B"/>
    <w:rsid w:val="0069207B"/>
    <w:rsid w:val="00695CFB"/>
    <w:rsid w:val="006A047F"/>
    <w:rsid w:val="006A0925"/>
    <w:rsid w:val="006B3449"/>
    <w:rsid w:val="006B4115"/>
    <w:rsid w:val="006B5DB7"/>
    <w:rsid w:val="006B5FFA"/>
    <w:rsid w:val="006B664F"/>
    <w:rsid w:val="006B7A5F"/>
    <w:rsid w:val="006C7C07"/>
    <w:rsid w:val="006C7F8C"/>
    <w:rsid w:val="006D2730"/>
    <w:rsid w:val="006D2A1E"/>
    <w:rsid w:val="006D5A74"/>
    <w:rsid w:val="006D7A05"/>
    <w:rsid w:val="006E287F"/>
    <w:rsid w:val="006E2B40"/>
    <w:rsid w:val="006E7013"/>
    <w:rsid w:val="006F2F5A"/>
    <w:rsid w:val="006F318F"/>
    <w:rsid w:val="006F49D6"/>
    <w:rsid w:val="006F74A5"/>
    <w:rsid w:val="00700B2C"/>
    <w:rsid w:val="00700E11"/>
    <w:rsid w:val="00701C75"/>
    <w:rsid w:val="00706BC7"/>
    <w:rsid w:val="0071185A"/>
    <w:rsid w:val="00712329"/>
    <w:rsid w:val="00713084"/>
    <w:rsid w:val="00715914"/>
    <w:rsid w:val="00716D4E"/>
    <w:rsid w:val="00721619"/>
    <w:rsid w:val="00722937"/>
    <w:rsid w:val="00731C3C"/>
    <w:rsid w:val="00731E00"/>
    <w:rsid w:val="007330C1"/>
    <w:rsid w:val="00733E43"/>
    <w:rsid w:val="0073592E"/>
    <w:rsid w:val="00737D91"/>
    <w:rsid w:val="00740B45"/>
    <w:rsid w:val="007429C4"/>
    <w:rsid w:val="0074360A"/>
    <w:rsid w:val="007439ED"/>
    <w:rsid w:val="007440B7"/>
    <w:rsid w:val="00746739"/>
    <w:rsid w:val="00750208"/>
    <w:rsid w:val="00750A54"/>
    <w:rsid w:val="0075274E"/>
    <w:rsid w:val="00753234"/>
    <w:rsid w:val="007577F8"/>
    <w:rsid w:val="00763A89"/>
    <w:rsid w:val="00771005"/>
    <w:rsid w:val="007715C9"/>
    <w:rsid w:val="007733E9"/>
    <w:rsid w:val="007738E0"/>
    <w:rsid w:val="00774EDD"/>
    <w:rsid w:val="007757EC"/>
    <w:rsid w:val="007778C0"/>
    <w:rsid w:val="0078053B"/>
    <w:rsid w:val="0078421F"/>
    <w:rsid w:val="0078707C"/>
    <w:rsid w:val="007905FC"/>
    <w:rsid w:val="00792A95"/>
    <w:rsid w:val="00792B20"/>
    <w:rsid w:val="00795C19"/>
    <w:rsid w:val="007A06F6"/>
    <w:rsid w:val="007A14FA"/>
    <w:rsid w:val="007A3CA0"/>
    <w:rsid w:val="007A3DD0"/>
    <w:rsid w:val="007B4078"/>
    <w:rsid w:val="007B5B94"/>
    <w:rsid w:val="007B7A5E"/>
    <w:rsid w:val="007D04CE"/>
    <w:rsid w:val="007D0593"/>
    <w:rsid w:val="007D29C7"/>
    <w:rsid w:val="007D3D2F"/>
    <w:rsid w:val="007D3D92"/>
    <w:rsid w:val="007E0A2B"/>
    <w:rsid w:val="007E4500"/>
    <w:rsid w:val="007E5950"/>
    <w:rsid w:val="007F0E64"/>
    <w:rsid w:val="007F1163"/>
    <w:rsid w:val="007F3079"/>
    <w:rsid w:val="007F5379"/>
    <w:rsid w:val="0080075B"/>
    <w:rsid w:val="00802461"/>
    <w:rsid w:val="0080563A"/>
    <w:rsid w:val="00810085"/>
    <w:rsid w:val="008113F1"/>
    <w:rsid w:val="00815009"/>
    <w:rsid w:val="0081764B"/>
    <w:rsid w:val="00821787"/>
    <w:rsid w:val="008262DF"/>
    <w:rsid w:val="0082681B"/>
    <w:rsid w:val="00830E41"/>
    <w:rsid w:val="00831177"/>
    <w:rsid w:val="00831BF1"/>
    <w:rsid w:val="00833927"/>
    <w:rsid w:val="00836EC0"/>
    <w:rsid w:val="0083755F"/>
    <w:rsid w:val="00837840"/>
    <w:rsid w:val="00840D67"/>
    <w:rsid w:val="008420A6"/>
    <w:rsid w:val="008461CD"/>
    <w:rsid w:val="008468AD"/>
    <w:rsid w:val="0084775D"/>
    <w:rsid w:val="00847774"/>
    <w:rsid w:val="00852B92"/>
    <w:rsid w:val="0085633D"/>
    <w:rsid w:val="0085675F"/>
    <w:rsid w:val="00856A31"/>
    <w:rsid w:val="00861603"/>
    <w:rsid w:val="00861E77"/>
    <w:rsid w:val="00861F32"/>
    <w:rsid w:val="00865E6F"/>
    <w:rsid w:val="00866444"/>
    <w:rsid w:val="008664A4"/>
    <w:rsid w:val="00872546"/>
    <w:rsid w:val="0087300E"/>
    <w:rsid w:val="00874C51"/>
    <w:rsid w:val="008754D0"/>
    <w:rsid w:val="0087606E"/>
    <w:rsid w:val="00880CD9"/>
    <w:rsid w:val="008838F2"/>
    <w:rsid w:val="00885D31"/>
    <w:rsid w:val="008A143A"/>
    <w:rsid w:val="008A1543"/>
    <w:rsid w:val="008A3445"/>
    <w:rsid w:val="008A4190"/>
    <w:rsid w:val="008A767A"/>
    <w:rsid w:val="008B0AC8"/>
    <w:rsid w:val="008B1540"/>
    <w:rsid w:val="008C4050"/>
    <w:rsid w:val="008C4F93"/>
    <w:rsid w:val="008D0EE0"/>
    <w:rsid w:val="008D460A"/>
    <w:rsid w:val="008D5579"/>
    <w:rsid w:val="008D73C0"/>
    <w:rsid w:val="008E054C"/>
    <w:rsid w:val="008E0EE5"/>
    <w:rsid w:val="008E1DE8"/>
    <w:rsid w:val="008E6065"/>
    <w:rsid w:val="008E686A"/>
    <w:rsid w:val="008E778E"/>
    <w:rsid w:val="008F54E7"/>
    <w:rsid w:val="00902A42"/>
    <w:rsid w:val="009035FB"/>
    <w:rsid w:val="00903FD1"/>
    <w:rsid w:val="00921D5E"/>
    <w:rsid w:val="00924CCE"/>
    <w:rsid w:val="00924DC4"/>
    <w:rsid w:val="00926599"/>
    <w:rsid w:val="00926D98"/>
    <w:rsid w:val="00932377"/>
    <w:rsid w:val="009463A2"/>
    <w:rsid w:val="00947D5A"/>
    <w:rsid w:val="0095082F"/>
    <w:rsid w:val="009532A5"/>
    <w:rsid w:val="009546EF"/>
    <w:rsid w:val="00963A7B"/>
    <w:rsid w:val="0096596E"/>
    <w:rsid w:val="00965A31"/>
    <w:rsid w:val="0097311F"/>
    <w:rsid w:val="00973E74"/>
    <w:rsid w:val="009741D7"/>
    <w:rsid w:val="00980D53"/>
    <w:rsid w:val="00984898"/>
    <w:rsid w:val="009868E9"/>
    <w:rsid w:val="00986B8A"/>
    <w:rsid w:val="00990D9C"/>
    <w:rsid w:val="0099222C"/>
    <w:rsid w:val="009A4A2B"/>
    <w:rsid w:val="009B0470"/>
    <w:rsid w:val="009B061C"/>
    <w:rsid w:val="009B4090"/>
    <w:rsid w:val="009C44B6"/>
    <w:rsid w:val="009D1A9B"/>
    <w:rsid w:val="009D2FFF"/>
    <w:rsid w:val="009E3FC0"/>
    <w:rsid w:val="009F1802"/>
    <w:rsid w:val="00A0420A"/>
    <w:rsid w:val="00A057DB"/>
    <w:rsid w:val="00A125A4"/>
    <w:rsid w:val="00A1549F"/>
    <w:rsid w:val="00A17503"/>
    <w:rsid w:val="00A20994"/>
    <w:rsid w:val="00A22C98"/>
    <w:rsid w:val="00A231E2"/>
    <w:rsid w:val="00A27769"/>
    <w:rsid w:val="00A304BD"/>
    <w:rsid w:val="00A318BD"/>
    <w:rsid w:val="00A35E18"/>
    <w:rsid w:val="00A40C5F"/>
    <w:rsid w:val="00A40E89"/>
    <w:rsid w:val="00A47385"/>
    <w:rsid w:val="00A50BEC"/>
    <w:rsid w:val="00A50F8C"/>
    <w:rsid w:val="00A51AE7"/>
    <w:rsid w:val="00A5492F"/>
    <w:rsid w:val="00A54DFC"/>
    <w:rsid w:val="00A61369"/>
    <w:rsid w:val="00A62513"/>
    <w:rsid w:val="00A64912"/>
    <w:rsid w:val="00A64B8B"/>
    <w:rsid w:val="00A64BD9"/>
    <w:rsid w:val="00A65262"/>
    <w:rsid w:val="00A67A22"/>
    <w:rsid w:val="00A70A74"/>
    <w:rsid w:val="00A750CE"/>
    <w:rsid w:val="00A75D6C"/>
    <w:rsid w:val="00A811E5"/>
    <w:rsid w:val="00A81DED"/>
    <w:rsid w:val="00A90C60"/>
    <w:rsid w:val="00A972A4"/>
    <w:rsid w:val="00AA08C1"/>
    <w:rsid w:val="00AA1202"/>
    <w:rsid w:val="00AA3B2C"/>
    <w:rsid w:val="00AA4D84"/>
    <w:rsid w:val="00AB0F01"/>
    <w:rsid w:val="00AB1C73"/>
    <w:rsid w:val="00AB328C"/>
    <w:rsid w:val="00AB3608"/>
    <w:rsid w:val="00AC13C6"/>
    <w:rsid w:val="00AC4585"/>
    <w:rsid w:val="00AD021C"/>
    <w:rsid w:val="00AD2E00"/>
    <w:rsid w:val="00AD4C57"/>
    <w:rsid w:val="00AD5641"/>
    <w:rsid w:val="00AD5E0B"/>
    <w:rsid w:val="00AD7683"/>
    <w:rsid w:val="00AD7B71"/>
    <w:rsid w:val="00AE42B5"/>
    <w:rsid w:val="00AE47DE"/>
    <w:rsid w:val="00AE4DE4"/>
    <w:rsid w:val="00AE582A"/>
    <w:rsid w:val="00AE716B"/>
    <w:rsid w:val="00AF06CF"/>
    <w:rsid w:val="00AF3538"/>
    <w:rsid w:val="00AF5F2E"/>
    <w:rsid w:val="00B001B6"/>
    <w:rsid w:val="00B008A4"/>
    <w:rsid w:val="00B00A6E"/>
    <w:rsid w:val="00B04C0F"/>
    <w:rsid w:val="00B063CF"/>
    <w:rsid w:val="00B06AC1"/>
    <w:rsid w:val="00B12F71"/>
    <w:rsid w:val="00B154B7"/>
    <w:rsid w:val="00B164E8"/>
    <w:rsid w:val="00B178B4"/>
    <w:rsid w:val="00B30EA9"/>
    <w:rsid w:val="00B3390D"/>
    <w:rsid w:val="00B33919"/>
    <w:rsid w:val="00B33B3C"/>
    <w:rsid w:val="00B34208"/>
    <w:rsid w:val="00B424C0"/>
    <w:rsid w:val="00B624AC"/>
    <w:rsid w:val="00B63834"/>
    <w:rsid w:val="00B6465B"/>
    <w:rsid w:val="00B72668"/>
    <w:rsid w:val="00B7583C"/>
    <w:rsid w:val="00B76943"/>
    <w:rsid w:val="00B80199"/>
    <w:rsid w:val="00B80A1E"/>
    <w:rsid w:val="00B81AAC"/>
    <w:rsid w:val="00B82E58"/>
    <w:rsid w:val="00B858BB"/>
    <w:rsid w:val="00B936C3"/>
    <w:rsid w:val="00B94E57"/>
    <w:rsid w:val="00B97C47"/>
    <w:rsid w:val="00BA0B4F"/>
    <w:rsid w:val="00BA220B"/>
    <w:rsid w:val="00BA2DD2"/>
    <w:rsid w:val="00BB41E3"/>
    <w:rsid w:val="00BB7FF8"/>
    <w:rsid w:val="00BC1414"/>
    <w:rsid w:val="00BC41F6"/>
    <w:rsid w:val="00BD1614"/>
    <w:rsid w:val="00BD5AE5"/>
    <w:rsid w:val="00BE1B8E"/>
    <w:rsid w:val="00BE1C01"/>
    <w:rsid w:val="00BE2FCE"/>
    <w:rsid w:val="00BE3C22"/>
    <w:rsid w:val="00BE5205"/>
    <w:rsid w:val="00BE719A"/>
    <w:rsid w:val="00BE720A"/>
    <w:rsid w:val="00BF0BED"/>
    <w:rsid w:val="00BF729D"/>
    <w:rsid w:val="00C0799F"/>
    <w:rsid w:val="00C1342C"/>
    <w:rsid w:val="00C137DD"/>
    <w:rsid w:val="00C15C24"/>
    <w:rsid w:val="00C234DA"/>
    <w:rsid w:val="00C32B5A"/>
    <w:rsid w:val="00C41183"/>
    <w:rsid w:val="00C42BF8"/>
    <w:rsid w:val="00C447AB"/>
    <w:rsid w:val="00C50043"/>
    <w:rsid w:val="00C51FB1"/>
    <w:rsid w:val="00C557D9"/>
    <w:rsid w:val="00C55893"/>
    <w:rsid w:val="00C55CCB"/>
    <w:rsid w:val="00C722A8"/>
    <w:rsid w:val="00C73721"/>
    <w:rsid w:val="00C73978"/>
    <w:rsid w:val="00C74BB2"/>
    <w:rsid w:val="00C75672"/>
    <w:rsid w:val="00C7573B"/>
    <w:rsid w:val="00C77F60"/>
    <w:rsid w:val="00C80C9A"/>
    <w:rsid w:val="00C8156A"/>
    <w:rsid w:val="00C81D01"/>
    <w:rsid w:val="00C841E7"/>
    <w:rsid w:val="00C84A72"/>
    <w:rsid w:val="00C86CFF"/>
    <w:rsid w:val="00C90A89"/>
    <w:rsid w:val="00C940D9"/>
    <w:rsid w:val="00CA264C"/>
    <w:rsid w:val="00CA2B9A"/>
    <w:rsid w:val="00CA3B62"/>
    <w:rsid w:val="00CA6CCB"/>
    <w:rsid w:val="00CB5E7F"/>
    <w:rsid w:val="00CB63AA"/>
    <w:rsid w:val="00CB6B3C"/>
    <w:rsid w:val="00CC2337"/>
    <w:rsid w:val="00CC46CF"/>
    <w:rsid w:val="00CC5550"/>
    <w:rsid w:val="00CD1935"/>
    <w:rsid w:val="00CD2120"/>
    <w:rsid w:val="00CD43E1"/>
    <w:rsid w:val="00CE543D"/>
    <w:rsid w:val="00CE5A2E"/>
    <w:rsid w:val="00CE6A71"/>
    <w:rsid w:val="00CE6D33"/>
    <w:rsid w:val="00CF0BB2"/>
    <w:rsid w:val="00CF0FE1"/>
    <w:rsid w:val="00CF258D"/>
    <w:rsid w:val="00CF3EE8"/>
    <w:rsid w:val="00D0333F"/>
    <w:rsid w:val="00D05933"/>
    <w:rsid w:val="00D06E84"/>
    <w:rsid w:val="00D10071"/>
    <w:rsid w:val="00D13441"/>
    <w:rsid w:val="00D161E8"/>
    <w:rsid w:val="00D22AA3"/>
    <w:rsid w:val="00D33DA5"/>
    <w:rsid w:val="00D35DC8"/>
    <w:rsid w:val="00D4024A"/>
    <w:rsid w:val="00D4195A"/>
    <w:rsid w:val="00D41D23"/>
    <w:rsid w:val="00D44B0B"/>
    <w:rsid w:val="00D539A7"/>
    <w:rsid w:val="00D53C4C"/>
    <w:rsid w:val="00D55165"/>
    <w:rsid w:val="00D60AD3"/>
    <w:rsid w:val="00D613E4"/>
    <w:rsid w:val="00D63B8C"/>
    <w:rsid w:val="00D70DFB"/>
    <w:rsid w:val="00D74B28"/>
    <w:rsid w:val="00D766DF"/>
    <w:rsid w:val="00D77AFB"/>
    <w:rsid w:val="00D806FF"/>
    <w:rsid w:val="00D8518B"/>
    <w:rsid w:val="00DA1BA9"/>
    <w:rsid w:val="00DA22B9"/>
    <w:rsid w:val="00DA2CBA"/>
    <w:rsid w:val="00DA3DB4"/>
    <w:rsid w:val="00DA572A"/>
    <w:rsid w:val="00DB0C79"/>
    <w:rsid w:val="00DB2637"/>
    <w:rsid w:val="00DB314A"/>
    <w:rsid w:val="00DB6AB3"/>
    <w:rsid w:val="00DB6F5E"/>
    <w:rsid w:val="00DC0BCB"/>
    <w:rsid w:val="00DC31BC"/>
    <w:rsid w:val="00DC4F88"/>
    <w:rsid w:val="00DC500D"/>
    <w:rsid w:val="00DC5F17"/>
    <w:rsid w:val="00DD3BB0"/>
    <w:rsid w:val="00DF141D"/>
    <w:rsid w:val="00DF1B9D"/>
    <w:rsid w:val="00DF3234"/>
    <w:rsid w:val="00DF41A9"/>
    <w:rsid w:val="00E0463A"/>
    <w:rsid w:val="00E04B01"/>
    <w:rsid w:val="00E05704"/>
    <w:rsid w:val="00E06F95"/>
    <w:rsid w:val="00E125A7"/>
    <w:rsid w:val="00E26547"/>
    <w:rsid w:val="00E26818"/>
    <w:rsid w:val="00E2687F"/>
    <w:rsid w:val="00E338EF"/>
    <w:rsid w:val="00E43FD5"/>
    <w:rsid w:val="00E45592"/>
    <w:rsid w:val="00E50456"/>
    <w:rsid w:val="00E50D65"/>
    <w:rsid w:val="00E57F69"/>
    <w:rsid w:val="00E6046C"/>
    <w:rsid w:val="00E62416"/>
    <w:rsid w:val="00E625B0"/>
    <w:rsid w:val="00E626C3"/>
    <w:rsid w:val="00E67C70"/>
    <w:rsid w:val="00E7370D"/>
    <w:rsid w:val="00E74DC7"/>
    <w:rsid w:val="00E75449"/>
    <w:rsid w:val="00E76337"/>
    <w:rsid w:val="00E8626E"/>
    <w:rsid w:val="00E875F1"/>
    <w:rsid w:val="00E92BAD"/>
    <w:rsid w:val="00E947A4"/>
    <w:rsid w:val="00E94D5E"/>
    <w:rsid w:val="00E95331"/>
    <w:rsid w:val="00EA09FF"/>
    <w:rsid w:val="00EA3483"/>
    <w:rsid w:val="00EA6B5A"/>
    <w:rsid w:val="00EA6E8B"/>
    <w:rsid w:val="00EA7100"/>
    <w:rsid w:val="00EA7699"/>
    <w:rsid w:val="00EA7965"/>
    <w:rsid w:val="00EB0A45"/>
    <w:rsid w:val="00EB2454"/>
    <w:rsid w:val="00EB7CC1"/>
    <w:rsid w:val="00EC2DB9"/>
    <w:rsid w:val="00EC7863"/>
    <w:rsid w:val="00ED0B4A"/>
    <w:rsid w:val="00ED1AFC"/>
    <w:rsid w:val="00ED1E33"/>
    <w:rsid w:val="00ED4F0A"/>
    <w:rsid w:val="00EF01D5"/>
    <w:rsid w:val="00EF27D1"/>
    <w:rsid w:val="00EF2B1E"/>
    <w:rsid w:val="00EF2E3A"/>
    <w:rsid w:val="00EF2F8F"/>
    <w:rsid w:val="00F007E6"/>
    <w:rsid w:val="00F00A05"/>
    <w:rsid w:val="00F05616"/>
    <w:rsid w:val="00F072A7"/>
    <w:rsid w:val="00F078DC"/>
    <w:rsid w:val="00F1537B"/>
    <w:rsid w:val="00F17D45"/>
    <w:rsid w:val="00F26455"/>
    <w:rsid w:val="00F26630"/>
    <w:rsid w:val="00F26F25"/>
    <w:rsid w:val="00F314AA"/>
    <w:rsid w:val="00F324DC"/>
    <w:rsid w:val="00F35CDF"/>
    <w:rsid w:val="00F41475"/>
    <w:rsid w:val="00F41677"/>
    <w:rsid w:val="00F424EB"/>
    <w:rsid w:val="00F4783E"/>
    <w:rsid w:val="00F479A4"/>
    <w:rsid w:val="00F50965"/>
    <w:rsid w:val="00F5250A"/>
    <w:rsid w:val="00F531B4"/>
    <w:rsid w:val="00F55DCE"/>
    <w:rsid w:val="00F56F15"/>
    <w:rsid w:val="00F619BE"/>
    <w:rsid w:val="00F63FA2"/>
    <w:rsid w:val="00F645C7"/>
    <w:rsid w:val="00F66A7E"/>
    <w:rsid w:val="00F710B8"/>
    <w:rsid w:val="00F73BD6"/>
    <w:rsid w:val="00F75572"/>
    <w:rsid w:val="00F75A4F"/>
    <w:rsid w:val="00F76CD4"/>
    <w:rsid w:val="00F80FB7"/>
    <w:rsid w:val="00F81F79"/>
    <w:rsid w:val="00F83989"/>
    <w:rsid w:val="00F97ED6"/>
    <w:rsid w:val="00FA01BF"/>
    <w:rsid w:val="00FA54A1"/>
    <w:rsid w:val="00FB0289"/>
    <w:rsid w:val="00FB3AE8"/>
    <w:rsid w:val="00FC592F"/>
    <w:rsid w:val="00FC7150"/>
    <w:rsid w:val="00FD2025"/>
    <w:rsid w:val="00FE0CA6"/>
    <w:rsid w:val="00FE4B07"/>
    <w:rsid w:val="00FE6BB2"/>
    <w:rsid w:val="00FF553B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6E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D46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6E3D"/>
  </w:style>
  <w:style w:type="paragraph" w:customStyle="1" w:styleId="OPCParaBase">
    <w:name w:val="OPCParaBase"/>
    <w:link w:val="OPCParaBaseChar"/>
    <w:qFormat/>
    <w:rsid w:val="00076E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76E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6E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6E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6E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6E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76E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6E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6E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6E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6E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76E3D"/>
  </w:style>
  <w:style w:type="paragraph" w:customStyle="1" w:styleId="Blocks">
    <w:name w:val="Blocks"/>
    <w:aliases w:val="bb"/>
    <w:basedOn w:val="OPCParaBase"/>
    <w:qFormat/>
    <w:rsid w:val="00076E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6E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6E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6E3D"/>
    <w:rPr>
      <w:i/>
    </w:rPr>
  </w:style>
  <w:style w:type="paragraph" w:customStyle="1" w:styleId="BoxList">
    <w:name w:val="BoxList"/>
    <w:aliases w:val="bl"/>
    <w:basedOn w:val="BoxText"/>
    <w:qFormat/>
    <w:rsid w:val="00076E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6E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6E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6E3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76E3D"/>
  </w:style>
  <w:style w:type="character" w:customStyle="1" w:styleId="CharAmPartText">
    <w:name w:val="CharAmPartText"/>
    <w:basedOn w:val="OPCCharBase"/>
    <w:uiPriority w:val="1"/>
    <w:qFormat/>
    <w:rsid w:val="00076E3D"/>
  </w:style>
  <w:style w:type="character" w:customStyle="1" w:styleId="CharAmSchNo">
    <w:name w:val="CharAmSchNo"/>
    <w:basedOn w:val="OPCCharBase"/>
    <w:uiPriority w:val="1"/>
    <w:qFormat/>
    <w:rsid w:val="00076E3D"/>
  </w:style>
  <w:style w:type="character" w:customStyle="1" w:styleId="CharAmSchText">
    <w:name w:val="CharAmSchText"/>
    <w:basedOn w:val="OPCCharBase"/>
    <w:uiPriority w:val="1"/>
    <w:qFormat/>
    <w:rsid w:val="00076E3D"/>
  </w:style>
  <w:style w:type="character" w:customStyle="1" w:styleId="CharBoldItalic">
    <w:name w:val="CharBoldItalic"/>
    <w:basedOn w:val="OPCCharBase"/>
    <w:uiPriority w:val="1"/>
    <w:qFormat/>
    <w:rsid w:val="00076E3D"/>
    <w:rPr>
      <w:b/>
      <w:i/>
    </w:rPr>
  </w:style>
  <w:style w:type="character" w:customStyle="1" w:styleId="CharChapNo">
    <w:name w:val="CharChapNo"/>
    <w:basedOn w:val="OPCCharBase"/>
    <w:qFormat/>
    <w:rsid w:val="00076E3D"/>
  </w:style>
  <w:style w:type="character" w:customStyle="1" w:styleId="CharChapText">
    <w:name w:val="CharChapText"/>
    <w:basedOn w:val="OPCCharBase"/>
    <w:qFormat/>
    <w:rsid w:val="00076E3D"/>
  </w:style>
  <w:style w:type="character" w:customStyle="1" w:styleId="CharDivNo">
    <w:name w:val="CharDivNo"/>
    <w:basedOn w:val="OPCCharBase"/>
    <w:qFormat/>
    <w:rsid w:val="00076E3D"/>
  </w:style>
  <w:style w:type="character" w:customStyle="1" w:styleId="CharDivText">
    <w:name w:val="CharDivText"/>
    <w:basedOn w:val="OPCCharBase"/>
    <w:qFormat/>
    <w:rsid w:val="00076E3D"/>
  </w:style>
  <w:style w:type="character" w:customStyle="1" w:styleId="CharItalic">
    <w:name w:val="CharItalic"/>
    <w:basedOn w:val="OPCCharBase"/>
    <w:uiPriority w:val="1"/>
    <w:qFormat/>
    <w:rsid w:val="00076E3D"/>
    <w:rPr>
      <w:i/>
    </w:rPr>
  </w:style>
  <w:style w:type="character" w:customStyle="1" w:styleId="CharPartNo">
    <w:name w:val="CharPartNo"/>
    <w:basedOn w:val="OPCCharBase"/>
    <w:qFormat/>
    <w:rsid w:val="00076E3D"/>
  </w:style>
  <w:style w:type="character" w:customStyle="1" w:styleId="CharPartText">
    <w:name w:val="CharPartText"/>
    <w:basedOn w:val="OPCCharBase"/>
    <w:qFormat/>
    <w:rsid w:val="00076E3D"/>
  </w:style>
  <w:style w:type="character" w:customStyle="1" w:styleId="CharSectno">
    <w:name w:val="CharSectno"/>
    <w:basedOn w:val="OPCCharBase"/>
    <w:qFormat/>
    <w:rsid w:val="00076E3D"/>
  </w:style>
  <w:style w:type="character" w:customStyle="1" w:styleId="CharSubdNo">
    <w:name w:val="CharSubdNo"/>
    <w:basedOn w:val="OPCCharBase"/>
    <w:uiPriority w:val="1"/>
    <w:qFormat/>
    <w:rsid w:val="00076E3D"/>
  </w:style>
  <w:style w:type="character" w:customStyle="1" w:styleId="CharSubdText">
    <w:name w:val="CharSubdText"/>
    <w:basedOn w:val="OPCCharBase"/>
    <w:uiPriority w:val="1"/>
    <w:qFormat/>
    <w:rsid w:val="00076E3D"/>
  </w:style>
  <w:style w:type="paragraph" w:customStyle="1" w:styleId="CTA--">
    <w:name w:val="CTA --"/>
    <w:basedOn w:val="OPCParaBase"/>
    <w:next w:val="Normal"/>
    <w:rsid w:val="00076E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6E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6E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6E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6E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6E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6E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6E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6E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6E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6E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6E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6E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6E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76E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6E3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6E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6E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6E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6E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6E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6E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6E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6E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6E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6E3D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6E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6E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6E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6E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6E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76E3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76E3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6E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6E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6E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6E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6E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6E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6E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6E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6E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6E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6E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6E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6E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6E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6E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6E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6E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6E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6E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6E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6E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6E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6E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76E3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76E3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76E3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76E3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76E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6E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6E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6E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6E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6E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6E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6E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76E3D"/>
    <w:rPr>
      <w:sz w:val="16"/>
    </w:rPr>
  </w:style>
  <w:style w:type="table" w:customStyle="1" w:styleId="CFlag">
    <w:name w:val="CFlag"/>
    <w:basedOn w:val="TableNormal"/>
    <w:uiPriority w:val="99"/>
    <w:rsid w:val="00076E3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4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0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0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0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0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D5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7E595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E595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E595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E595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E595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E595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E5950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7E5950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7E5950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7E5950"/>
  </w:style>
  <w:style w:type="character" w:customStyle="1" w:styleId="ShortTCPChar">
    <w:name w:val="ShortTCP Char"/>
    <w:basedOn w:val="ShortTChar"/>
    <w:link w:val="ShortTCP"/>
    <w:rsid w:val="007E595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E5950"/>
    <w:pPr>
      <w:spacing w:before="400"/>
    </w:pPr>
  </w:style>
  <w:style w:type="character" w:customStyle="1" w:styleId="ActNoCPChar">
    <w:name w:val="ActNoCP Char"/>
    <w:basedOn w:val="ActnoChar"/>
    <w:link w:val="ActNoCP"/>
    <w:rsid w:val="007E595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E595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81A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81A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81AA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6E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D46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6E3D"/>
  </w:style>
  <w:style w:type="paragraph" w:customStyle="1" w:styleId="OPCParaBase">
    <w:name w:val="OPCParaBase"/>
    <w:link w:val="OPCParaBaseChar"/>
    <w:qFormat/>
    <w:rsid w:val="00076E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76E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6E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6E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6E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6E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76E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6E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6E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6E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6E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76E3D"/>
  </w:style>
  <w:style w:type="paragraph" w:customStyle="1" w:styleId="Blocks">
    <w:name w:val="Blocks"/>
    <w:aliases w:val="bb"/>
    <w:basedOn w:val="OPCParaBase"/>
    <w:qFormat/>
    <w:rsid w:val="00076E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6E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6E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6E3D"/>
    <w:rPr>
      <w:i/>
    </w:rPr>
  </w:style>
  <w:style w:type="paragraph" w:customStyle="1" w:styleId="BoxList">
    <w:name w:val="BoxList"/>
    <w:aliases w:val="bl"/>
    <w:basedOn w:val="BoxText"/>
    <w:qFormat/>
    <w:rsid w:val="00076E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6E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6E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6E3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76E3D"/>
  </w:style>
  <w:style w:type="character" w:customStyle="1" w:styleId="CharAmPartText">
    <w:name w:val="CharAmPartText"/>
    <w:basedOn w:val="OPCCharBase"/>
    <w:uiPriority w:val="1"/>
    <w:qFormat/>
    <w:rsid w:val="00076E3D"/>
  </w:style>
  <w:style w:type="character" w:customStyle="1" w:styleId="CharAmSchNo">
    <w:name w:val="CharAmSchNo"/>
    <w:basedOn w:val="OPCCharBase"/>
    <w:uiPriority w:val="1"/>
    <w:qFormat/>
    <w:rsid w:val="00076E3D"/>
  </w:style>
  <w:style w:type="character" w:customStyle="1" w:styleId="CharAmSchText">
    <w:name w:val="CharAmSchText"/>
    <w:basedOn w:val="OPCCharBase"/>
    <w:uiPriority w:val="1"/>
    <w:qFormat/>
    <w:rsid w:val="00076E3D"/>
  </w:style>
  <w:style w:type="character" w:customStyle="1" w:styleId="CharBoldItalic">
    <w:name w:val="CharBoldItalic"/>
    <w:basedOn w:val="OPCCharBase"/>
    <w:uiPriority w:val="1"/>
    <w:qFormat/>
    <w:rsid w:val="00076E3D"/>
    <w:rPr>
      <w:b/>
      <w:i/>
    </w:rPr>
  </w:style>
  <w:style w:type="character" w:customStyle="1" w:styleId="CharChapNo">
    <w:name w:val="CharChapNo"/>
    <w:basedOn w:val="OPCCharBase"/>
    <w:qFormat/>
    <w:rsid w:val="00076E3D"/>
  </w:style>
  <w:style w:type="character" w:customStyle="1" w:styleId="CharChapText">
    <w:name w:val="CharChapText"/>
    <w:basedOn w:val="OPCCharBase"/>
    <w:qFormat/>
    <w:rsid w:val="00076E3D"/>
  </w:style>
  <w:style w:type="character" w:customStyle="1" w:styleId="CharDivNo">
    <w:name w:val="CharDivNo"/>
    <w:basedOn w:val="OPCCharBase"/>
    <w:qFormat/>
    <w:rsid w:val="00076E3D"/>
  </w:style>
  <w:style w:type="character" w:customStyle="1" w:styleId="CharDivText">
    <w:name w:val="CharDivText"/>
    <w:basedOn w:val="OPCCharBase"/>
    <w:qFormat/>
    <w:rsid w:val="00076E3D"/>
  </w:style>
  <w:style w:type="character" w:customStyle="1" w:styleId="CharItalic">
    <w:name w:val="CharItalic"/>
    <w:basedOn w:val="OPCCharBase"/>
    <w:uiPriority w:val="1"/>
    <w:qFormat/>
    <w:rsid w:val="00076E3D"/>
    <w:rPr>
      <w:i/>
    </w:rPr>
  </w:style>
  <w:style w:type="character" w:customStyle="1" w:styleId="CharPartNo">
    <w:name w:val="CharPartNo"/>
    <w:basedOn w:val="OPCCharBase"/>
    <w:qFormat/>
    <w:rsid w:val="00076E3D"/>
  </w:style>
  <w:style w:type="character" w:customStyle="1" w:styleId="CharPartText">
    <w:name w:val="CharPartText"/>
    <w:basedOn w:val="OPCCharBase"/>
    <w:qFormat/>
    <w:rsid w:val="00076E3D"/>
  </w:style>
  <w:style w:type="character" w:customStyle="1" w:styleId="CharSectno">
    <w:name w:val="CharSectno"/>
    <w:basedOn w:val="OPCCharBase"/>
    <w:qFormat/>
    <w:rsid w:val="00076E3D"/>
  </w:style>
  <w:style w:type="character" w:customStyle="1" w:styleId="CharSubdNo">
    <w:name w:val="CharSubdNo"/>
    <w:basedOn w:val="OPCCharBase"/>
    <w:uiPriority w:val="1"/>
    <w:qFormat/>
    <w:rsid w:val="00076E3D"/>
  </w:style>
  <w:style w:type="character" w:customStyle="1" w:styleId="CharSubdText">
    <w:name w:val="CharSubdText"/>
    <w:basedOn w:val="OPCCharBase"/>
    <w:uiPriority w:val="1"/>
    <w:qFormat/>
    <w:rsid w:val="00076E3D"/>
  </w:style>
  <w:style w:type="paragraph" w:customStyle="1" w:styleId="CTA--">
    <w:name w:val="CTA --"/>
    <w:basedOn w:val="OPCParaBase"/>
    <w:next w:val="Normal"/>
    <w:rsid w:val="00076E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6E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6E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6E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6E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6E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6E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6E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6E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6E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6E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6E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6E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6E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76E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6E3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6E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6E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6E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6E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6E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6E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6E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6E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6E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6E3D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6E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6E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6E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6E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6E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76E3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76E3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6E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6E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6E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6E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6E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6E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6E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6E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6E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6E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6E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6E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6E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6E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6E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6E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6E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6E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6E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6E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6E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6E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6E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76E3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76E3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76E3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76E3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76E3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76E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6E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6E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6E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6E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6E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6E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6E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76E3D"/>
    <w:rPr>
      <w:sz w:val="16"/>
    </w:rPr>
  </w:style>
  <w:style w:type="table" w:customStyle="1" w:styleId="CFlag">
    <w:name w:val="CFlag"/>
    <w:basedOn w:val="TableNormal"/>
    <w:uiPriority w:val="99"/>
    <w:rsid w:val="00076E3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4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0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0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0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0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D5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7E595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E595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E595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E595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E595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E595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E5950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7E5950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7E5950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7E5950"/>
  </w:style>
  <w:style w:type="character" w:customStyle="1" w:styleId="ShortTCPChar">
    <w:name w:val="ShortTCP Char"/>
    <w:basedOn w:val="ShortTChar"/>
    <w:link w:val="ShortTCP"/>
    <w:rsid w:val="007E595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E5950"/>
    <w:pPr>
      <w:spacing w:before="400"/>
    </w:pPr>
  </w:style>
  <w:style w:type="character" w:customStyle="1" w:styleId="ActNoCPChar">
    <w:name w:val="ActNoCP Char"/>
    <w:basedOn w:val="ActnoChar"/>
    <w:link w:val="ActNoCP"/>
    <w:rsid w:val="007E595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E595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81A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81A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81AA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25</Pages>
  <Words>3885</Words>
  <Characters>22146</Characters>
  <Application>Microsoft Office Word</Application>
  <DocSecurity>0</DocSecurity>
  <PresentationFormat/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2012-11-21T22:55:00Z</cp:lastPrinted>
  <dcterms:created xsi:type="dcterms:W3CDTF">2013-03-19T03:15:00Z</dcterms:created>
  <dcterms:modified xsi:type="dcterms:W3CDTF">2013-10-22T01:09:00Z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ShortT">
    <vt:lpwstr>Protection of Cultural Objects on Loan Act 2013</vt:lpwstr>
  </property>
  <property fmtid="{D5CDD505-2E9C-101B-9397-08002B2CF9AE}" pid="4" name="Actno">
    <vt:lpwstr>No. 12, 2013</vt:lpwstr>
  </property>
</Properties>
</file>