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C4" w:rsidRPr="006B3D66" w:rsidRDefault="002A35C4" w:rsidP="0043673D">
      <w:r w:rsidRPr="006B3D6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92638174" r:id="rId10"/>
        </w:object>
      </w:r>
    </w:p>
    <w:p w:rsidR="002A35C4" w:rsidRPr="006B3D66" w:rsidRDefault="002A35C4" w:rsidP="0043673D">
      <w:pPr>
        <w:pStyle w:val="ShortT"/>
        <w:spacing w:before="240"/>
      </w:pPr>
      <w:r w:rsidRPr="006B3D66">
        <w:t>Independent National Security Legislation Monitor Act 2010</w:t>
      </w:r>
    </w:p>
    <w:p w:rsidR="002A35C4" w:rsidRPr="006B3D66" w:rsidRDefault="002A35C4" w:rsidP="0043673D">
      <w:pPr>
        <w:pStyle w:val="CompiledActNo"/>
        <w:spacing w:before="240"/>
      </w:pPr>
      <w:r w:rsidRPr="006B3D66">
        <w:t>No.</w:t>
      </w:r>
      <w:r w:rsidR="006B3D66">
        <w:t> </w:t>
      </w:r>
      <w:r w:rsidRPr="006B3D66">
        <w:t>32, 2010</w:t>
      </w:r>
    </w:p>
    <w:p w:rsidR="002A35C4" w:rsidRPr="006B3D66" w:rsidRDefault="002A35C4" w:rsidP="0043673D">
      <w:pPr>
        <w:spacing w:before="1000"/>
        <w:rPr>
          <w:rFonts w:cs="Arial"/>
          <w:b/>
          <w:sz w:val="32"/>
          <w:szCs w:val="32"/>
        </w:rPr>
      </w:pPr>
      <w:r w:rsidRPr="006B3D66">
        <w:rPr>
          <w:rFonts w:cs="Arial"/>
          <w:b/>
          <w:sz w:val="32"/>
          <w:szCs w:val="32"/>
        </w:rPr>
        <w:t>Compilation No.</w:t>
      </w:r>
      <w:r w:rsidR="006B3D66">
        <w:rPr>
          <w:rFonts w:cs="Arial"/>
          <w:b/>
          <w:sz w:val="32"/>
          <w:szCs w:val="32"/>
        </w:rPr>
        <w:t> </w:t>
      </w:r>
      <w:r w:rsidRPr="006B3D66">
        <w:rPr>
          <w:rFonts w:cs="Arial"/>
          <w:b/>
          <w:sz w:val="32"/>
          <w:szCs w:val="32"/>
        </w:rPr>
        <w:fldChar w:fldCharType="begin"/>
      </w:r>
      <w:r w:rsidRPr="006B3D66">
        <w:rPr>
          <w:rFonts w:cs="Arial"/>
          <w:b/>
          <w:sz w:val="32"/>
          <w:szCs w:val="32"/>
        </w:rPr>
        <w:instrText xml:space="preserve"> DOCPROPERTY  CompilationNumber </w:instrText>
      </w:r>
      <w:r w:rsidRPr="006B3D66">
        <w:rPr>
          <w:rFonts w:cs="Arial"/>
          <w:b/>
          <w:sz w:val="32"/>
          <w:szCs w:val="32"/>
        </w:rPr>
        <w:fldChar w:fldCharType="separate"/>
      </w:r>
      <w:r w:rsidR="006B3D66">
        <w:rPr>
          <w:rFonts w:cs="Arial"/>
          <w:b/>
          <w:sz w:val="32"/>
          <w:szCs w:val="32"/>
        </w:rPr>
        <w:t>10</w:t>
      </w:r>
      <w:r w:rsidRPr="006B3D66">
        <w:rPr>
          <w:rFonts w:cs="Arial"/>
          <w:b/>
          <w:sz w:val="32"/>
          <w:szCs w:val="32"/>
        </w:rPr>
        <w:fldChar w:fldCharType="end"/>
      </w:r>
    </w:p>
    <w:p w:rsidR="002A35C4" w:rsidRPr="006B3D66" w:rsidRDefault="001A0418" w:rsidP="0043673D">
      <w:pPr>
        <w:spacing w:before="480"/>
        <w:rPr>
          <w:rFonts w:cs="Arial"/>
          <w:sz w:val="24"/>
        </w:rPr>
      </w:pPr>
      <w:r w:rsidRPr="006B3D66">
        <w:rPr>
          <w:rFonts w:cs="Arial"/>
          <w:b/>
          <w:sz w:val="24"/>
        </w:rPr>
        <w:t>Compilation date:</w:t>
      </w:r>
      <w:r w:rsidR="002A35C4" w:rsidRPr="006B3D66">
        <w:rPr>
          <w:rFonts w:cs="Arial"/>
          <w:sz w:val="24"/>
        </w:rPr>
        <w:tab/>
      </w:r>
      <w:r w:rsidR="002A35C4" w:rsidRPr="006B3D66">
        <w:rPr>
          <w:rFonts w:cs="Arial"/>
          <w:sz w:val="24"/>
        </w:rPr>
        <w:tab/>
      </w:r>
      <w:bookmarkStart w:id="0" w:name="_GoBack"/>
      <w:bookmarkEnd w:id="0"/>
      <w:r w:rsidR="002A35C4" w:rsidRPr="006B3D66">
        <w:rPr>
          <w:rFonts w:cs="Arial"/>
          <w:sz w:val="24"/>
        </w:rPr>
        <w:tab/>
      </w:r>
      <w:r w:rsidR="002A35C4" w:rsidRPr="006B3D66">
        <w:rPr>
          <w:rFonts w:cs="Arial"/>
          <w:sz w:val="24"/>
        </w:rPr>
        <w:fldChar w:fldCharType="begin"/>
      </w:r>
      <w:r w:rsidR="002A35C4" w:rsidRPr="006B3D66">
        <w:rPr>
          <w:rFonts w:cs="Arial"/>
          <w:sz w:val="24"/>
        </w:rPr>
        <w:instrText xml:space="preserve"> DOCPROPERTY StartDate \@ "d MMMM yyyy" \*MERGEFORMAT </w:instrText>
      </w:r>
      <w:r w:rsidR="002A35C4" w:rsidRPr="006B3D66">
        <w:rPr>
          <w:rFonts w:cs="Arial"/>
          <w:sz w:val="24"/>
        </w:rPr>
        <w:fldChar w:fldCharType="separate"/>
      </w:r>
      <w:r w:rsidR="006B3D66" w:rsidRPr="006B3D66">
        <w:rPr>
          <w:rFonts w:cs="Arial"/>
          <w:bCs/>
          <w:sz w:val="24"/>
        </w:rPr>
        <w:t>30</w:t>
      </w:r>
      <w:r w:rsidR="006B3D66">
        <w:rPr>
          <w:rFonts w:cs="Arial"/>
          <w:sz w:val="24"/>
        </w:rPr>
        <w:t xml:space="preserve"> June 2018</w:t>
      </w:r>
      <w:r w:rsidR="002A35C4" w:rsidRPr="006B3D66">
        <w:rPr>
          <w:rFonts w:cs="Arial"/>
          <w:sz w:val="24"/>
        </w:rPr>
        <w:fldChar w:fldCharType="end"/>
      </w:r>
    </w:p>
    <w:p w:rsidR="002A35C4" w:rsidRPr="006B3D66" w:rsidRDefault="002A35C4" w:rsidP="0043673D">
      <w:pPr>
        <w:spacing w:before="240"/>
        <w:rPr>
          <w:rFonts w:cs="Arial"/>
          <w:sz w:val="24"/>
        </w:rPr>
      </w:pPr>
      <w:r w:rsidRPr="006B3D66">
        <w:rPr>
          <w:rFonts w:cs="Arial"/>
          <w:b/>
          <w:sz w:val="24"/>
        </w:rPr>
        <w:t>Includes amendments up to:</w:t>
      </w:r>
      <w:r w:rsidRPr="006B3D66">
        <w:rPr>
          <w:rFonts w:cs="Arial"/>
          <w:sz w:val="24"/>
        </w:rPr>
        <w:tab/>
      </w:r>
      <w:r w:rsidRPr="006B3D66">
        <w:rPr>
          <w:rFonts w:cs="Arial"/>
          <w:sz w:val="24"/>
        </w:rPr>
        <w:fldChar w:fldCharType="begin"/>
      </w:r>
      <w:r w:rsidRPr="006B3D66">
        <w:rPr>
          <w:rFonts w:cs="Arial"/>
          <w:sz w:val="24"/>
        </w:rPr>
        <w:instrText xml:space="preserve"> DOCPROPERTY IncludesUpTo </w:instrText>
      </w:r>
      <w:r w:rsidRPr="006B3D66">
        <w:rPr>
          <w:rFonts w:cs="Arial"/>
          <w:sz w:val="24"/>
        </w:rPr>
        <w:fldChar w:fldCharType="separate"/>
      </w:r>
      <w:r w:rsidR="006B3D66">
        <w:rPr>
          <w:rFonts w:cs="Arial"/>
          <w:sz w:val="24"/>
        </w:rPr>
        <w:t>Act No. 67, 2018</w:t>
      </w:r>
      <w:r w:rsidRPr="006B3D66">
        <w:rPr>
          <w:rFonts w:cs="Arial"/>
          <w:sz w:val="24"/>
        </w:rPr>
        <w:fldChar w:fldCharType="end"/>
      </w:r>
    </w:p>
    <w:p w:rsidR="002A35C4" w:rsidRPr="006B3D66" w:rsidRDefault="002A35C4" w:rsidP="0043673D">
      <w:pPr>
        <w:spacing w:before="240"/>
        <w:rPr>
          <w:rFonts w:cs="Arial"/>
          <w:sz w:val="28"/>
          <w:szCs w:val="28"/>
        </w:rPr>
      </w:pPr>
      <w:r w:rsidRPr="006B3D66">
        <w:rPr>
          <w:rFonts w:cs="Arial"/>
          <w:b/>
          <w:sz w:val="24"/>
        </w:rPr>
        <w:t>Registered:</w:t>
      </w:r>
      <w:r w:rsidRPr="006B3D66">
        <w:rPr>
          <w:rFonts w:cs="Arial"/>
          <w:sz w:val="24"/>
        </w:rPr>
        <w:tab/>
      </w:r>
      <w:r w:rsidRPr="006B3D66">
        <w:rPr>
          <w:rFonts w:cs="Arial"/>
          <w:sz w:val="24"/>
        </w:rPr>
        <w:tab/>
      </w:r>
      <w:r w:rsidRPr="006B3D66">
        <w:rPr>
          <w:rFonts w:cs="Arial"/>
          <w:sz w:val="24"/>
        </w:rPr>
        <w:tab/>
      </w:r>
      <w:r w:rsidRPr="006B3D66">
        <w:rPr>
          <w:rFonts w:cs="Arial"/>
          <w:sz w:val="24"/>
        </w:rPr>
        <w:tab/>
      </w:r>
      <w:r w:rsidRPr="006B3D66">
        <w:rPr>
          <w:rFonts w:cs="Arial"/>
          <w:sz w:val="24"/>
        </w:rPr>
        <w:fldChar w:fldCharType="begin"/>
      </w:r>
      <w:r w:rsidRPr="006B3D66">
        <w:rPr>
          <w:rFonts w:cs="Arial"/>
          <w:sz w:val="24"/>
        </w:rPr>
        <w:instrText xml:space="preserve"> IF </w:instrText>
      </w:r>
      <w:r w:rsidRPr="006B3D66">
        <w:rPr>
          <w:rFonts w:cs="Arial"/>
          <w:sz w:val="24"/>
        </w:rPr>
        <w:fldChar w:fldCharType="begin"/>
      </w:r>
      <w:r w:rsidRPr="006B3D66">
        <w:rPr>
          <w:rFonts w:cs="Arial"/>
          <w:sz w:val="24"/>
        </w:rPr>
        <w:instrText xml:space="preserve"> DOCPROPERTY RegisteredDate </w:instrText>
      </w:r>
      <w:r w:rsidRPr="006B3D66">
        <w:rPr>
          <w:rFonts w:cs="Arial"/>
          <w:sz w:val="24"/>
        </w:rPr>
        <w:fldChar w:fldCharType="separate"/>
      </w:r>
      <w:r w:rsidR="006B3D66">
        <w:rPr>
          <w:rFonts w:cs="Arial"/>
          <w:sz w:val="24"/>
        </w:rPr>
        <w:instrText>9/07/2018</w:instrText>
      </w:r>
      <w:r w:rsidRPr="006B3D66">
        <w:rPr>
          <w:rFonts w:cs="Arial"/>
          <w:sz w:val="24"/>
        </w:rPr>
        <w:fldChar w:fldCharType="end"/>
      </w:r>
      <w:r w:rsidRPr="006B3D66">
        <w:rPr>
          <w:rFonts w:cs="Arial"/>
          <w:sz w:val="24"/>
        </w:rPr>
        <w:instrText xml:space="preserve"> = #1/1/1901# "Unknown" </w:instrText>
      </w:r>
      <w:r w:rsidRPr="006B3D66">
        <w:rPr>
          <w:rFonts w:cs="Arial"/>
          <w:sz w:val="24"/>
        </w:rPr>
        <w:fldChar w:fldCharType="begin"/>
      </w:r>
      <w:r w:rsidRPr="006B3D66">
        <w:rPr>
          <w:rFonts w:cs="Arial"/>
          <w:sz w:val="24"/>
        </w:rPr>
        <w:instrText xml:space="preserve"> DOCPROPERTY RegisteredDate \@ "d MMMM yyyy" </w:instrText>
      </w:r>
      <w:r w:rsidRPr="006B3D66">
        <w:rPr>
          <w:rFonts w:cs="Arial"/>
          <w:sz w:val="24"/>
        </w:rPr>
        <w:fldChar w:fldCharType="separate"/>
      </w:r>
      <w:r w:rsidR="006B3D66">
        <w:rPr>
          <w:rFonts w:cs="Arial"/>
          <w:sz w:val="24"/>
        </w:rPr>
        <w:instrText>9 July 2018</w:instrText>
      </w:r>
      <w:r w:rsidRPr="006B3D66">
        <w:rPr>
          <w:rFonts w:cs="Arial"/>
          <w:sz w:val="24"/>
        </w:rPr>
        <w:fldChar w:fldCharType="end"/>
      </w:r>
      <w:r w:rsidRPr="006B3D66">
        <w:rPr>
          <w:rFonts w:cs="Arial"/>
          <w:sz w:val="24"/>
        </w:rPr>
        <w:instrText xml:space="preserve"> \*MERGEFORMAT </w:instrText>
      </w:r>
      <w:r w:rsidRPr="006B3D66">
        <w:rPr>
          <w:rFonts w:cs="Arial"/>
          <w:sz w:val="24"/>
        </w:rPr>
        <w:fldChar w:fldCharType="separate"/>
      </w:r>
      <w:r w:rsidR="006B3D66" w:rsidRPr="006B3D66">
        <w:rPr>
          <w:rFonts w:cs="Arial"/>
          <w:bCs/>
          <w:noProof/>
          <w:sz w:val="24"/>
        </w:rPr>
        <w:t>9</w:t>
      </w:r>
      <w:r w:rsidR="006B3D66">
        <w:rPr>
          <w:rFonts w:cs="Arial"/>
          <w:noProof/>
          <w:sz w:val="24"/>
        </w:rPr>
        <w:t xml:space="preserve"> July 2018</w:t>
      </w:r>
      <w:r w:rsidRPr="006B3D66">
        <w:rPr>
          <w:rFonts w:cs="Arial"/>
          <w:sz w:val="24"/>
        </w:rPr>
        <w:fldChar w:fldCharType="end"/>
      </w:r>
    </w:p>
    <w:p w:rsidR="002A35C4" w:rsidRPr="006B3D66" w:rsidRDefault="002A35C4" w:rsidP="0043673D">
      <w:pPr>
        <w:rPr>
          <w:szCs w:val="22"/>
        </w:rPr>
      </w:pPr>
    </w:p>
    <w:p w:rsidR="002A35C4" w:rsidRPr="006B3D66" w:rsidRDefault="002A35C4" w:rsidP="0043673D">
      <w:pPr>
        <w:pageBreakBefore/>
        <w:rPr>
          <w:rFonts w:cs="Arial"/>
          <w:b/>
          <w:sz w:val="32"/>
          <w:szCs w:val="32"/>
        </w:rPr>
      </w:pPr>
      <w:r w:rsidRPr="006B3D66">
        <w:rPr>
          <w:rFonts w:cs="Arial"/>
          <w:b/>
          <w:sz w:val="32"/>
          <w:szCs w:val="32"/>
        </w:rPr>
        <w:lastRenderedPageBreak/>
        <w:t>About this compilation</w:t>
      </w:r>
    </w:p>
    <w:p w:rsidR="002A35C4" w:rsidRPr="006B3D66" w:rsidRDefault="002A35C4" w:rsidP="0043673D">
      <w:pPr>
        <w:spacing w:before="240"/>
        <w:rPr>
          <w:rFonts w:cs="Arial"/>
        </w:rPr>
      </w:pPr>
      <w:r w:rsidRPr="006B3D66">
        <w:rPr>
          <w:rFonts w:cs="Arial"/>
          <w:b/>
          <w:szCs w:val="22"/>
        </w:rPr>
        <w:t>This compilation</w:t>
      </w:r>
    </w:p>
    <w:p w:rsidR="002A35C4" w:rsidRPr="006B3D66" w:rsidRDefault="002A35C4" w:rsidP="0043673D">
      <w:pPr>
        <w:spacing w:before="120" w:after="120"/>
        <w:rPr>
          <w:rFonts w:cs="Arial"/>
          <w:szCs w:val="22"/>
        </w:rPr>
      </w:pPr>
      <w:r w:rsidRPr="006B3D66">
        <w:rPr>
          <w:rFonts w:cs="Arial"/>
          <w:szCs w:val="22"/>
        </w:rPr>
        <w:t xml:space="preserve">This is a compilation of the </w:t>
      </w:r>
      <w:r w:rsidRPr="006B3D66">
        <w:rPr>
          <w:rFonts w:cs="Arial"/>
          <w:i/>
          <w:szCs w:val="22"/>
        </w:rPr>
        <w:fldChar w:fldCharType="begin"/>
      </w:r>
      <w:r w:rsidRPr="006B3D66">
        <w:rPr>
          <w:rFonts w:cs="Arial"/>
          <w:i/>
          <w:szCs w:val="22"/>
        </w:rPr>
        <w:instrText xml:space="preserve"> STYLEREF  ShortT </w:instrText>
      </w:r>
      <w:r w:rsidRPr="006B3D66">
        <w:rPr>
          <w:rFonts w:cs="Arial"/>
          <w:i/>
          <w:szCs w:val="22"/>
        </w:rPr>
        <w:fldChar w:fldCharType="separate"/>
      </w:r>
      <w:r w:rsidR="006B3D66">
        <w:rPr>
          <w:rFonts w:cs="Arial"/>
          <w:i/>
          <w:noProof/>
          <w:szCs w:val="22"/>
        </w:rPr>
        <w:t>Independent National Security Legislation Monitor Act 2010</w:t>
      </w:r>
      <w:r w:rsidRPr="006B3D66">
        <w:rPr>
          <w:rFonts w:cs="Arial"/>
          <w:i/>
          <w:szCs w:val="22"/>
        </w:rPr>
        <w:fldChar w:fldCharType="end"/>
      </w:r>
      <w:r w:rsidRPr="006B3D66">
        <w:rPr>
          <w:rFonts w:cs="Arial"/>
          <w:szCs w:val="22"/>
        </w:rPr>
        <w:t xml:space="preserve"> that shows the text of the law as amended and in force on </w:t>
      </w:r>
      <w:r w:rsidRPr="006B3D66">
        <w:rPr>
          <w:rFonts w:cs="Arial"/>
          <w:szCs w:val="22"/>
        </w:rPr>
        <w:fldChar w:fldCharType="begin"/>
      </w:r>
      <w:r w:rsidRPr="006B3D66">
        <w:rPr>
          <w:rFonts w:cs="Arial"/>
          <w:szCs w:val="22"/>
        </w:rPr>
        <w:instrText xml:space="preserve"> DOCPROPERTY StartDate \@ "d MMMM yyyy" </w:instrText>
      </w:r>
      <w:r w:rsidRPr="006B3D66">
        <w:rPr>
          <w:rFonts w:cs="Arial"/>
          <w:szCs w:val="22"/>
        </w:rPr>
        <w:fldChar w:fldCharType="separate"/>
      </w:r>
      <w:r w:rsidR="006B3D66">
        <w:rPr>
          <w:rFonts w:cs="Arial"/>
          <w:szCs w:val="22"/>
        </w:rPr>
        <w:t>30 June 2018</w:t>
      </w:r>
      <w:r w:rsidRPr="006B3D66">
        <w:rPr>
          <w:rFonts w:cs="Arial"/>
          <w:szCs w:val="22"/>
        </w:rPr>
        <w:fldChar w:fldCharType="end"/>
      </w:r>
      <w:r w:rsidRPr="006B3D66">
        <w:rPr>
          <w:rFonts w:cs="Arial"/>
          <w:szCs w:val="22"/>
        </w:rPr>
        <w:t xml:space="preserve"> (the </w:t>
      </w:r>
      <w:r w:rsidRPr="006B3D66">
        <w:rPr>
          <w:rFonts w:cs="Arial"/>
          <w:b/>
          <w:i/>
          <w:szCs w:val="22"/>
        </w:rPr>
        <w:t>compilation date</w:t>
      </w:r>
      <w:r w:rsidRPr="006B3D66">
        <w:rPr>
          <w:rFonts w:cs="Arial"/>
          <w:szCs w:val="22"/>
        </w:rPr>
        <w:t>).</w:t>
      </w:r>
    </w:p>
    <w:p w:rsidR="002A35C4" w:rsidRPr="006B3D66" w:rsidRDefault="002A35C4" w:rsidP="0043673D">
      <w:pPr>
        <w:spacing w:after="120"/>
        <w:rPr>
          <w:rFonts w:cs="Arial"/>
          <w:szCs w:val="22"/>
        </w:rPr>
      </w:pPr>
      <w:r w:rsidRPr="006B3D66">
        <w:rPr>
          <w:rFonts w:cs="Arial"/>
          <w:szCs w:val="22"/>
        </w:rPr>
        <w:t xml:space="preserve">The notes at the end of this compilation (the </w:t>
      </w:r>
      <w:r w:rsidRPr="006B3D66">
        <w:rPr>
          <w:rFonts w:cs="Arial"/>
          <w:b/>
          <w:i/>
          <w:szCs w:val="22"/>
        </w:rPr>
        <w:t>endnotes</w:t>
      </w:r>
      <w:r w:rsidRPr="006B3D66">
        <w:rPr>
          <w:rFonts w:cs="Arial"/>
          <w:szCs w:val="22"/>
        </w:rPr>
        <w:t>) include information about amending laws and the amendment history of provisions of the compiled law.</w:t>
      </w:r>
    </w:p>
    <w:p w:rsidR="002A35C4" w:rsidRPr="006B3D66" w:rsidRDefault="002A35C4" w:rsidP="0043673D">
      <w:pPr>
        <w:tabs>
          <w:tab w:val="left" w:pos="5640"/>
        </w:tabs>
        <w:spacing w:before="120" w:after="120"/>
        <w:rPr>
          <w:rFonts w:cs="Arial"/>
          <w:b/>
          <w:szCs w:val="22"/>
        </w:rPr>
      </w:pPr>
      <w:r w:rsidRPr="006B3D66">
        <w:rPr>
          <w:rFonts w:cs="Arial"/>
          <w:b/>
          <w:szCs w:val="22"/>
        </w:rPr>
        <w:t>Uncommenced amendments</w:t>
      </w:r>
    </w:p>
    <w:p w:rsidR="002A35C4" w:rsidRPr="006B3D66" w:rsidRDefault="002A35C4" w:rsidP="0043673D">
      <w:pPr>
        <w:spacing w:after="120"/>
        <w:rPr>
          <w:rFonts w:cs="Arial"/>
          <w:szCs w:val="22"/>
        </w:rPr>
      </w:pPr>
      <w:r w:rsidRPr="006B3D6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A35C4" w:rsidRPr="006B3D66" w:rsidRDefault="002A35C4" w:rsidP="0043673D">
      <w:pPr>
        <w:spacing w:before="120" w:after="120"/>
        <w:rPr>
          <w:rFonts w:cs="Arial"/>
          <w:b/>
          <w:szCs w:val="22"/>
        </w:rPr>
      </w:pPr>
      <w:r w:rsidRPr="006B3D66">
        <w:rPr>
          <w:rFonts w:cs="Arial"/>
          <w:b/>
          <w:szCs w:val="22"/>
        </w:rPr>
        <w:t>Application, saving and transitional provisions for provisions and amendments</w:t>
      </w:r>
    </w:p>
    <w:p w:rsidR="002A35C4" w:rsidRPr="006B3D66" w:rsidRDefault="002A35C4" w:rsidP="0043673D">
      <w:pPr>
        <w:spacing w:after="120"/>
        <w:rPr>
          <w:rFonts w:cs="Arial"/>
          <w:szCs w:val="22"/>
        </w:rPr>
      </w:pPr>
      <w:r w:rsidRPr="006B3D66">
        <w:rPr>
          <w:rFonts w:cs="Arial"/>
          <w:szCs w:val="22"/>
        </w:rPr>
        <w:t>If the operation of a provision or amendment of the compiled law is affected by an application, saving or transitional provision that is not included in this compilation, details are included in the endnotes.</w:t>
      </w:r>
    </w:p>
    <w:p w:rsidR="002A35C4" w:rsidRPr="006B3D66" w:rsidRDefault="002A35C4" w:rsidP="0043673D">
      <w:pPr>
        <w:spacing w:after="120"/>
        <w:rPr>
          <w:rFonts w:cs="Arial"/>
          <w:b/>
          <w:szCs w:val="22"/>
        </w:rPr>
      </w:pPr>
      <w:r w:rsidRPr="006B3D66">
        <w:rPr>
          <w:rFonts w:cs="Arial"/>
          <w:b/>
          <w:szCs w:val="22"/>
        </w:rPr>
        <w:t>Editorial changes</w:t>
      </w:r>
    </w:p>
    <w:p w:rsidR="002A35C4" w:rsidRPr="006B3D66" w:rsidRDefault="002A35C4" w:rsidP="0043673D">
      <w:pPr>
        <w:spacing w:after="120"/>
        <w:rPr>
          <w:rFonts w:cs="Arial"/>
          <w:szCs w:val="22"/>
        </w:rPr>
      </w:pPr>
      <w:r w:rsidRPr="006B3D66">
        <w:rPr>
          <w:rFonts w:cs="Arial"/>
          <w:szCs w:val="22"/>
        </w:rPr>
        <w:t>For more information about any editorial changes made in this compilation, see the endnotes.</w:t>
      </w:r>
    </w:p>
    <w:p w:rsidR="002A35C4" w:rsidRPr="006B3D66" w:rsidRDefault="002A35C4" w:rsidP="0043673D">
      <w:pPr>
        <w:spacing w:before="120" w:after="120"/>
        <w:rPr>
          <w:rFonts w:cs="Arial"/>
          <w:b/>
          <w:szCs w:val="22"/>
        </w:rPr>
      </w:pPr>
      <w:r w:rsidRPr="006B3D66">
        <w:rPr>
          <w:rFonts w:cs="Arial"/>
          <w:b/>
          <w:szCs w:val="22"/>
        </w:rPr>
        <w:t>Modifications</w:t>
      </w:r>
    </w:p>
    <w:p w:rsidR="002A35C4" w:rsidRPr="006B3D66" w:rsidRDefault="002A35C4" w:rsidP="0043673D">
      <w:pPr>
        <w:spacing w:after="120"/>
        <w:rPr>
          <w:rFonts w:cs="Arial"/>
          <w:szCs w:val="22"/>
        </w:rPr>
      </w:pPr>
      <w:r w:rsidRPr="006B3D6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A35C4" w:rsidRPr="006B3D66" w:rsidRDefault="002A35C4" w:rsidP="0043673D">
      <w:pPr>
        <w:spacing w:before="80" w:after="120"/>
        <w:rPr>
          <w:rFonts w:cs="Arial"/>
          <w:b/>
          <w:szCs w:val="22"/>
        </w:rPr>
      </w:pPr>
      <w:r w:rsidRPr="006B3D66">
        <w:rPr>
          <w:rFonts w:cs="Arial"/>
          <w:b/>
          <w:szCs w:val="22"/>
        </w:rPr>
        <w:t>Self</w:t>
      </w:r>
      <w:r w:rsidR="006B3D66">
        <w:rPr>
          <w:rFonts w:cs="Arial"/>
          <w:b/>
          <w:szCs w:val="22"/>
        </w:rPr>
        <w:noBreakHyphen/>
      </w:r>
      <w:r w:rsidRPr="006B3D66">
        <w:rPr>
          <w:rFonts w:cs="Arial"/>
          <w:b/>
          <w:szCs w:val="22"/>
        </w:rPr>
        <w:t>repealing provisions</w:t>
      </w:r>
    </w:p>
    <w:p w:rsidR="002A35C4" w:rsidRPr="006B3D66" w:rsidRDefault="002A35C4" w:rsidP="0043673D">
      <w:pPr>
        <w:spacing w:after="120"/>
        <w:rPr>
          <w:rFonts w:cs="Arial"/>
          <w:szCs w:val="22"/>
        </w:rPr>
      </w:pPr>
      <w:r w:rsidRPr="006B3D66">
        <w:rPr>
          <w:rFonts w:cs="Arial"/>
          <w:szCs w:val="22"/>
        </w:rPr>
        <w:t>If a provision of the compiled law has been repealed in accordance with a provision of the law, details are included in the endnotes.</w:t>
      </w:r>
    </w:p>
    <w:p w:rsidR="002A35C4" w:rsidRPr="006B3D66" w:rsidRDefault="002A35C4" w:rsidP="0043673D">
      <w:pPr>
        <w:pStyle w:val="Header"/>
        <w:tabs>
          <w:tab w:val="clear" w:pos="4150"/>
          <w:tab w:val="clear" w:pos="8307"/>
        </w:tabs>
      </w:pPr>
      <w:r w:rsidRPr="006B3D66">
        <w:rPr>
          <w:rStyle w:val="CharChapNo"/>
        </w:rPr>
        <w:t xml:space="preserve"> </w:t>
      </w:r>
      <w:r w:rsidRPr="006B3D66">
        <w:rPr>
          <w:rStyle w:val="CharChapText"/>
        </w:rPr>
        <w:t xml:space="preserve"> </w:t>
      </w:r>
    </w:p>
    <w:p w:rsidR="002A35C4" w:rsidRPr="006B3D66" w:rsidRDefault="002A35C4" w:rsidP="0043673D">
      <w:pPr>
        <w:pStyle w:val="Header"/>
        <w:tabs>
          <w:tab w:val="clear" w:pos="4150"/>
          <w:tab w:val="clear" w:pos="8307"/>
        </w:tabs>
      </w:pPr>
      <w:r w:rsidRPr="006B3D66">
        <w:rPr>
          <w:rStyle w:val="CharPartNo"/>
        </w:rPr>
        <w:t xml:space="preserve"> </w:t>
      </w:r>
      <w:r w:rsidRPr="006B3D66">
        <w:rPr>
          <w:rStyle w:val="CharPartText"/>
        </w:rPr>
        <w:t xml:space="preserve"> </w:t>
      </w:r>
    </w:p>
    <w:p w:rsidR="002A35C4" w:rsidRPr="006B3D66" w:rsidRDefault="002A35C4" w:rsidP="0043673D">
      <w:pPr>
        <w:pStyle w:val="Header"/>
        <w:tabs>
          <w:tab w:val="clear" w:pos="4150"/>
          <w:tab w:val="clear" w:pos="8307"/>
        </w:tabs>
      </w:pPr>
      <w:r w:rsidRPr="006B3D66">
        <w:rPr>
          <w:rStyle w:val="CharDivNo"/>
        </w:rPr>
        <w:t xml:space="preserve"> </w:t>
      </w:r>
      <w:r w:rsidRPr="006B3D66">
        <w:rPr>
          <w:rStyle w:val="CharDivText"/>
        </w:rPr>
        <w:t xml:space="preserve"> </w:t>
      </w:r>
    </w:p>
    <w:p w:rsidR="002A35C4" w:rsidRPr="006B3D66" w:rsidRDefault="002A35C4" w:rsidP="0043673D">
      <w:pPr>
        <w:sectPr w:rsidR="002A35C4" w:rsidRPr="006B3D66" w:rsidSect="00D8724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272EC3" w:rsidRPr="006B3D66" w:rsidRDefault="00272EC3" w:rsidP="000279EB">
      <w:r w:rsidRPr="006B3D66">
        <w:rPr>
          <w:rFonts w:cs="Times New Roman"/>
          <w:sz w:val="36"/>
        </w:rPr>
        <w:lastRenderedPageBreak/>
        <w:t>Contents</w:t>
      </w:r>
    </w:p>
    <w:p w:rsidR="006B3D66" w:rsidRDefault="00717D35">
      <w:pPr>
        <w:pStyle w:val="TOC2"/>
        <w:rPr>
          <w:rFonts w:asciiTheme="minorHAnsi" w:eastAsiaTheme="minorEastAsia" w:hAnsiTheme="minorHAnsi" w:cstheme="minorBidi"/>
          <w:b w:val="0"/>
          <w:noProof/>
          <w:kern w:val="0"/>
          <w:sz w:val="22"/>
          <w:szCs w:val="22"/>
        </w:rPr>
      </w:pPr>
      <w:r w:rsidRPr="006B3D66">
        <w:rPr>
          <w:iCs/>
          <w:szCs w:val="28"/>
        </w:rPr>
        <w:fldChar w:fldCharType="begin"/>
      </w:r>
      <w:r w:rsidRPr="006B3D66">
        <w:instrText xml:space="preserve"> TOC \o "1-9" \t "ActHead 1,2,ActHead 2,2,ActHead 3,3,ActHead 4,4,ActHead 5,5, Schedule,2, Schedule Text,3, NotesSection,6" </w:instrText>
      </w:r>
      <w:r w:rsidRPr="006B3D66">
        <w:rPr>
          <w:iCs/>
          <w:szCs w:val="28"/>
        </w:rPr>
        <w:fldChar w:fldCharType="separate"/>
      </w:r>
      <w:r w:rsidR="006B3D66">
        <w:rPr>
          <w:noProof/>
        </w:rPr>
        <w:t>Part 1—Preliminary</w:t>
      </w:r>
      <w:r w:rsidR="006B3D66" w:rsidRPr="006B3D66">
        <w:rPr>
          <w:b w:val="0"/>
          <w:noProof/>
          <w:sz w:val="18"/>
        </w:rPr>
        <w:tab/>
      </w:r>
      <w:r w:rsidR="006B3D66" w:rsidRPr="006B3D66">
        <w:rPr>
          <w:b w:val="0"/>
          <w:noProof/>
          <w:sz w:val="18"/>
        </w:rPr>
        <w:fldChar w:fldCharType="begin"/>
      </w:r>
      <w:r w:rsidR="006B3D66" w:rsidRPr="006B3D66">
        <w:rPr>
          <w:b w:val="0"/>
          <w:noProof/>
          <w:sz w:val="18"/>
        </w:rPr>
        <w:instrText xml:space="preserve"> PAGEREF _Toc518896195 \h </w:instrText>
      </w:r>
      <w:r w:rsidR="006B3D66" w:rsidRPr="006B3D66">
        <w:rPr>
          <w:b w:val="0"/>
          <w:noProof/>
          <w:sz w:val="18"/>
        </w:rPr>
      </w:r>
      <w:r w:rsidR="006B3D66" w:rsidRPr="006B3D66">
        <w:rPr>
          <w:b w:val="0"/>
          <w:noProof/>
          <w:sz w:val="18"/>
        </w:rPr>
        <w:fldChar w:fldCharType="separate"/>
      </w:r>
      <w:r w:rsidR="006B3D66" w:rsidRPr="006B3D66">
        <w:rPr>
          <w:b w:val="0"/>
          <w:noProof/>
          <w:sz w:val="18"/>
        </w:rPr>
        <w:t>1</w:t>
      </w:r>
      <w:r w:rsidR="006B3D66" w:rsidRPr="006B3D66">
        <w:rPr>
          <w:b w:val="0"/>
          <w:noProof/>
          <w:sz w:val="18"/>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w:t>
      </w:r>
      <w:r>
        <w:rPr>
          <w:noProof/>
        </w:rPr>
        <w:tab/>
        <w:t>Short title</w:t>
      </w:r>
      <w:r w:rsidRPr="006B3D66">
        <w:rPr>
          <w:noProof/>
        </w:rPr>
        <w:tab/>
      </w:r>
      <w:r w:rsidRPr="006B3D66">
        <w:rPr>
          <w:noProof/>
        </w:rPr>
        <w:fldChar w:fldCharType="begin"/>
      </w:r>
      <w:r w:rsidRPr="006B3D66">
        <w:rPr>
          <w:noProof/>
        </w:rPr>
        <w:instrText xml:space="preserve"> PAGEREF _Toc518896196 \h </w:instrText>
      </w:r>
      <w:r w:rsidRPr="006B3D66">
        <w:rPr>
          <w:noProof/>
        </w:rPr>
      </w:r>
      <w:r w:rsidRPr="006B3D66">
        <w:rPr>
          <w:noProof/>
        </w:rPr>
        <w:fldChar w:fldCharType="separate"/>
      </w:r>
      <w:r w:rsidRPr="006B3D66">
        <w:rPr>
          <w:noProof/>
        </w:rPr>
        <w:t>1</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w:t>
      </w:r>
      <w:r>
        <w:rPr>
          <w:noProof/>
        </w:rPr>
        <w:tab/>
        <w:t>Commencement</w:t>
      </w:r>
      <w:r w:rsidRPr="006B3D66">
        <w:rPr>
          <w:noProof/>
        </w:rPr>
        <w:tab/>
      </w:r>
      <w:r w:rsidRPr="006B3D66">
        <w:rPr>
          <w:noProof/>
        </w:rPr>
        <w:fldChar w:fldCharType="begin"/>
      </w:r>
      <w:r w:rsidRPr="006B3D66">
        <w:rPr>
          <w:noProof/>
        </w:rPr>
        <w:instrText xml:space="preserve"> PAGEREF _Toc518896197 \h </w:instrText>
      </w:r>
      <w:r w:rsidRPr="006B3D66">
        <w:rPr>
          <w:noProof/>
        </w:rPr>
      </w:r>
      <w:r w:rsidRPr="006B3D66">
        <w:rPr>
          <w:noProof/>
        </w:rPr>
        <w:fldChar w:fldCharType="separate"/>
      </w:r>
      <w:r w:rsidRPr="006B3D66">
        <w:rPr>
          <w:noProof/>
        </w:rPr>
        <w:t>1</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3</w:t>
      </w:r>
      <w:r>
        <w:rPr>
          <w:noProof/>
        </w:rPr>
        <w:tab/>
        <w:t>Object</w:t>
      </w:r>
      <w:r w:rsidRPr="006B3D66">
        <w:rPr>
          <w:noProof/>
        </w:rPr>
        <w:tab/>
      </w:r>
      <w:r w:rsidRPr="006B3D66">
        <w:rPr>
          <w:noProof/>
        </w:rPr>
        <w:fldChar w:fldCharType="begin"/>
      </w:r>
      <w:r w:rsidRPr="006B3D66">
        <w:rPr>
          <w:noProof/>
        </w:rPr>
        <w:instrText xml:space="preserve"> PAGEREF _Toc518896198 \h </w:instrText>
      </w:r>
      <w:r w:rsidRPr="006B3D66">
        <w:rPr>
          <w:noProof/>
        </w:rPr>
      </w:r>
      <w:r w:rsidRPr="006B3D66">
        <w:rPr>
          <w:noProof/>
        </w:rPr>
        <w:fldChar w:fldCharType="separate"/>
      </w:r>
      <w:r w:rsidRPr="006B3D66">
        <w:rPr>
          <w:noProof/>
        </w:rPr>
        <w:t>1</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4</w:t>
      </w:r>
      <w:r>
        <w:rPr>
          <w:noProof/>
        </w:rPr>
        <w:tab/>
        <w:t>Definitions</w:t>
      </w:r>
      <w:r w:rsidRPr="006B3D66">
        <w:rPr>
          <w:noProof/>
        </w:rPr>
        <w:tab/>
      </w:r>
      <w:r w:rsidRPr="006B3D66">
        <w:rPr>
          <w:noProof/>
        </w:rPr>
        <w:fldChar w:fldCharType="begin"/>
      </w:r>
      <w:r w:rsidRPr="006B3D66">
        <w:rPr>
          <w:noProof/>
        </w:rPr>
        <w:instrText xml:space="preserve"> PAGEREF _Toc518896199 \h </w:instrText>
      </w:r>
      <w:r w:rsidRPr="006B3D66">
        <w:rPr>
          <w:noProof/>
        </w:rPr>
      </w:r>
      <w:r w:rsidRPr="006B3D66">
        <w:rPr>
          <w:noProof/>
        </w:rPr>
        <w:fldChar w:fldCharType="separate"/>
      </w:r>
      <w:r w:rsidRPr="006B3D66">
        <w:rPr>
          <w:noProof/>
        </w:rPr>
        <w:t>2</w:t>
      </w:r>
      <w:r w:rsidRPr="006B3D66">
        <w:rPr>
          <w:noProof/>
        </w:rPr>
        <w:fldChar w:fldCharType="end"/>
      </w:r>
    </w:p>
    <w:p w:rsidR="006B3D66" w:rsidRDefault="006B3D66">
      <w:pPr>
        <w:pStyle w:val="TOC2"/>
        <w:rPr>
          <w:rFonts w:asciiTheme="minorHAnsi" w:eastAsiaTheme="minorEastAsia" w:hAnsiTheme="minorHAnsi" w:cstheme="minorBidi"/>
          <w:b w:val="0"/>
          <w:noProof/>
          <w:kern w:val="0"/>
          <w:sz w:val="22"/>
          <w:szCs w:val="22"/>
        </w:rPr>
      </w:pPr>
      <w:r>
        <w:rPr>
          <w:noProof/>
        </w:rPr>
        <w:t>Part 2—Independent National Security Legislation Monitor</w:t>
      </w:r>
      <w:r w:rsidRPr="006B3D66">
        <w:rPr>
          <w:b w:val="0"/>
          <w:noProof/>
          <w:sz w:val="18"/>
        </w:rPr>
        <w:tab/>
      </w:r>
      <w:r w:rsidRPr="006B3D66">
        <w:rPr>
          <w:b w:val="0"/>
          <w:noProof/>
          <w:sz w:val="18"/>
        </w:rPr>
        <w:fldChar w:fldCharType="begin"/>
      </w:r>
      <w:r w:rsidRPr="006B3D66">
        <w:rPr>
          <w:b w:val="0"/>
          <w:noProof/>
          <w:sz w:val="18"/>
        </w:rPr>
        <w:instrText xml:space="preserve"> PAGEREF _Toc518896200 \h </w:instrText>
      </w:r>
      <w:r w:rsidRPr="006B3D66">
        <w:rPr>
          <w:b w:val="0"/>
          <w:noProof/>
          <w:sz w:val="18"/>
        </w:rPr>
      </w:r>
      <w:r w:rsidRPr="006B3D66">
        <w:rPr>
          <w:b w:val="0"/>
          <w:noProof/>
          <w:sz w:val="18"/>
        </w:rPr>
        <w:fldChar w:fldCharType="separate"/>
      </w:r>
      <w:r w:rsidRPr="006B3D66">
        <w:rPr>
          <w:b w:val="0"/>
          <w:noProof/>
          <w:sz w:val="18"/>
        </w:rPr>
        <w:t>6</w:t>
      </w:r>
      <w:r w:rsidRPr="006B3D66">
        <w:rPr>
          <w:b w:val="0"/>
          <w:noProof/>
          <w:sz w:val="18"/>
        </w:rPr>
        <w:fldChar w:fldCharType="end"/>
      </w:r>
    </w:p>
    <w:p w:rsidR="006B3D66" w:rsidRDefault="006B3D66">
      <w:pPr>
        <w:pStyle w:val="TOC3"/>
        <w:rPr>
          <w:rFonts w:asciiTheme="minorHAnsi" w:eastAsiaTheme="minorEastAsia" w:hAnsiTheme="minorHAnsi" w:cstheme="minorBidi"/>
          <w:b w:val="0"/>
          <w:noProof/>
          <w:kern w:val="0"/>
          <w:szCs w:val="22"/>
        </w:rPr>
      </w:pPr>
      <w:r>
        <w:rPr>
          <w:noProof/>
        </w:rPr>
        <w:t>Division 1—Establishment, functions and powers of Independent National Security Legislation Monitor</w:t>
      </w:r>
      <w:r w:rsidRPr="006B3D66">
        <w:rPr>
          <w:b w:val="0"/>
          <w:noProof/>
          <w:sz w:val="18"/>
        </w:rPr>
        <w:tab/>
      </w:r>
      <w:r w:rsidRPr="006B3D66">
        <w:rPr>
          <w:b w:val="0"/>
          <w:noProof/>
          <w:sz w:val="18"/>
        </w:rPr>
        <w:fldChar w:fldCharType="begin"/>
      </w:r>
      <w:r w:rsidRPr="006B3D66">
        <w:rPr>
          <w:b w:val="0"/>
          <w:noProof/>
          <w:sz w:val="18"/>
        </w:rPr>
        <w:instrText xml:space="preserve"> PAGEREF _Toc518896201 \h </w:instrText>
      </w:r>
      <w:r w:rsidRPr="006B3D66">
        <w:rPr>
          <w:b w:val="0"/>
          <w:noProof/>
          <w:sz w:val="18"/>
        </w:rPr>
      </w:r>
      <w:r w:rsidRPr="006B3D66">
        <w:rPr>
          <w:b w:val="0"/>
          <w:noProof/>
          <w:sz w:val="18"/>
        </w:rPr>
        <w:fldChar w:fldCharType="separate"/>
      </w:r>
      <w:r w:rsidRPr="006B3D66">
        <w:rPr>
          <w:b w:val="0"/>
          <w:noProof/>
          <w:sz w:val="18"/>
        </w:rPr>
        <w:t>6</w:t>
      </w:r>
      <w:r w:rsidRPr="006B3D66">
        <w:rPr>
          <w:b w:val="0"/>
          <w:noProof/>
          <w:sz w:val="18"/>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5</w:t>
      </w:r>
      <w:r>
        <w:rPr>
          <w:noProof/>
        </w:rPr>
        <w:tab/>
        <w:t>Independent National Security Legislation Monitor</w:t>
      </w:r>
      <w:r w:rsidRPr="006B3D66">
        <w:rPr>
          <w:noProof/>
        </w:rPr>
        <w:tab/>
      </w:r>
      <w:r w:rsidRPr="006B3D66">
        <w:rPr>
          <w:noProof/>
        </w:rPr>
        <w:fldChar w:fldCharType="begin"/>
      </w:r>
      <w:r w:rsidRPr="006B3D66">
        <w:rPr>
          <w:noProof/>
        </w:rPr>
        <w:instrText xml:space="preserve"> PAGEREF _Toc518896202 \h </w:instrText>
      </w:r>
      <w:r w:rsidRPr="006B3D66">
        <w:rPr>
          <w:noProof/>
        </w:rPr>
      </w:r>
      <w:r w:rsidRPr="006B3D66">
        <w:rPr>
          <w:noProof/>
        </w:rPr>
        <w:fldChar w:fldCharType="separate"/>
      </w:r>
      <w:r w:rsidRPr="006B3D66">
        <w:rPr>
          <w:noProof/>
        </w:rPr>
        <w:t>6</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6</w:t>
      </w:r>
      <w:r>
        <w:rPr>
          <w:noProof/>
        </w:rPr>
        <w:tab/>
        <w:t>Functions of the Independent National Security Legislation Monitor</w:t>
      </w:r>
      <w:r w:rsidRPr="006B3D66">
        <w:rPr>
          <w:noProof/>
        </w:rPr>
        <w:tab/>
      </w:r>
      <w:r w:rsidRPr="006B3D66">
        <w:rPr>
          <w:noProof/>
        </w:rPr>
        <w:fldChar w:fldCharType="begin"/>
      </w:r>
      <w:r w:rsidRPr="006B3D66">
        <w:rPr>
          <w:noProof/>
        </w:rPr>
        <w:instrText xml:space="preserve"> PAGEREF _Toc518896203 \h </w:instrText>
      </w:r>
      <w:r w:rsidRPr="006B3D66">
        <w:rPr>
          <w:noProof/>
        </w:rPr>
      </w:r>
      <w:r w:rsidRPr="006B3D66">
        <w:rPr>
          <w:noProof/>
        </w:rPr>
        <w:fldChar w:fldCharType="separate"/>
      </w:r>
      <w:r w:rsidRPr="006B3D66">
        <w:rPr>
          <w:noProof/>
        </w:rPr>
        <w:t>6</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7</w:t>
      </w:r>
      <w:r>
        <w:rPr>
          <w:noProof/>
        </w:rPr>
        <w:tab/>
        <w:t>References to the Independent National Security Legislation Monitor by the Prime Minister or the Attorney</w:t>
      </w:r>
      <w:r>
        <w:rPr>
          <w:noProof/>
        </w:rPr>
        <w:noBreakHyphen/>
        <w:t>General</w:t>
      </w:r>
      <w:r w:rsidRPr="006B3D66">
        <w:rPr>
          <w:noProof/>
        </w:rPr>
        <w:tab/>
      </w:r>
      <w:r w:rsidRPr="006B3D66">
        <w:rPr>
          <w:noProof/>
        </w:rPr>
        <w:fldChar w:fldCharType="begin"/>
      </w:r>
      <w:r w:rsidRPr="006B3D66">
        <w:rPr>
          <w:noProof/>
        </w:rPr>
        <w:instrText xml:space="preserve"> PAGEREF _Toc518896204 \h </w:instrText>
      </w:r>
      <w:r w:rsidRPr="006B3D66">
        <w:rPr>
          <w:noProof/>
        </w:rPr>
      </w:r>
      <w:r w:rsidRPr="006B3D66">
        <w:rPr>
          <w:noProof/>
        </w:rPr>
        <w:fldChar w:fldCharType="separate"/>
      </w:r>
      <w:r w:rsidRPr="006B3D66">
        <w:rPr>
          <w:noProof/>
        </w:rPr>
        <w:t>8</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7A</w:t>
      </w:r>
      <w:r>
        <w:rPr>
          <w:noProof/>
        </w:rPr>
        <w:tab/>
        <w:t>References to the Independent National Security Legislation Monitor by the Committee on Intelligence and Security</w:t>
      </w:r>
      <w:r w:rsidRPr="006B3D66">
        <w:rPr>
          <w:noProof/>
        </w:rPr>
        <w:tab/>
      </w:r>
      <w:r w:rsidRPr="006B3D66">
        <w:rPr>
          <w:noProof/>
        </w:rPr>
        <w:fldChar w:fldCharType="begin"/>
      </w:r>
      <w:r w:rsidRPr="006B3D66">
        <w:rPr>
          <w:noProof/>
        </w:rPr>
        <w:instrText xml:space="preserve"> PAGEREF _Toc518896205 \h </w:instrText>
      </w:r>
      <w:r w:rsidRPr="006B3D66">
        <w:rPr>
          <w:noProof/>
        </w:rPr>
      </w:r>
      <w:r w:rsidRPr="006B3D66">
        <w:rPr>
          <w:noProof/>
        </w:rPr>
        <w:fldChar w:fldCharType="separate"/>
      </w:r>
      <w:r w:rsidRPr="006B3D66">
        <w:rPr>
          <w:noProof/>
        </w:rPr>
        <w:t>8</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8</w:t>
      </w:r>
      <w:r>
        <w:rPr>
          <w:noProof/>
        </w:rPr>
        <w:tab/>
        <w:t>Regard to be had to international obligations and constitutional arrangements</w:t>
      </w:r>
      <w:r w:rsidRPr="006B3D66">
        <w:rPr>
          <w:noProof/>
        </w:rPr>
        <w:tab/>
      </w:r>
      <w:r w:rsidRPr="006B3D66">
        <w:rPr>
          <w:noProof/>
        </w:rPr>
        <w:fldChar w:fldCharType="begin"/>
      </w:r>
      <w:r w:rsidRPr="006B3D66">
        <w:rPr>
          <w:noProof/>
        </w:rPr>
        <w:instrText xml:space="preserve"> PAGEREF _Toc518896206 \h </w:instrText>
      </w:r>
      <w:r w:rsidRPr="006B3D66">
        <w:rPr>
          <w:noProof/>
        </w:rPr>
      </w:r>
      <w:r w:rsidRPr="006B3D66">
        <w:rPr>
          <w:noProof/>
        </w:rPr>
        <w:fldChar w:fldCharType="separate"/>
      </w:r>
      <w:r w:rsidRPr="006B3D66">
        <w:rPr>
          <w:noProof/>
        </w:rPr>
        <w:t>9</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9</w:t>
      </w:r>
      <w:r>
        <w:rPr>
          <w:noProof/>
        </w:rPr>
        <w:tab/>
        <w:t>Emphasis to be given to counter</w:t>
      </w:r>
      <w:r>
        <w:rPr>
          <w:noProof/>
        </w:rPr>
        <w:noBreakHyphen/>
        <w:t>terrorism and national security legislation that has been applied or considered recently</w:t>
      </w:r>
      <w:r w:rsidRPr="006B3D66">
        <w:rPr>
          <w:noProof/>
        </w:rPr>
        <w:tab/>
      </w:r>
      <w:r w:rsidRPr="006B3D66">
        <w:rPr>
          <w:noProof/>
        </w:rPr>
        <w:fldChar w:fldCharType="begin"/>
      </w:r>
      <w:r w:rsidRPr="006B3D66">
        <w:rPr>
          <w:noProof/>
        </w:rPr>
        <w:instrText xml:space="preserve"> PAGEREF _Toc518896207 \h </w:instrText>
      </w:r>
      <w:r w:rsidRPr="006B3D66">
        <w:rPr>
          <w:noProof/>
        </w:rPr>
      </w:r>
      <w:r w:rsidRPr="006B3D66">
        <w:rPr>
          <w:noProof/>
        </w:rPr>
        <w:fldChar w:fldCharType="separate"/>
      </w:r>
      <w:r w:rsidRPr="006B3D66">
        <w:rPr>
          <w:noProof/>
        </w:rPr>
        <w:t>9</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10</w:t>
      </w:r>
      <w:r>
        <w:rPr>
          <w:noProof/>
        </w:rPr>
        <w:tab/>
        <w:t>Consultation with agencies etc.</w:t>
      </w:r>
      <w:r w:rsidRPr="006B3D66">
        <w:rPr>
          <w:noProof/>
        </w:rPr>
        <w:tab/>
      </w:r>
      <w:r w:rsidRPr="006B3D66">
        <w:rPr>
          <w:noProof/>
        </w:rPr>
        <w:fldChar w:fldCharType="begin"/>
      </w:r>
      <w:r w:rsidRPr="006B3D66">
        <w:rPr>
          <w:noProof/>
        </w:rPr>
        <w:instrText xml:space="preserve"> PAGEREF _Toc518896208 \h </w:instrText>
      </w:r>
      <w:r w:rsidRPr="006B3D66">
        <w:rPr>
          <w:noProof/>
        </w:rPr>
      </w:r>
      <w:r w:rsidRPr="006B3D66">
        <w:rPr>
          <w:noProof/>
        </w:rPr>
        <w:fldChar w:fldCharType="separate"/>
      </w:r>
      <w:r w:rsidRPr="006B3D66">
        <w:rPr>
          <w:noProof/>
        </w:rPr>
        <w:t>9</w:t>
      </w:r>
      <w:r w:rsidRPr="006B3D66">
        <w:rPr>
          <w:noProof/>
        </w:rPr>
        <w:fldChar w:fldCharType="end"/>
      </w:r>
    </w:p>
    <w:p w:rsidR="006B3D66" w:rsidRDefault="006B3D66">
      <w:pPr>
        <w:pStyle w:val="TOC3"/>
        <w:rPr>
          <w:rFonts w:asciiTheme="minorHAnsi" w:eastAsiaTheme="minorEastAsia" w:hAnsiTheme="minorHAnsi" w:cstheme="minorBidi"/>
          <w:b w:val="0"/>
          <w:noProof/>
          <w:kern w:val="0"/>
          <w:szCs w:val="22"/>
        </w:rPr>
      </w:pPr>
      <w:r>
        <w:rPr>
          <w:noProof/>
        </w:rPr>
        <w:t>Division 2—Appointment of Independent National Security Legislation Monitor</w:t>
      </w:r>
      <w:r w:rsidRPr="006B3D66">
        <w:rPr>
          <w:b w:val="0"/>
          <w:noProof/>
          <w:sz w:val="18"/>
        </w:rPr>
        <w:tab/>
      </w:r>
      <w:r w:rsidRPr="006B3D66">
        <w:rPr>
          <w:b w:val="0"/>
          <w:noProof/>
          <w:sz w:val="18"/>
        </w:rPr>
        <w:fldChar w:fldCharType="begin"/>
      </w:r>
      <w:r w:rsidRPr="006B3D66">
        <w:rPr>
          <w:b w:val="0"/>
          <w:noProof/>
          <w:sz w:val="18"/>
        </w:rPr>
        <w:instrText xml:space="preserve"> PAGEREF _Toc518896209 \h </w:instrText>
      </w:r>
      <w:r w:rsidRPr="006B3D66">
        <w:rPr>
          <w:b w:val="0"/>
          <w:noProof/>
          <w:sz w:val="18"/>
        </w:rPr>
      </w:r>
      <w:r w:rsidRPr="006B3D66">
        <w:rPr>
          <w:b w:val="0"/>
          <w:noProof/>
          <w:sz w:val="18"/>
        </w:rPr>
        <w:fldChar w:fldCharType="separate"/>
      </w:r>
      <w:r w:rsidRPr="006B3D66">
        <w:rPr>
          <w:b w:val="0"/>
          <w:noProof/>
          <w:sz w:val="18"/>
        </w:rPr>
        <w:t>11</w:t>
      </w:r>
      <w:r w:rsidRPr="006B3D66">
        <w:rPr>
          <w:b w:val="0"/>
          <w:noProof/>
          <w:sz w:val="18"/>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11</w:t>
      </w:r>
      <w:r>
        <w:rPr>
          <w:noProof/>
        </w:rPr>
        <w:tab/>
        <w:t>Appointment</w:t>
      </w:r>
      <w:r w:rsidRPr="006B3D66">
        <w:rPr>
          <w:noProof/>
        </w:rPr>
        <w:tab/>
      </w:r>
      <w:r w:rsidRPr="006B3D66">
        <w:rPr>
          <w:noProof/>
        </w:rPr>
        <w:fldChar w:fldCharType="begin"/>
      </w:r>
      <w:r w:rsidRPr="006B3D66">
        <w:rPr>
          <w:noProof/>
        </w:rPr>
        <w:instrText xml:space="preserve"> PAGEREF _Toc518896210 \h </w:instrText>
      </w:r>
      <w:r w:rsidRPr="006B3D66">
        <w:rPr>
          <w:noProof/>
        </w:rPr>
      </w:r>
      <w:r w:rsidRPr="006B3D66">
        <w:rPr>
          <w:noProof/>
        </w:rPr>
        <w:fldChar w:fldCharType="separate"/>
      </w:r>
      <w:r w:rsidRPr="006B3D66">
        <w:rPr>
          <w:noProof/>
        </w:rPr>
        <w:t>11</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12</w:t>
      </w:r>
      <w:r>
        <w:rPr>
          <w:noProof/>
        </w:rPr>
        <w:tab/>
        <w:t>Term of appointment</w:t>
      </w:r>
      <w:r w:rsidRPr="006B3D66">
        <w:rPr>
          <w:noProof/>
        </w:rPr>
        <w:tab/>
      </w:r>
      <w:r w:rsidRPr="006B3D66">
        <w:rPr>
          <w:noProof/>
        </w:rPr>
        <w:fldChar w:fldCharType="begin"/>
      </w:r>
      <w:r w:rsidRPr="006B3D66">
        <w:rPr>
          <w:noProof/>
        </w:rPr>
        <w:instrText xml:space="preserve"> PAGEREF _Toc518896211 \h </w:instrText>
      </w:r>
      <w:r w:rsidRPr="006B3D66">
        <w:rPr>
          <w:noProof/>
        </w:rPr>
      </w:r>
      <w:r w:rsidRPr="006B3D66">
        <w:rPr>
          <w:noProof/>
        </w:rPr>
        <w:fldChar w:fldCharType="separate"/>
      </w:r>
      <w:r w:rsidRPr="006B3D66">
        <w:rPr>
          <w:noProof/>
        </w:rPr>
        <w:t>11</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13</w:t>
      </w:r>
      <w:r>
        <w:rPr>
          <w:noProof/>
        </w:rPr>
        <w:tab/>
        <w:t>Remuneration and allowances</w:t>
      </w:r>
      <w:r w:rsidRPr="006B3D66">
        <w:rPr>
          <w:noProof/>
        </w:rPr>
        <w:tab/>
      </w:r>
      <w:r w:rsidRPr="006B3D66">
        <w:rPr>
          <w:noProof/>
        </w:rPr>
        <w:fldChar w:fldCharType="begin"/>
      </w:r>
      <w:r w:rsidRPr="006B3D66">
        <w:rPr>
          <w:noProof/>
        </w:rPr>
        <w:instrText xml:space="preserve"> PAGEREF _Toc518896212 \h </w:instrText>
      </w:r>
      <w:r w:rsidRPr="006B3D66">
        <w:rPr>
          <w:noProof/>
        </w:rPr>
      </w:r>
      <w:r w:rsidRPr="006B3D66">
        <w:rPr>
          <w:noProof/>
        </w:rPr>
        <w:fldChar w:fldCharType="separate"/>
      </w:r>
      <w:r w:rsidRPr="006B3D66">
        <w:rPr>
          <w:noProof/>
        </w:rPr>
        <w:t>11</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14</w:t>
      </w:r>
      <w:r>
        <w:rPr>
          <w:noProof/>
        </w:rPr>
        <w:tab/>
        <w:t>Leave of absence</w:t>
      </w:r>
      <w:r w:rsidRPr="006B3D66">
        <w:rPr>
          <w:noProof/>
        </w:rPr>
        <w:tab/>
      </w:r>
      <w:r w:rsidRPr="006B3D66">
        <w:rPr>
          <w:noProof/>
        </w:rPr>
        <w:fldChar w:fldCharType="begin"/>
      </w:r>
      <w:r w:rsidRPr="006B3D66">
        <w:rPr>
          <w:noProof/>
        </w:rPr>
        <w:instrText xml:space="preserve"> PAGEREF _Toc518896213 \h </w:instrText>
      </w:r>
      <w:r w:rsidRPr="006B3D66">
        <w:rPr>
          <w:noProof/>
        </w:rPr>
      </w:r>
      <w:r w:rsidRPr="006B3D66">
        <w:rPr>
          <w:noProof/>
        </w:rPr>
        <w:fldChar w:fldCharType="separate"/>
      </w:r>
      <w:r w:rsidRPr="006B3D66">
        <w:rPr>
          <w:noProof/>
        </w:rPr>
        <w:t>12</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15</w:t>
      </w:r>
      <w:r>
        <w:rPr>
          <w:noProof/>
        </w:rPr>
        <w:tab/>
        <w:t>Outside employment</w:t>
      </w:r>
      <w:r w:rsidRPr="006B3D66">
        <w:rPr>
          <w:noProof/>
        </w:rPr>
        <w:tab/>
      </w:r>
      <w:r w:rsidRPr="006B3D66">
        <w:rPr>
          <w:noProof/>
        </w:rPr>
        <w:fldChar w:fldCharType="begin"/>
      </w:r>
      <w:r w:rsidRPr="006B3D66">
        <w:rPr>
          <w:noProof/>
        </w:rPr>
        <w:instrText xml:space="preserve"> PAGEREF _Toc518896214 \h </w:instrText>
      </w:r>
      <w:r w:rsidRPr="006B3D66">
        <w:rPr>
          <w:noProof/>
        </w:rPr>
      </w:r>
      <w:r w:rsidRPr="006B3D66">
        <w:rPr>
          <w:noProof/>
        </w:rPr>
        <w:fldChar w:fldCharType="separate"/>
      </w:r>
      <w:r w:rsidRPr="006B3D66">
        <w:rPr>
          <w:noProof/>
        </w:rPr>
        <w:t>12</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16</w:t>
      </w:r>
      <w:r>
        <w:rPr>
          <w:noProof/>
        </w:rPr>
        <w:tab/>
        <w:t>Disclosure of interests to the Attorney</w:t>
      </w:r>
      <w:r>
        <w:rPr>
          <w:noProof/>
        </w:rPr>
        <w:noBreakHyphen/>
        <w:t>General</w:t>
      </w:r>
      <w:r w:rsidRPr="006B3D66">
        <w:rPr>
          <w:noProof/>
        </w:rPr>
        <w:tab/>
      </w:r>
      <w:r w:rsidRPr="006B3D66">
        <w:rPr>
          <w:noProof/>
        </w:rPr>
        <w:fldChar w:fldCharType="begin"/>
      </w:r>
      <w:r w:rsidRPr="006B3D66">
        <w:rPr>
          <w:noProof/>
        </w:rPr>
        <w:instrText xml:space="preserve"> PAGEREF _Toc518896215 \h </w:instrText>
      </w:r>
      <w:r w:rsidRPr="006B3D66">
        <w:rPr>
          <w:noProof/>
        </w:rPr>
      </w:r>
      <w:r w:rsidRPr="006B3D66">
        <w:rPr>
          <w:noProof/>
        </w:rPr>
        <w:fldChar w:fldCharType="separate"/>
      </w:r>
      <w:r w:rsidRPr="006B3D66">
        <w:rPr>
          <w:noProof/>
        </w:rPr>
        <w:t>12</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17</w:t>
      </w:r>
      <w:r>
        <w:rPr>
          <w:noProof/>
        </w:rPr>
        <w:tab/>
        <w:t>Other terms and conditions</w:t>
      </w:r>
      <w:r w:rsidRPr="006B3D66">
        <w:rPr>
          <w:noProof/>
        </w:rPr>
        <w:tab/>
      </w:r>
      <w:r w:rsidRPr="006B3D66">
        <w:rPr>
          <w:noProof/>
        </w:rPr>
        <w:fldChar w:fldCharType="begin"/>
      </w:r>
      <w:r w:rsidRPr="006B3D66">
        <w:rPr>
          <w:noProof/>
        </w:rPr>
        <w:instrText xml:space="preserve"> PAGEREF _Toc518896216 \h </w:instrText>
      </w:r>
      <w:r w:rsidRPr="006B3D66">
        <w:rPr>
          <w:noProof/>
        </w:rPr>
      </w:r>
      <w:r w:rsidRPr="006B3D66">
        <w:rPr>
          <w:noProof/>
        </w:rPr>
        <w:fldChar w:fldCharType="separate"/>
      </w:r>
      <w:r w:rsidRPr="006B3D66">
        <w:rPr>
          <w:noProof/>
        </w:rPr>
        <w:t>12</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18</w:t>
      </w:r>
      <w:r>
        <w:rPr>
          <w:noProof/>
        </w:rPr>
        <w:tab/>
        <w:t>Resignation</w:t>
      </w:r>
      <w:r w:rsidRPr="006B3D66">
        <w:rPr>
          <w:noProof/>
        </w:rPr>
        <w:tab/>
      </w:r>
      <w:r w:rsidRPr="006B3D66">
        <w:rPr>
          <w:noProof/>
        </w:rPr>
        <w:fldChar w:fldCharType="begin"/>
      </w:r>
      <w:r w:rsidRPr="006B3D66">
        <w:rPr>
          <w:noProof/>
        </w:rPr>
        <w:instrText xml:space="preserve"> PAGEREF _Toc518896217 \h </w:instrText>
      </w:r>
      <w:r w:rsidRPr="006B3D66">
        <w:rPr>
          <w:noProof/>
        </w:rPr>
      </w:r>
      <w:r w:rsidRPr="006B3D66">
        <w:rPr>
          <w:noProof/>
        </w:rPr>
        <w:fldChar w:fldCharType="separate"/>
      </w:r>
      <w:r w:rsidRPr="006B3D66">
        <w:rPr>
          <w:noProof/>
        </w:rPr>
        <w:t>13</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19</w:t>
      </w:r>
      <w:r>
        <w:rPr>
          <w:noProof/>
        </w:rPr>
        <w:tab/>
        <w:t>Termination of appointment</w:t>
      </w:r>
      <w:r w:rsidRPr="006B3D66">
        <w:rPr>
          <w:noProof/>
        </w:rPr>
        <w:tab/>
      </w:r>
      <w:r w:rsidRPr="006B3D66">
        <w:rPr>
          <w:noProof/>
        </w:rPr>
        <w:fldChar w:fldCharType="begin"/>
      </w:r>
      <w:r w:rsidRPr="006B3D66">
        <w:rPr>
          <w:noProof/>
        </w:rPr>
        <w:instrText xml:space="preserve"> PAGEREF _Toc518896218 \h </w:instrText>
      </w:r>
      <w:r w:rsidRPr="006B3D66">
        <w:rPr>
          <w:noProof/>
        </w:rPr>
      </w:r>
      <w:r w:rsidRPr="006B3D66">
        <w:rPr>
          <w:noProof/>
        </w:rPr>
        <w:fldChar w:fldCharType="separate"/>
      </w:r>
      <w:r w:rsidRPr="006B3D66">
        <w:rPr>
          <w:noProof/>
        </w:rPr>
        <w:t>13</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20</w:t>
      </w:r>
      <w:r>
        <w:rPr>
          <w:noProof/>
        </w:rPr>
        <w:tab/>
        <w:t>Acting Independent National Security Legislation Monitor</w:t>
      </w:r>
      <w:r w:rsidRPr="006B3D66">
        <w:rPr>
          <w:noProof/>
        </w:rPr>
        <w:tab/>
      </w:r>
      <w:r w:rsidRPr="006B3D66">
        <w:rPr>
          <w:noProof/>
        </w:rPr>
        <w:fldChar w:fldCharType="begin"/>
      </w:r>
      <w:r w:rsidRPr="006B3D66">
        <w:rPr>
          <w:noProof/>
        </w:rPr>
        <w:instrText xml:space="preserve"> PAGEREF _Toc518896219 \h </w:instrText>
      </w:r>
      <w:r w:rsidRPr="006B3D66">
        <w:rPr>
          <w:noProof/>
        </w:rPr>
      </w:r>
      <w:r w:rsidRPr="006B3D66">
        <w:rPr>
          <w:noProof/>
        </w:rPr>
        <w:fldChar w:fldCharType="separate"/>
      </w:r>
      <w:r w:rsidRPr="006B3D66">
        <w:rPr>
          <w:noProof/>
        </w:rPr>
        <w:t>13</w:t>
      </w:r>
      <w:r w:rsidRPr="006B3D66">
        <w:rPr>
          <w:noProof/>
        </w:rPr>
        <w:fldChar w:fldCharType="end"/>
      </w:r>
    </w:p>
    <w:p w:rsidR="006B3D66" w:rsidRDefault="006B3D66">
      <w:pPr>
        <w:pStyle w:val="TOC2"/>
        <w:rPr>
          <w:rFonts w:asciiTheme="minorHAnsi" w:eastAsiaTheme="minorEastAsia" w:hAnsiTheme="minorHAnsi" w:cstheme="minorBidi"/>
          <w:b w:val="0"/>
          <w:noProof/>
          <w:kern w:val="0"/>
          <w:sz w:val="22"/>
          <w:szCs w:val="22"/>
        </w:rPr>
      </w:pPr>
      <w:r>
        <w:rPr>
          <w:noProof/>
        </w:rPr>
        <w:t>Part 3—Information gathering powers</w:t>
      </w:r>
      <w:r w:rsidRPr="006B3D66">
        <w:rPr>
          <w:b w:val="0"/>
          <w:noProof/>
          <w:sz w:val="18"/>
        </w:rPr>
        <w:tab/>
      </w:r>
      <w:r w:rsidRPr="006B3D66">
        <w:rPr>
          <w:b w:val="0"/>
          <w:noProof/>
          <w:sz w:val="18"/>
        </w:rPr>
        <w:fldChar w:fldCharType="begin"/>
      </w:r>
      <w:r w:rsidRPr="006B3D66">
        <w:rPr>
          <w:b w:val="0"/>
          <w:noProof/>
          <w:sz w:val="18"/>
        </w:rPr>
        <w:instrText xml:space="preserve"> PAGEREF _Toc518896220 \h </w:instrText>
      </w:r>
      <w:r w:rsidRPr="006B3D66">
        <w:rPr>
          <w:b w:val="0"/>
          <w:noProof/>
          <w:sz w:val="18"/>
        </w:rPr>
      </w:r>
      <w:r w:rsidRPr="006B3D66">
        <w:rPr>
          <w:b w:val="0"/>
          <w:noProof/>
          <w:sz w:val="18"/>
        </w:rPr>
        <w:fldChar w:fldCharType="separate"/>
      </w:r>
      <w:r w:rsidRPr="006B3D66">
        <w:rPr>
          <w:b w:val="0"/>
          <w:noProof/>
          <w:sz w:val="18"/>
        </w:rPr>
        <w:t>15</w:t>
      </w:r>
      <w:r w:rsidRPr="006B3D66">
        <w:rPr>
          <w:b w:val="0"/>
          <w:noProof/>
          <w:sz w:val="18"/>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21</w:t>
      </w:r>
      <w:r>
        <w:rPr>
          <w:noProof/>
        </w:rPr>
        <w:tab/>
        <w:t>Independent National Security Legislation Monitor may hold hearings</w:t>
      </w:r>
      <w:r w:rsidRPr="006B3D66">
        <w:rPr>
          <w:noProof/>
        </w:rPr>
        <w:tab/>
      </w:r>
      <w:r w:rsidRPr="006B3D66">
        <w:rPr>
          <w:noProof/>
        </w:rPr>
        <w:fldChar w:fldCharType="begin"/>
      </w:r>
      <w:r w:rsidRPr="006B3D66">
        <w:rPr>
          <w:noProof/>
        </w:rPr>
        <w:instrText xml:space="preserve"> PAGEREF _Toc518896221 \h </w:instrText>
      </w:r>
      <w:r w:rsidRPr="006B3D66">
        <w:rPr>
          <w:noProof/>
        </w:rPr>
      </w:r>
      <w:r w:rsidRPr="006B3D66">
        <w:rPr>
          <w:noProof/>
        </w:rPr>
        <w:fldChar w:fldCharType="separate"/>
      </w:r>
      <w:r w:rsidRPr="006B3D66">
        <w:rPr>
          <w:noProof/>
        </w:rPr>
        <w:t>15</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22</w:t>
      </w:r>
      <w:r>
        <w:rPr>
          <w:noProof/>
        </w:rPr>
        <w:tab/>
        <w:t>Independent National Security Legislation Monitor may summon person</w:t>
      </w:r>
      <w:r w:rsidRPr="006B3D66">
        <w:rPr>
          <w:noProof/>
        </w:rPr>
        <w:tab/>
      </w:r>
      <w:r w:rsidRPr="006B3D66">
        <w:rPr>
          <w:noProof/>
        </w:rPr>
        <w:fldChar w:fldCharType="begin"/>
      </w:r>
      <w:r w:rsidRPr="006B3D66">
        <w:rPr>
          <w:noProof/>
        </w:rPr>
        <w:instrText xml:space="preserve"> PAGEREF _Toc518896222 \h </w:instrText>
      </w:r>
      <w:r w:rsidRPr="006B3D66">
        <w:rPr>
          <w:noProof/>
        </w:rPr>
      </w:r>
      <w:r w:rsidRPr="006B3D66">
        <w:rPr>
          <w:noProof/>
        </w:rPr>
        <w:fldChar w:fldCharType="separate"/>
      </w:r>
      <w:r w:rsidRPr="006B3D66">
        <w:rPr>
          <w:noProof/>
        </w:rPr>
        <w:t>15</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lastRenderedPageBreak/>
        <w:t>23</w:t>
      </w:r>
      <w:r>
        <w:rPr>
          <w:noProof/>
        </w:rPr>
        <w:tab/>
        <w:t>Evidence on oath or by affirmation</w:t>
      </w:r>
      <w:r w:rsidRPr="006B3D66">
        <w:rPr>
          <w:noProof/>
        </w:rPr>
        <w:tab/>
      </w:r>
      <w:r w:rsidRPr="006B3D66">
        <w:rPr>
          <w:noProof/>
        </w:rPr>
        <w:fldChar w:fldCharType="begin"/>
      </w:r>
      <w:r w:rsidRPr="006B3D66">
        <w:rPr>
          <w:noProof/>
        </w:rPr>
        <w:instrText xml:space="preserve"> PAGEREF _Toc518896223 \h </w:instrText>
      </w:r>
      <w:r w:rsidRPr="006B3D66">
        <w:rPr>
          <w:noProof/>
        </w:rPr>
      </w:r>
      <w:r w:rsidRPr="006B3D66">
        <w:rPr>
          <w:noProof/>
        </w:rPr>
        <w:fldChar w:fldCharType="separate"/>
      </w:r>
      <w:r w:rsidRPr="006B3D66">
        <w:rPr>
          <w:noProof/>
        </w:rPr>
        <w:t>16</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24</w:t>
      </w:r>
      <w:r>
        <w:rPr>
          <w:noProof/>
        </w:rPr>
        <w:tab/>
        <w:t>Independent National Security Legislation Monitor may request production of a document or thing</w:t>
      </w:r>
      <w:r w:rsidRPr="006B3D66">
        <w:rPr>
          <w:noProof/>
        </w:rPr>
        <w:tab/>
      </w:r>
      <w:r w:rsidRPr="006B3D66">
        <w:rPr>
          <w:noProof/>
        </w:rPr>
        <w:fldChar w:fldCharType="begin"/>
      </w:r>
      <w:r w:rsidRPr="006B3D66">
        <w:rPr>
          <w:noProof/>
        </w:rPr>
        <w:instrText xml:space="preserve"> PAGEREF _Toc518896224 \h </w:instrText>
      </w:r>
      <w:r w:rsidRPr="006B3D66">
        <w:rPr>
          <w:noProof/>
        </w:rPr>
      </w:r>
      <w:r w:rsidRPr="006B3D66">
        <w:rPr>
          <w:noProof/>
        </w:rPr>
        <w:fldChar w:fldCharType="separate"/>
      </w:r>
      <w:r w:rsidRPr="006B3D66">
        <w:rPr>
          <w:noProof/>
        </w:rPr>
        <w:t>16</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25</w:t>
      </w:r>
      <w:r>
        <w:rPr>
          <w:noProof/>
        </w:rPr>
        <w:tab/>
        <w:t>Offences</w:t>
      </w:r>
      <w:r w:rsidRPr="006B3D66">
        <w:rPr>
          <w:noProof/>
        </w:rPr>
        <w:tab/>
      </w:r>
      <w:r w:rsidRPr="006B3D66">
        <w:rPr>
          <w:noProof/>
        </w:rPr>
        <w:fldChar w:fldCharType="begin"/>
      </w:r>
      <w:r w:rsidRPr="006B3D66">
        <w:rPr>
          <w:noProof/>
        </w:rPr>
        <w:instrText xml:space="preserve"> PAGEREF _Toc518896225 \h </w:instrText>
      </w:r>
      <w:r w:rsidRPr="006B3D66">
        <w:rPr>
          <w:noProof/>
        </w:rPr>
      </w:r>
      <w:r w:rsidRPr="006B3D66">
        <w:rPr>
          <w:noProof/>
        </w:rPr>
        <w:fldChar w:fldCharType="separate"/>
      </w:r>
      <w:r w:rsidRPr="006B3D66">
        <w:rPr>
          <w:noProof/>
        </w:rPr>
        <w:t>17</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26</w:t>
      </w:r>
      <w:r>
        <w:rPr>
          <w:noProof/>
        </w:rPr>
        <w:tab/>
        <w:t>No criminal or civil liability under secrecy provisions</w:t>
      </w:r>
      <w:r w:rsidRPr="006B3D66">
        <w:rPr>
          <w:noProof/>
        </w:rPr>
        <w:tab/>
      </w:r>
      <w:r w:rsidRPr="006B3D66">
        <w:rPr>
          <w:noProof/>
        </w:rPr>
        <w:fldChar w:fldCharType="begin"/>
      </w:r>
      <w:r w:rsidRPr="006B3D66">
        <w:rPr>
          <w:noProof/>
        </w:rPr>
        <w:instrText xml:space="preserve"> PAGEREF _Toc518896226 \h </w:instrText>
      </w:r>
      <w:r w:rsidRPr="006B3D66">
        <w:rPr>
          <w:noProof/>
        </w:rPr>
      </w:r>
      <w:r w:rsidRPr="006B3D66">
        <w:rPr>
          <w:noProof/>
        </w:rPr>
        <w:fldChar w:fldCharType="separate"/>
      </w:r>
      <w:r w:rsidRPr="006B3D66">
        <w:rPr>
          <w:noProof/>
        </w:rPr>
        <w:t>18</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27</w:t>
      </w:r>
      <w:r>
        <w:rPr>
          <w:noProof/>
        </w:rPr>
        <w:tab/>
        <w:t>Independent National Security Legislation Monitor may retain documents or things</w:t>
      </w:r>
      <w:r w:rsidRPr="006B3D66">
        <w:rPr>
          <w:noProof/>
        </w:rPr>
        <w:tab/>
      </w:r>
      <w:r w:rsidRPr="006B3D66">
        <w:rPr>
          <w:noProof/>
        </w:rPr>
        <w:fldChar w:fldCharType="begin"/>
      </w:r>
      <w:r w:rsidRPr="006B3D66">
        <w:rPr>
          <w:noProof/>
        </w:rPr>
        <w:instrText xml:space="preserve"> PAGEREF _Toc518896227 \h </w:instrText>
      </w:r>
      <w:r w:rsidRPr="006B3D66">
        <w:rPr>
          <w:noProof/>
        </w:rPr>
      </w:r>
      <w:r w:rsidRPr="006B3D66">
        <w:rPr>
          <w:noProof/>
        </w:rPr>
        <w:fldChar w:fldCharType="separate"/>
      </w:r>
      <w:r w:rsidRPr="006B3D66">
        <w:rPr>
          <w:noProof/>
        </w:rPr>
        <w:t>19</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28</w:t>
      </w:r>
      <w:r>
        <w:rPr>
          <w:noProof/>
        </w:rPr>
        <w:tab/>
        <w:t>Protection of information and documents</w:t>
      </w:r>
      <w:r w:rsidRPr="006B3D66">
        <w:rPr>
          <w:noProof/>
        </w:rPr>
        <w:tab/>
      </w:r>
      <w:r w:rsidRPr="006B3D66">
        <w:rPr>
          <w:noProof/>
        </w:rPr>
        <w:fldChar w:fldCharType="begin"/>
      </w:r>
      <w:r w:rsidRPr="006B3D66">
        <w:rPr>
          <w:noProof/>
        </w:rPr>
        <w:instrText xml:space="preserve"> PAGEREF _Toc518896228 \h </w:instrText>
      </w:r>
      <w:r w:rsidRPr="006B3D66">
        <w:rPr>
          <w:noProof/>
        </w:rPr>
      </w:r>
      <w:r w:rsidRPr="006B3D66">
        <w:rPr>
          <w:noProof/>
        </w:rPr>
        <w:fldChar w:fldCharType="separate"/>
      </w:r>
      <w:r w:rsidRPr="006B3D66">
        <w:rPr>
          <w:noProof/>
        </w:rPr>
        <w:t>19</w:t>
      </w:r>
      <w:r w:rsidRPr="006B3D66">
        <w:rPr>
          <w:noProof/>
        </w:rPr>
        <w:fldChar w:fldCharType="end"/>
      </w:r>
    </w:p>
    <w:p w:rsidR="006B3D66" w:rsidRDefault="006B3D66">
      <w:pPr>
        <w:pStyle w:val="TOC2"/>
        <w:rPr>
          <w:rFonts w:asciiTheme="minorHAnsi" w:eastAsiaTheme="minorEastAsia" w:hAnsiTheme="minorHAnsi" w:cstheme="minorBidi"/>
          <w:b w:val="0"/>
          <w:noProof/>
          <w:kern w:val="0"/>
          <w:sz w:val="22"/>
          <w:szCs w:val="22"/>
        </w:rPr>
      </w:pPr>
      <w:r>
        <w:rPr>
          <w:noProof/>
        </w:rPr>
        <w:t>Part 4—Reporting requirements</w:t>
      </w:r>
      <w:r w:rsidRPr="006B3D66">
        <w:rPr>
          <w:b w:val="0"/>
          <w:noProof/>
          <w:sz w:val="18"/>
        </w:rPr>
        <w:tab/>
      </w:r>
      <w:r w:rsidRPr="006B3D66">
        <w:rPr>
          <w:b w:val="0"/>
          <w:noProof/>
          <w:sz w:val="18"/>
        </w:rPr>
        <w:fldChar w:fldCharType="begin"/>
      </w:r>
      <w:r w:rsidRPr="006B3D66">
        <w:rPr>
          <w:b w:val="0"/>
          <w:noProof/>
          <w:sz w:val="18"/>
        </w:rPr>
        <w:instrText xml:space="preserve"> PAGEREF _Toc518896229 \h </w:instrText>
      </w:r>
      <w:r w:rsidRPr="006B3D66">
        <w:rPr>
          <w:b w:val="0"/>
          <w:noProof/>
          <w:sz w:val="18"/>
        </w:rPr>
      </w:r>
      <w:r w:rsidRPr="006B3D66">
        <w:rPr>
          <w:b w:val="0"/>
          <w:noProof/>
          <w:sz w:val="18"/>
        </w:rPr>
        <w:fldChar w:fldCharType="separate"/>
      </w:r>
      <w:r w:rsidRPr="006B3D66">
        <w:rPr>
          <w:b w:val="0"/>
          <w:noProof/>
          <w:sz w:val="18"/>
        </w:rPr>
        <w:t>21</w:t>
      </w:r>
      <w:r w:rsidRPr="006B3D66">
        <w:rPr>
          <w:b w:val="0"/>
          <w:noProof/>
          <w:sz w:val="18"/>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29</w:t>
      </w:r>
      <w:r>
        <w:rPr>
          <w:noProof/>
        </w:rPr>
        <w:tab/>
        <w:t>Annual report</w:t>
      </w:r>
      <w:r w:rsidRPr="006B3D66">
        <w:rPr>
          <w:noProof/>
        </w:rPr>
        <w:tab/>
      </w:r>
      <w:r w:rsidRPr="006B3D66">
        <w:rPr>
          <w:noProof/>
        </w:rPr>
        <w:fldChar w:fldCharType="begin"/>
      </w:r>
      <w:r w:rsidRPr="006B3D66">
        <w:rPr>
          <w:noProof/>
        </w:rPr>
        <w:instrText xml:space="preserve"> PAGEREF _Toc518896230 \h </w:instrText>
      </w:r>
      <w:r w:rsidRPr="006B3D66">
        <w:rPr>
          <w:noProof/>
        </w:rPr>
      </w:r>
      <w:r w:rsidRPr="006B3D66">
        <w:rPr>
          <w:noProof/>
        </w:rPr>
        <w:fldChar w:fldCharType="separate"/>
      </w:r>
      <w:r w:rsidRPr="006B3D66">
        <w:rPr>
          <w:noProof/>
        </w:rPr>
        <w:t>21</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30</w:t>
      </w:r>
      <w:r>
        <w:rPr>
          <w:noProof/>
        </w:rPr>
        <w:tab/>
        <w:t>Report on a reference by the Prime Minister or the Attorney</w:t>
      </w:r>
      <w:r>
        <w:rPr>
          <w:noProof/>
        </w:rPr>
        <w:noBreakHyphen/>
        <w:t>General</w:t>
      </w:r>
      <w:r w:rsidRPr="006B3D66">
        <w:rPr>
          <w:noProof/>
        </w:rPr>
        <w:tab/>
      </w:r>
      <w:r w:rsidRPr="006B3D66">
        <w:rPr>
          <w:noProof/>
        </w:rPr>
        <w:fldChar w:fldCharType="begin"/>
      </w:r>
      <w:r w:rsidRPr="006B3D66">
        <w:rPr>
          <w:noProof/>
        </w:rPr>
        <w:instrText xml:space="preserve"> PAGEREF _Toc518896231 \h </w:instrText>
      </w:r>
      <w:r w:rsidRPr="006B3D66">
        <w:rPr>
          <w:noProof/>
        </w:rPr>
      </w:r>
      <w:r w:rsidRPr="006B3D66">
        <w:rPr>
          <w:noProof/>
        </w:rPr>
        <w:fldChar w:fldCharType="separate"/>
      </w:r>
      <w:r w:rsidRPr="006B3D66">
        <w:rPr>
          <w:noProof/>
        </w:rPr>
        <w:t>23</w:t>
      </w:r>
      <w:r w:rsidRPr="006B3D66">
        <w:rPr>
          <w:noProof/>
        </w:rPr>
        <w:fldChar w:fldCharType="end"/>
      </w:r>
    </w:p>
    <w:p w:rsidR="006B3D66" w:rsidRDefault="006B3D66">
      <w:pPr>
        <w:pStyle w:val="TOC2"/>
        <w:rPr>
          <w:rFonts w:asciiTheme="minorHAnsi" w:eastAsiaTheme="minorEastAsia" w:hAnsiTheme="minorHAnsi" w:cstheme="minorBidi"/>
          <w:b w:val="0"/>
          <w:noProof/>
          <w:kern w:val="0"/>
          <w:sz w:val="22"/>
          <w:szCs w:val="22"/>
        </w:rPr>
      </w:pPr>
      <w:r>
        <w:rPr>
          <w:noProof/>
        </w:rPr>
        <w:t>Part 5—Miscellaneous</w:t>
      </w:r>
      <w:r w:rsidRPr="006B3D66">
        <w:rPr>
          <w:b w:val="0"/>
          <w:noProof/>
          <w:sz w:val="18"/>
        </w:rPr>
        <w:tab/>
      </w:r>
      <w:r w:rsidRPr="006B3D66">
        <w:rPr>
          <w:b w:val="0"/>
          <w:noProof/>
          <w:sz w:val="18"/>
        </w:rPr>
        <w:fldChar w:fldCharType="begin"/>
      </w:r>
      <w:r w:rsidRPr="006B3D66">
        <w:rPr>
          <w:b w:val="0"/>
          <w:noProof/>
          <w:sz w:val="18"/>
        </w:rPr>
        <w:instrText xml:space="preserve"> PAGEREF _Toc518896232 \h </w:instrText>
      </w:r>
      <w:r w:rsidRPr="006B3D66">
        <w:rPr>
          <w:b w:val="0"/>
          <w:noProof/>
          <w:sz w:val="18"/>
        </w:rPr>
      </w:r>
      <w:r w:rsidRPr="006B3D66">
        <w:rPr>
          <w:b w:val="0"/>
          <w:noProof/>
          <w:sz w:val="18"/>
        </w:rPr>
        <w:fldChar w:fldCharType="separate"/>
      </w:r>
      <w:r w:rsidRPr="006B3D66">
        <w:rPr>
          <w:b w:val="0"/>
          <w:noProof/>
          <w:sz w:val="18"/>
        </w:rPr>
        <w:t>25</w:t>
      </w:r>
      <w:r w:rsidRPr="006B3D66">
        <w:rPr>
          <w:b w:val="0"/>
          <w:noProof/>
          <w:sz w:val="18"/>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31</w:t>
      </w:r>
      <w:r>
        <w:rPr>
          <w:noProof/>
        </w:rPr>
        <w:tab/>
        <w:t>Immunity from legal action</w:t>
      </w:r>
      <w:r w:rsidRPr="006B3D66">
        <w:rPr>
          <w:noProof/>
        </w:rPr>
        <w:tab/>
      </w:r>
      <w:r w:rsidRPr="006B3D66">
        <w:rPr>
          <w:noProof/>
        </w:rPr>
        <w:fldChar w:fldCharType="begin"/>
      </w:r>
      <w:r w:rsidRPr="006B3D66">
        <w:rPr>
          <w:noProof/>
        </w:rPr>
        <w:instrText xml:space="preserve"> PAGEREF _Toc518896233 \h </w:instrText>
      </w:r>
      <w:r w:rsidRPr="006B3D66">
        <w:rPr>
          <w:noProof/>
        </w:rPr>
      </w:r>
      <w:r w:rsidRPr="006B3D66">
        <w:rPr>
          <w:noProof/>
        </w:rPr>
        <w:fldChar w:fldCharType="separate"/>
      </w:r>
      <w:r w:rsidRPr="006B3D66">
        <w:rPr>
          <w:noProof/>
        </w:rPr>
        <w:t>25</w:t>
      </w:r>
      <w:r w:rsidRPr="006B3D66">
        <w:rPr>
          <w:noProof/>
        </w:rPr>
        <w:fldChar w:fldCharType="end"/>
      </w:r>
    </w:p>
    <w:p w:rsidR="006B3D66" w:rsidRDefault="006B3D66">
      <w:pPr>
        <w:pStyle w:val="TOC5"/>
        <w:rPr>
          <w:rFonts w:asciiTheme="minorHAnsi" w:eastAsiaTheme="minorEastAsia" w:hAnsiTheme="minorHAnsi" w:cstheme="minorBidi"/>
          <w:noProof/>
          <w:kern w:val="0"/>
          <w:sz w:val="22"/>
          <w:szCs w:val="22"/>
        </w:rPr>
      </w:pPr>
      <w:r>
        <w:rPr>
          <w:noProof/>
        </w:rPr>
        <w:t>32</w:t>
      </w:r>
      <w:r>
        <w:rPr>
          <w:noProof/>
        </w:rPr>
        <w:tab/>
        <w:t>Regulations</w:t>
      </w:r>
      <w:r w:rsidRPr="006B3D66">
        <w:rPr>
          <w:noProof/>
        </w:rPr>
        <w:tab/>
      </w:r>
      <w:r w:rsidRPr="006B3D66">
        <w:rPr>
          <w:noProof/>
        </w:rPr>
        <w:fldChar w:fldCharType="begin"/>
      </w:r>
      <w:r w:rsidRPr="006B3D66">
        <w:rPr>
          <w:noProof/>
        </w:rPr>
        <w:instrText xml:space="preserve"> PAGEREF _Toc518896234 \h </w:instrText>
      </w:r>
      <w:r w:rsidRPr="006B3D66">
        <w:rPr>
          <w:noProof/>
        </w:rPr>
      </w:r>
      <w:r w:rsidRPr="006B3D66">
        <w:rPr>
          <w:noProof/>
        </w:rPr>
        <w:fldChar w:fldCharType="separate"/>
      </w:r>
      <w:r w:rsidRPr="006B3D66">
        <w:rPr>
          <w:noProof/>
        </w:rPr>
        <w:t>25</w:t>
      </w:r>
      <w:r w:rsidRPr="006B3D66">
        <w:rPr>
          <w:noProof/>
        </w:rPr>
        <w:fldChar w:fldCharType="end"/>
      </w:r>
    </w:p>
    <w:p w:rsidR="006B3D66" w:rsidRDefault="006B3D66" w:rsidP="006B3D66">
      <w:pPr>
        <w:pStyle w:val="TOC2"/>
        <w:rPr>
          <w:rFonts w:asciiTheme="minorHAnsi" w:eastAsiaTheme="minorEastAsia" w:hAnsiTheme="minorHAnsi" w:cstheme="minorBidi"/>
          <w:b w:val="0"/>
          <w:noProof/>
          <w:kern w:val="0"/>
          <w:sz w:val="22"/>
          <w:szCs w:val="22"/>
        </w:rPr>
      </w:pPr>
      <w:r>
        <w:rPr>
          <w:noProof/>
        </w:rPr>
        <w:t>Endnotes</w:t>
      </w:r>
      <w:r w:rsidRPr="006B3D66">
        <w:rPr>
          <w:b w:val="0"/>
          <w:noProof/>
          <w:sz w:val="18"/>
        </w:rPr>
        <w:tab/>
      </w:r>
      <w:r w:rsidRPr="006B3D66">
        <w:rPr>
          <w:b w:val="0"/>
          <w:noProof/>
          <w:sz w:val="18"/>
        </w:rPr>
        <w:fldChar w:fldCharType="begin"/>
      </w:r>
      <w:r w:rsidRPr="006B3D66">
        <w:rPr>
          <w:b w:val="0"/>
          <w:noProof/>
          <w:sz w:val="18"/>
        </w:rPr>
        <w:instrText xml:space="preserve"> PAGEREF _Toc518896235 \h </w:instrText>
      </w:r>
      <w:r w:rsidRPr="006B3D66">
        <w:rPr>
          <w:b w:val="0"/>
          <w:noProof/>
          <w:sz w:val="18"/>
        </w:rPr>
      </w:r>
      <w:r w:rsidRPr="006B3D66">
        <w:rPr>
          <w:b w:val="0"/>
          <w:noProof/>
          <w:sz w:val="18"/>
        </w:rPr>
        <w:fldChar w:fldCharType="separate"/>
      </w:r>
      <w:r w:rsidRPr="006B3D66">
        <w:rPr>
          <w:b w:val="0"/>
          <w:noProof/>
          <w:sz w:val="18"/>
        </w:rPr>
        <w:t>26</w:t>
      </w:r>
      <w:r w:rsidRPr="006B3D66">
        <w:rPr>
          <w:b w:val="0"/>
          <w:noProof/>
          <w:sz w:val="18"/>
        </w:rPr>
        <w:fldChar w:fldCharType="end"/>
      </w:r>
    </w:p>
    <w:p w:rsidR="006B3D66" w:rsidRDefault="006B3D66">
      <w:pPr>
        <w:pStyle w:val="TOC3"/>
        <w:rPr>
          <w:rFonts w:asciiTheme="minorHAnsi" w:eastAsiaTheme="minorEastAsia" w:hAnsiTheme="minorHAnsi" w:cstheme="minorBidi"/>
          <w:b w:val="0"/>
          <w:noProof/>
          <w:kern w:val="0"/>
          <w:szCs w:val="22"/>
        </w:rPr>
      </w:pPr>
      <w:r>
        <w:rPr>
          <w:noProof/>
        </w:rPr>
        <w:t>Endnote 1—About the endnotes</w:t>
      </w:r>
      <w:r w:rsidRPr="006B3D66">
        <w:rPr>
          <w:b w:val="0"/>
          <w:noProof/>
          <w:sz w:val="18"/>
        </w:rPr>
        <w:tab/>
      </w:r>
      <w:r w:rsidRPr="006B3D66">
        <w:rPr>
          <w:b w:val="0"/>
          <w:noProof/>
          <w:sz w:val="18"/>
        </w:rPr>
        <w:fldChar w:fldCharType="begin"/>
      </w:r>
      <w:r w:rsidRPr="006B3D66">
        <w:rPr>
          <w:b w:val="0"/>
          <w:noProof/>
          <w:sz w:val="18"/>
        </w:rPr>
        <w:instrText xml:space="preserve"> PAGEREF _Toc518896236 \h </w:instrText>
      </w:r>
      <w:r w:rsidRPr="006B3D66">
        <w:rPr>
          <w:b w:val="0"/>
          <w:noProof/>
          <w:sz w:val="18"/>
        </w:rPr>
      </w:r>
      <w:r w:rsidRPr="006B3D66">
        <w:rPr>
          <w:b w:val="0"/>
          <w:noProof/>
          <w:sz w:val="18"/>
        </w:rPr>
        <w:fldChar w:fldCharType="separate"/>
      </w:r>
      <w:r w:rsidRPr="006B3D66">
        <w:rPr>
          <w:b w:val="0"/>
          <w:noProof/>
          <w:sz w:val="18"/>
        </w:rPr>
        <w:t>26</w:t>
      </w:r>
      <w:r w:rsidRPr="006B3D66">
        <w:rPr>
          <w:b w:val="0"/>
          <w:noProof/>
          <w:sz w:val="18"/>
        </w:rPr>
        <w:fldChar w:fldCharType="end"/>
      </w:r>
    </w:p>
    <w:p w:rsidR="006B3D66" w:rsidRDefault="006B3D66">
      <w:pPr>
        <w:pStyle w:val="TOC3"/>
        <w:rPr>
          <w:rFonts w:asciiTheme="minorHAnsi" w:eastAsiaTheme="minorEastAsia" w:hAnsiTheme="minorHAnsi" w:cstheme="minorBidi"/>
          <w:b w:val="0"/>
          <w:noProof/>
          <w:kern w:val="0"/>
          <w:szCs w:val="22"/>
        </w:rPr>
      </w:pPr>
      <w:r>
        <w:rPr>
          <w:noProof/>
        </w:rPr>
        <w:t>Endnote 2—Abbreviation key</w:t>
      </w:r>
      <w:r w:rsidRPr="006B3D66">
        <w:rPr>
          <w:b w:val="0"/>
          <w:noProof/>
          <w:sz w:val="18"/>
        </w:rPr>
        <w:tab/>
      </w:r>
      <w:r w:rsidRPr="006B3D66">
        <w:rPr>
          <w:b w:val="0"/>
          <w:noProof/>
          <w:sz w:val="18"/>
        </w:rPr>
        <w:fldChar w:fldCharType="begin"/>
      </w:r>
      <w:r w:rsidRPr="006B3D66">
        <w:rPr>
          <w:b w:val="0"/>
          <w:noProof/>
          <w:sz w:val="18"/>
        </w:rPr>
        <w:instrText xml:space="preserve"> PAGEREF _Toc518896237 \h </w:instrText>
      </w:r>
      <w:r w:rsidRPr="006B3D66">
        <w:rPr>
          <w:b w:val="0"/>
          <w:noProof/>
          <w:sz w:val="18"/>
        </w:rPr>
      </w:r>
      <w:r w:rsidRPr="006B3D66">
        <w:rPr>
          <w:b w:val="0"/>
          <w:noProof/>
          <w:sz w:val="18"/>
        </w:rPr>
        <w:fldChar w:fldCharType="separate"/>
      </w:r>
      <w:r w:rsidRPr="006B3D66">
        <w:rPr>
          <w:b w:val="0"/>
          <w:noProof/>
          <w:sz w:val="18"/>
        </w:rPr>
        <w:t>28</w:t>
      </w:r>
      <w:r w:rsidRPr="006B3D66">
        <w:rPr>
          <w:b w:val="0"/>
          <w:noProof/>
          <w:sz w:val="18"/>
        </w:rPr>
        <w:fldChar w:fldCharType="end"/>
      </w:r>
    </w:p>
    <w:p w:rsidR="006B3D66" w:rsidRDefault="006B3D66">
      <w:pPr>
        <w:pStyle w:val="TOC3"/>
        <w:rPr>
          <w:rFonts w:asciiTheme="minorHAnsi" w:eastAsiaTheme="minorEastAsia" w:hAnsiTheme="minorHAnsi" w:cstheme="minorBidi"/>
          <w:b w:val="0"/>
          <w:noProof/>
          <w:kern w:val="0"/>
          <w:szCs w:val="22"/>
        </w:rPr>
      </w:pPr>
      <w:r>
        <w:rPr>
          <w:noProof/>
        </w:rPr>
        <w:t>Endnote 3—Legislation history</w:t>
      </w:r>
      <w:r w:rsidRPr="006B3D66">
        <w:rPr>
          <w:b w:val="0"/>
          <w:noProof/>
          <w:sz w:val="18"/>
        </w:rPr>
        <w:tab/>
      </w:r>
      <w:r w:rsidRPr="006B3D66">
        <w:rPr>
          <w:b w:val="0"/>
          <w:noProof/>
          <w:sz w:val="18"/>
        </w:rPr>
        <w:fldChar w:fldCharType="begin"/>
      </w:r>
      <w:r w:rsidRPr="006B3D66">
        <w:rPr>
          <w:b w:val="0"/>
          <w:noProof/>
          <w:sz w:val="18"/>
        </w:rPr>
        <w:instrText xml:space="preserve"> PAGEREF _Toc518896238 \h </w:instrText>
      </w:r>
      <w:r w:rsidRPr="006B3D66">
        <w:rPr>
          <w:b w:val="0"/>
          <w:noProof/>
          <w:sz w:val="18"/>
        </w:rPr>
      </w:r>
      <w:r w:rsidRPr="006B3D66">
        <w:rPr>
          <w:b w:val="0"/>
          <w:noProof/>
          <w:sz w:val="18"/>
        </w:rPr>
        <w:fldChar w:fldCharType="separate"/>
      </w:r>
      <w:r w:rsidRPr="006B3D66">
        <w:rPr>
          <w:b w:val="0"/>
          <w:noProof/>
          <w:sz w:val="18"/>
        </w:rPr>
        <w:t>29</w:t>
      </w:r>
      <w:r w:rsidRPr="006B3D66">
        <w:rPr>
          <w:b w:val="0"/>
          <w:noProof/>
          <w:sz w:val="18"/>
        </w:rPr>
        <w:fldChar w:fldCharType="end"/>
      </w:r>
    </w:p>
    <w:p w:rsidR="006B3D66" w:rsidRDefault="006B3D66">
      <w:pPr>
        <w:pStyle w:val="TOC3"/>
        <w:rPr>
          <w:rFonts w:asciiTheme="minorHAnsi" w:eastAsiaTheme="minorEastAsia" w:hAnsiTheme="minorHAnsi" w:cstheme="minorBidi"/>
          <w:b w:val="0"/>
          <w:noProof/>
          <w:kern w:val="0"/>
          <w:szCs w:val="22"/>
        </w:rPr>
      </w:pPr>
      <w:r>
        <w:rPr>
          <w:noProof/>
        </w:rPr>
        <w:t>Endnote 4—Amendment history</w:t>
      </w:r>
      <w:r w:rsidRPr="006B3D66">
        <w:rPr>
          <w:b w:val="0"/>
          <w:noProof/>
          <w:sz w:val="18"/>
        </w:rPr>
        <w:tab/>
      </w:r>
      <w:r w:rsidRPr="006B3D66">
        <w:rPr>
          <w:b w:val="0"/>
          <w:noProof/>
          <w:sz w:val="18"/>
        </w:rPr>
        <w:fldChar w:fldCharType="begin"/>
      </w:r>
      <w:r w:rsidRPr="006B3D66">
        <w:rPr>
          <w:b w:val="0"/>
          <w:noProof/>
          <w:sz w:val="18"/>
        </w:rPr>
        <w:instrText xml:space="preserve"> PAGEREF _Toc518896239 \h </w:instrText>
      </w:r>
      <w:r w:rsidRPr="006B3D66">
        <w:rPr>
          <w:b w:val="0"/>
          <w:noProof/>
          <w:sz w:val="18"/>
        </w:rPr>
      </w:r>
      <w:r w:rsidRPr="006B3D66">
        <w:rPr>
          <w:b w:val="0"/>
          <w:noProof/>
          <w:sz w:val="18"/>
        </w:rPr>
        <w:fldChar w:fldCharType="separate"/>
      </w:r>
      <w:r w:rsidRPr="006B3D66">
        <w:rPr>
          <w:b w:val="0"/>
          <w:noProof/>
          <w:sz w:val="18"/>
        </w:rPr>
        <w:t>31</w:t>
      </w:r>
      <w:r w:rsidRPr="006B3D66">
        <w:rPr>
          <w:b w:val="0"/>
          <w:noProof/>
          <w:sz w:val="18"/>
        </w:rPr>
        <w:fldChar w:fldCharType="end"/>
      </w:r>
    </w:p>
    <w:p w:rsidR="00760453" w:rsidRPr="006B3D66" w:rsidRDefault="00717D35" w:rsidP="00760453">
      <w:pPr>
        <w:sectPr w:rsidR="00760453" w:rsidRPr="006B3D66" w:rsidSect="00D8724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6B3D66">
        <w:fldChar w:fldCharType="end"/>
      </w:r>
    </w:p>
    <w:p w:rsidR="00272EC3" w:rsidRPr="006B3D66" w:rsidRDefault="00272EC3" w:rsidP="00C877E3">
      <w:pPr>
        <w:pStyle w:val="LongT"/>
      </w:pPr>
      <w:r w:rsidRPr="006B3D66">
        <w:lastRenderedPageBreak/>
        <w:t>An Act to provide for the appointment of an Independent National Security Legislation Monitor, and for related purposes</w:t>
      </w:r>
    </w:p>
    <w:p w:rsidR="00272EC3" w:rsidRPr="006B3D66" w:rsidRDefault="00272EC3" w:rsidP="00272EC3">
      <w:pPr>
        <w:pStyle w:val="ActHead2"/>
      </w:pPr>
      <w:bookmarkStart w:id="1" w:name="_Toc518896195"/>
      <w:r w:rsidRPr="006B3D66">
        <w:rPr>
          <w:rStyle w:val="CharPartNo"/>
        </w:rPr>
        <w:t>Part</w:t>
      </w:r>
      <w:r w:rsidR="006B3D66" w:rsidRPr="006B3D66">
        <w:rPr>
          <w:rStyle w:val="CharPartNo"/>
        </w:rPr>
        <w:t> </w:t>
      </w:r>
      <w:r w:rsidRPr="006B3D66">
        <w:rPr>
          <w:rStyle w:val="CharPartNo"/>
        </w:rPr>
        <w:t>1</w:t>
      </w:r>
      <w:r w:rsidRPr="006B3D66">
        <w:t>—</w:t>
      </w:r>
      <w:r w:rsidRPr="006B3D66">
        <w:rPr>
          <w:rStyle w:val="CharPartText"/>
        </w:rPr>
        <w:t>Preliminary</w:t>
      </w:r>
      <w:bookmarkEnd w:id="1"/>
    </w:p>
    <w:p w:rsidR="00272EC3" w:rsidRPr="006B3D66" w:rsidRDefault="000279EB" w:rsidP="00272EC3">
      <w:pPr>
        <w:pStyle w:val="Header"/>
      </w:pPr>
      <w:r w:rsidRPr="006B3D66">
        <w:rPr>
          <w:rStyle w:val="CharDivNo"/>
        </w:rPr>
        <w:t xml:space="preserve"> </w:t>
      </w:r>
      <w:r w:rsidRPr="006B3D66">
        <w:rPr>
          <w:rStyle w:val="CharDivText"/>
        </w:rPr>
        <w:t xml:space="preserve"> </w:t>
      </w:r>
    </w:p>
    <w:p w:rsidR="00272EC3" w:rsidRPr="006B3D66" w:rsidRDefault="00272EC3" w:rsidP="00272EC3">
      <w:pPr>
        <w:pStyle w:val="ActHead5"/>
      </w:pPr>
      <w:bookmarkStart w:id="2" w:name="_Toc518896196"/>
      <w:r w:rsidRPr="006B3D66">
        <w:rPr>
          <w:rStyle w:val="CharSectno"/>
        </w:rPr>
        <w:t>1</w:t>
      </w:r>
      <w:r w:rsidRPr="006B3D66">
        <w:t xml:space="preserve">  Short title</w:t>
      </w:r>
      <w:bookmarkEnd w:id="2"/>
    </w:p>
    <w:p w:rsidR="00272EC3" w:rsidRPr="006B3D66" w:rsidRDefault="00272EC3" w:rsidP="00272EC3">
      <w:pPr>
        <w:pStyle w:val="subsection"/>
      </w:pPr>
      <w:r w:rsidRPr="006B3D66">
        <w:tab/>
      </w:r>
      <w:r w:rsidRPr="006B3D66">
        <w:tab/>
        <w:t xml:space="preserve">This Act may be cited as the </w:t>
      </w:r>
      <w:r w:rsidRPr="006B3D66">
        <w:rPr>
          <w:i/>
        </w:rPr>
        <w:t>Independent National Security Legislation Monitor Act 2010</w:t>
      </w:r>
      <w:r w:rsidRPr="006B3D66">
        <w:t>.</w:t>
      </w:r>
    </w:p>
    <w:p w:rsidR="00272EC3" w:rsidRPr="006B3D66" w:rsidRDefault="00272EC3" w:rsidP="00272EC3">
      <w:pPr>
        <w:pStyle w:val="ActHead5"/>
      </w:pPr>
      <w:bookmarkStart w:id="3" w:name="_Toc518896197"/>
      <w:r w:rsidRPr="006B3D66">
        <w:rPr>
          <w:rStyle w:val="CharSectno"/>
        </w:rPr>
        <w:t>2</w:t>
      </w:r>
      <w:r w:rsidRPr="006B3D66">
        <w:t xml:space="preserve">  Commencement</w:t>
      </w:r>
      <w:bookmarkEnd w:id="3"/>
    </w:p>
    <w:p w:rsidR="00272EC3" w:rsidRPr="006B3D66" w:rsidRDefault="00272EC3" w:rsidP="00272EC3">
      <w:pPr>
        <w:pStyle w:val="subsection"/>
      </w:pPr>
      <w:r w:rsidRPr="006B3D66">
        <w:tab/>
      </w:r>
      <w:r w:rsidRPr="006B3D66">
        <w:tab/>
        <w:t>This Act commences on the day after it receives the Royal Assent.</w:t>
      </w:r>
    </w:p>
    <w:p w:rsidR="00272EC3" w:rsidRPr="006B3D66" w:rsidRDefault="00272EC3" w:rsidP="00272EC3">
      <w:pPr>
        <w:pStyle w:val="ActHead5"/>
      </w:pPr>
      <w:bookmarkStart w:id="4" w:name="_Toc518896198"/>
      <w:r w:rsidRPr="006B3D66">
        <w:rPr>
          <w:rStyle w:val="CharSectno"/>
        </w:rPr>
        <w:t>3</w:t>
      </w:r>
      <w:r w:rsidRPr="006B3D66">
        <w:t xml:space="preserve">  Object</w:t>
      </w:r>
      <w:bookmarkEnd w:id="4"/>
    </w:p>
    <w:p w:rsidR="00272EC3" w:rsidRPr="006B3D66" w:rsidRDefault="00272EC3" w:rsidP="00272EC3">
      <w:pPr>
        <w:pStyle w:val="subsection"/>
      </w:pPr>
      <w:r w:rsidRPr="006B3D66">
        <w:tab/>
      </w:r>
      <w:r w:rsidRPr="006B3D66">
        <w:tab/>
        <w:t>The object of this Act is to appoint an Independent National Security Legislation Monitor who will assist Ministers in ensuring that Australia’s counter</w:t>
      </w:r>
      <w:r w:rsidR="006B3D66">
        <w:noBreakHyphen/>
      </w:r>
      <w:r w:rsidRPr="006B3D66">
        <w:t>terrorism and national security legislation:</w:t>
      </w:r>
    </w:p>
    <w:p w:rsidR="00272EC3" w:rsidRPr="006B3D66" w:rsidRDefault="00272EC3" w:rsidP="00272EC3">
      <w:pPr>
        <w:pStyle w:val="paragraph"/>
      </w:pPr>
      <w:r w:rsidRPr="006B3D66">
        <w:tab/>
        <w:t>(a)</w:t>
      </w:r>
      <w:r w:rsidRPr="006B3D66">
        <w:tab/>
        <w:t>is effective in deterring and preventing terrorism and terrorism</w:t>
      </w:r>
      <w:r w:rsidR="006B3D66">
        <w:noBreakHyphen/>
      </w:r>
      <w:r w:rsidRPr="006B3D66">
        <w:t>related activity which threatens Australia’s security; and</w:t>
      </w:r>
    </w:p>
    <w:p w:rsidR="00272EC3" w:rsidRPr="006B3D66" w:rsidRDefault="00272EC3" w:rsidP="00272EC3">
      <w:pPr>
        <w:pStyle w:val="paragraph"/>
      </w:pPr>
      <w:r w:rsidRPr="006B3D66">
        <w:tab/>
        <w:t>(b)</w:t>
      </w:r>
      <w:r w:rsidRPr="006B3D66">
        <w:tab/>
        <w:t>is effective in responding to terrorism and terrorism</w:t>
      </w:r>
      <w:r w:rsidR="006B3D66">
        <w:noBreakHyphen/>
      </w:r>
      <w:r w:rsidRPr="006B3D66">
        <w:t>related activity; and</w:t>
      </w:r>
    </w:p>
    <w:p w:rsidR="00272EC3" w:rsidRPr="006B3D66" w:rsidRDefault="00272EC3" w:rsidP="00272EC3">
      <w:pPr>
        <w:pStyle w:val="paragraph"/>
      </w:pPr>
      <w:r w:rsidRPr="006B3D66">
        <w:tab/>
        <w:t>(c)</w:t>
      </w:r>
      <w:r w:rsidRPr="006B3D66">
        <w:tab/>
        <w:t>is consistent with Australia’s international obligations, including:</w:t>
      </w:r>
    </w:p>
    <w:p w:rsidR="00272EC3" w:rsidRPr="006B3D66" w:rsidRDefault="00272EC3" w:rsidP="00272EC3">
      <w:pPr>
        <w:pStyle w:val="paragraphsub"/>
      </w:pPr>
      <w:r w:rsidRPr="006B3D66">
        <w:tab/>
        <w:t>(i)</w:t>
      </w:r>
      <w:r w:rsidRPr="006B3D66">
        <w:tab/>
        <w:t>human rights obligations; and</w:t>
      </w:r>
    </w:p>
    <w:p w:rsidR="00272EC3" w:rsidRPr="006B3D66" w:rsidRDefault="00272EC3" w:rsidP="00272EC3">
      <w:pPr>
        <w:pStyle w:val="paragraphsub"/>
      </w:pPr>
      <w:r w:rsidRPr="006B3D66">
        <w:tab/>
        <w:t>(ii)</w:t>
      </w:r>
      <w:r w:rsidRPr="006B3D66">
        <w:tab/>
        <w:t>counter</w:t>
      </w:r>
      <w:r w:rsidR="006B3D66">
        <w:noBreakHyphen/>
      </w:r>
      <w:r w:rsidRPr="006B3D66">
        <w:t>terrorism obligations; and</w:t>
      </w:r>
    </w:p>
    <w:p w:rsidR="00272EC3" w:rsidRPr="006B3D66" w:rsidRDefault="00272EC3" w:rsidP="00272EC3">
      <w:pPr>
        <w:pStyle w:val="paragraphsub"/>
      </w:pPr>
      <w:r w:rsidRPr="006B3D66">
        <w:tab/>
        <w:t>(iii)</w:t>
      </w:r>
      <w:r w:rsidRPr="006B3D66">
        <w:tab/>
        <w:t>international security obligations; and</w:t>
      </w:r>
    </w:p>
    <w:p w:rsidR="00272EC3" w:rsidRPr="006B3D66" w:rsidRDefault="00272EC3" w:rsidP="00272EC3">
      <w:pPr>
        <w:pStyle w:val="paragraph"/>
      </w:pPr>
      <w:r w:rsidRPr="006B3D66">
        <w:tab/>
        <w:t>(d)</w:t>
      </w:r>
      <w:r w:rsidRPr="006B3D66">
        <w:tab/>
        <w:t>contains appropriate safeguards for protecting the rights of individuals.</w:t>
      </w:r>
    </w:p>
    <w:p w:rsidR="00272EC3" w:rsidRPr="006B3D66" w:rsidRDefault="00272EC3" w:rsidP="00717D35">
      <w:pPr>
        <w:pStyle w:val="ActHead5"/>
      </w:pPr>
      <w:bookmarkStart w:id="5" w:name="_Toc518896199"/>
      <w:r w:rsidRPr="006B3D66">
        <w:rPr>
          <w:rStyle w:val="CharSectno"/>
        </w:rPr>
        <w:lastRenderedPageBreak/>
        <w:t>4</w:t>
      </w:r>
      <w:r w:rsidRPr="006B3D66">
        <w:t xml:space="preserve">  Definitions</w:t>
      </w:r>
      <w:bookmarkEnd w:id="5"/>
    </w:p>
    <w:p w:rsidR="00272EC3" w:rsidRPr="006B3D66" w:rsidRDefault="00272EC3" w:rsidP="00717D35">
      <w:pPr>
        <w:pStyle w:val="subsection"/>
        <w:keepNext/>
        <w:keepLines/>
      </w:pPr>
      <w:r w:rsidRPr="006B3D66">
        <w:tab/>
      </w:r>
      <w:r w:rsidRPr="006B3D66">
        <w:tab/>
        <w:t>In this Act:</w:t>
      </w:r>
    </w:p>
    <w:p w:rsidR="00272EC3" w:rsidRPr="006B3D66" w:rsidRDefault="00272EC3" w:rsidP="00272EC3">
      <w:pPr>
        <w:pStyle w:val="Definition"/>
      </w:pPr>
      <w:r w:rsidRPr="006B3D66">
        <w:rPr>
          <w:b/>
          <w:i/>
        </w:rPr>
        <w:t>Committee on Intelligence and Security</w:t>
      </w:r>
      <w:r w:rsidRPr="006B3D66">
        <w:t xml:space="preserve"> means the Parliamentary Joint Committee on Intelligence and Security established under the </w:t>
      </w:r>
      <w:r w:rsidRPr="006B3D66">
        <w:rPr>
          <w:i/>
        </w:rPr>
        <w:t>Intelligence Services Act 2001</w:t>
      </w:r>
      <w:r w:rsidRPr="006B3D66">
        <w:t>.</w:t>
      </w:r>
    </w:p>
    <w:p w:rsidR="00272EC3" w:rsidRPr="006B3D66" w:rsidRDefault="00272EC3" w:rsidP="00272EC3">
      <w:pPr>
        <w:pStyle w:val="Definition"/>
      </w:pPr>
      <w:r w:rsidRPr="006B3D66">
        <w:rPr>
          <w:b/>
          <w:i/>
        </w:rPr>
        <w:t>counter</w:t>
      </w:r>
      <w:r w:rsidR="006B3D66">
        <w:rPr>
          <w:b/>
          <w:i/>
        </w:rPr>
        <w:noBreakHyphen/>
      </w:r>
      <w:r w:rsidRPr="006B3D66">
        <w:rPr>
          <w:b/>
          <w:i/>
        </w:rPr>
        <w:t>terrorism and national security legislation</w:t>
      </w:r>
      <w:r w:rsidRPr="006B3D66">
        <w:t xml:space="preserve"> means the following provisions of Commonwealth law:</w:t>
      </w:r>
    </w:p>
    <w:p w:rsidR="00A41EC2" w:rsidRPr="006B3D66" w:rsidRDefault="00A41EC2" w:rsidP="00A41EC2">
      <w:pPr>
        <w:pStyle w:val="paragraph"/>
      </w:pPr>
      <w:r w:rsidRPr="006B3D66">
        <w:tab/>
        <w:t>(aa)</w:t>
      </w:r>
      <w:r w:rsidRPr="006B3D66">
        <w:tab/>
        <w:t>sections</w:t>
      </w:r>
      <w:r w:rsidR="006B3D66">
        <w:t> </w:t>
      </w:r>
      <w:r w:rsidRPr="006B3D66">
        <w:t xml:space="preserve">33AA, 35 and 35A of the </w:t>
      </w:r>
      <w:r w:rsidRPr="006B3D66">
        <w:rPr>
          <w:i/>
        </w:rPr>
        <w:t>Australian Citizenship Act 2007</w:t>
      </w:r>
      <w:r w:rsidRPr="006B3D66">
        <w:t xml:space="preserve"> and any other provision of that Act as far as it relates to those sections;</w:t>
      </w:r>
    </w:p>
    <w:p w:rsidR="00272EC3" w:rsidRPr="006B3D66" w:rsidRDefault="00272EC3" w:rsidP="00272EC3">
      <w:pPr>
        <w:pStyle w:val="paragraph"/>
      </w:pPr>
      <w:r w:rsidRPr="006B3D66">
        <w:tab/>
        <w:t>(a)</w:t>
      </w:r>
      <w:r w:rsidRPr="006B3D66">
        <w:tab/>
        <w:t>Division</w:t>
      </w:r>
      <w:r w:rsidR="006B3D66">
        <w:t> </w:t>
      </w:r>
      <w:r w:rsidRPr="006B3D66">
        <w:t>3 of Part</w:t>
      </w:r>
      <w:r w:rsidR="008A2D52" w:rsidRPr="006B3D66">
        <w:t> </w:t>
      </w:r>
      <w:r w:rsidRPr="006B3D66">
        <w:t xml:space="preserve">III of the </w:t>
      </w:r>
      <w:r w:rsidRPr="006B3D66">
        <w:rPr>
          <w:i/>
        </w:rPr>
        <w:t>Australian Security Intelligence Organisation Act 1979</w:t>
      </w:r>
      <w:r w:rsidRPr="006B3D66">
        <w:t xml:space="preserve"> and any other provision of that Act as far as it relates to that Division;</w:t>
      </w:r>
    </w:p>
    <w:p w:rsidR="00272EC3" w:rsidRPr="006B3D66" w:rsidRDefault="00272EC3" w:rsidP="00272EC3">
      <w:pPr>
        <w:pStyle w:val="paragraph"/>
      </w:pPr>
      <w:r w:rsidRPr="006B3D66">
        <w:tab/>
        <w:t>(b)</w:t>
      </w:r>
      <w:r w:rsidRPr="006B3D66">
        <w:tab/>
        <w:t>Part</w:t>
      </w:r>
      <w:r w:rsidR="006B3D66">
        <w:t> </w:t>
      </w:r>
      <w:r w:rsidRPr="006B3D66">
        <w:t xml:space="preserve">4 of the </w:t>
      </w:r>
      <w:r w:rsidRPr="006B3D66">
        <w:rPr>
          <w:i/>
        </w:rPr>
        <w:t>Charter of the United Nations Act 1945</w:t>
      </w:r>
      <w:r w:rsidRPr="006B3D66">
        <w:t xml:space="preserve"> and any other provision of that Act as far as it relates to that Part;</w:t>
      </w:r>
    </w:p>
    <w:p w:rsidR="00272EC3" w:rsidRPr="006B3D66" w:rsidRDefault="00272EC3" w:rsidP="00272EC3">
      <w:pPr>
        <w:pStyle w:val="paragraph"/>
      </w:pPr>
      <w:r w:rsidRPr="006B3D66">
        <w:tab/>
        <w:t>(c)</w:t>
      </w:r>
      <w:r w:rsidRPr="006B3D66">
        <w:tab/>
        <w:t xml:space="preserve">the following provisions of the </w:t>
      </w:r>
      <w:r w:rsidRPr="006B3D66">
        <w:rPr>
          <w:i/>
        </w:rPr>
        <w:t>Crimes Act 1914</w:t>
      </w:r>
      <w:r w:rsidRPr="006B3D66">
        <w:t>:</w:t>
      </w:r>
    </w:p>
    <w:p w:rsidR="00272EC3" w:rsidRPr="006B3D66" w:rsidRDefault="00272EC3" w:rsidP="00272EC3">
      <w:pPr>
        <w:pStyle w:val="paragraphsub"/>
      </w:pPr>
      <w:r w:rsidRPr="006B3D66">
        <w:tab/>
        <w:t>(i)</w:t>
      </w:r>
      <w:r w:rsidRPr="006B3D66">
        <w:tab/>
        <w:t>Division</w:t>
      </w:r>
      <w:r w:rsidR="006B3D66">
        <w:t> </w:t>
      </w:r>
      <w:r w:rsidRPr="006B3D66">
        <w:t>3A of Part</w:t>
      </w:r>
      <w:r w:rsidR="008A2D52" w:rsidRPr="006B3D66">
        <w:t> </w:t>
      </w:r>
      <w:r w:rsidRPr="006B3D66">
        <w:t>IAA and any other provision of that Act as far as it relates to that Division;</w:t>
      </w:r>
    </w:p>
    <w:p w:rsidR="00272EC3" w:rsidRPr="006B3D66" w:rsidRDefault="00272EC3" w:rsidP="00272EC3">
      <w:pPr>
        <w:pStyle w:val="paragraphsub"/>
      </w:pPr>
      <w:r w:rsidRPr="006B3D66">
        <w:tab/>
        <w:t>(ii)</w:t>
      </w:r>
      <w:r w:rsidRPr="006B3D66">
        <w:tab/>
        <w:t>sections</w:t>
      </w:r>
      <w:r w:rsidR="006B3D66">
        <w:t> </w:t>
      </w:r>
      <w:r w:rsidRPr="006B3D66">
        <w:t>15AA and 19AG and any other provision of that Act as far as it relates to those sections;</w:t>
      </w:r>
    </w:p>
    <w:p w:rsidR="00272EC3" w:rsidRPr="006B3D66" w:rsidRDefault="00272EC3" w:rsidP="00272EC3">
      <w:pPr>
        <w:pStyle w:val="paragraphsub"/>
      </w:pPr>
      <w:r w:rsidRPr="006B3D66">
        <w:tab/>
        <w:t>(iii)</w:t>
      </w:r>
      <w:r w:rsidRPr="006B3D66">
        <w:tab/>
        <w:t>Part</w:t>
      </w:r>
      <w:r w:rsidR="008A2D52" w:rsidRPr="006B3D66">
        <w:t> </w:t>
      </w:r>
      <w:r w:rsidRPr="006B3D66">
        <w:t>IC, to the extent that the provisions of that Part relate to the investigation of terrorism offences (within the meaning of that Act), and any other provision of that Act as far as it relates to that Part;</w:t>
      </w:r>
    </w:p>
    <w:p w:rsidR="00272EC3" w:rsidRPr="006B3D66" w:rsidRDefault="00272EC3" w:rsidP="00272EC3">
      <w:pPr>
        <w:pStyle w:val="paragraph"/>
      </w:pPr>
      <w:r w:rsidRPr="006B3D66">
        <w:tab/>
        <w:t>(d)</w:t>
      </w:r>
      <w:r w:rsidRPr="006B3D66">
        <w:tab/>
        <w:t>Chapter</w:t>
      </w:r>
      <w:r w:rsidR="006B3D66">
        <w:t> </w:t>
      </w:r>
      <w:r w:rsidRPr="006B3D66">
        <w:t xml:space="preserve">5 of the </w:t>
      </w:r>
      <w:r w:rsidRPr="006B3D66">
        <w:rPr>
          <w:i/>
        </w:rPr>
        <w:t>Criminal Code</w:t>
      </w:r>
      <w:r w:rsidRPr="006B3D66">
        <w:t xml:space="preserve"> and any other provision of that Act as far as it relates to that Chapter;</w:t>
      </w:r>
    </w:p>
    <w:p w:rsidR="00272EC3" w:rsidRPr="006B3D66" w:rsidRDefault="00272EC3" w:rsidP="00272EC3">
      <w:pPr>
        <w:pStyle w:val="paragraph"/>
      </w:pPr>
      <w:r w:rsidRPr="006B3D66">
        <w:tab/>
        <w:t>(e)</w:t>
      </w:r>
      <w:r w:rsidRPr="006B3D66">
        <w:tab/>
        <w:t>Part</w:t>
      </w:r>
      <w:r w:rsidR="008A2D52" w:rsidRPr="006B3D66">
        <w:t> </w:t>
      </w:r>
      <w:r w:rsidRPr="006B3D66">
        <w:t xml:space="preserve">IIIAAA of the </w:t>
      </w:r>
      <w:r w:rsidRPr="006B3D66">
        <w:rPr>
          <w:i/>
        </w:rPr>
        <w:t>Defence Act 1903</w:t>
      </w:r>
      <w:r w:rsidRPr="006B3D66">
        <w:t xml:space="preserve"> and any other provision of that Act as far as it relates to that Part;</w:t>
      </w:r>
    </w:p>
    <w:p w:rsidR="00272EC3" w:rsidRPr="006B3D66" w:rsidRDefault="00272EC3" w:rsidP="00272EC3">
      <w:pPr>
        <w:pStyle w:val="paragraph"/>
      </w:pPr>
      <w:r w:rsidRPr="006B3D66">
        <w:tab/>
        <w:t>(f)</w:t>
      </w:r>
      <w:r w:rsidRPr="006B3D66">
        <w:tab/>
        <w:t xml:space="preserve">the </w:t>
      </w:r>
      <w:r w:rsidRPr="006B3D66">
        <w:rPr>
          <w:i/>
        </w:rPr>
        <w:t>National Security Information (Criminal and Civil Proceedings) Act 2004</w:t>
      </w:r>
      <w:r w:rsidRPr="006B3D66">
        <w:t>.</w:t>
      </w:r>
    </w:p>
    <w:p w:rsidR="00272EC3" w:rsidRPr="006B3D66" w:rsidRDefault="00272EC3" w:rsidP="00272EC3">
      <w:pPr>
        <w:pStyle w:val="Definition"/>
      </w:pPr>
      <w:r w:rsidRPr="006B3D66">
        <w:rPr>
          <w:b/>
          <w:i/>
        </w:rPr>
        <w:t>Defence Department</w:t>
      </w:r>
      <w:r w:rsidRPr="006B3D66">
        <w:t xml:space="preserve"> means the Department of State that deals with defence and that is administered by the Minister administering section</w:t>
      </w:r>
      <w:r w:rsidR="006B3D66">
        <w:t> </w:t>
      </w:r>
      <w:r w:rsidRPr="006B3D66">
        <w:t xml:space="preserve">1 of the </w:t>
      </w:r>
      <w:r w:rsidRPr="006B3D66">
        <w:rPr>
          <w:i/>
        </w:rPr>
        <w:t>Defence Act 1903</w:t>
      </w:r>
      <w:r w:rsidRPr="006B3D66">
        <w:t>.</w:t>
      </w:r>
    </w:p>
    <w:p w:rsidR="00272EC3" w:rsidRPr="006B3D66" w:rsidRDefault="00272EC3" w:rsidP="00272EC3">
      <w:pPr>
        <w:pStyle w:val="Definition"/>
      </w:pPr>
      <w:r w:rsidRPr="006B3D66">
        <w:rPr>
          <w:b/>
          <w:i/>
        </w:rPr>
        <w:lastRenderedPageBreak/>
        <w:t>head</w:t>
      </w:r>
      <w:r w:rsidRPr="006B3D66">
        <w:t xml:space="preserve"> means:</w:t>
      </w:r>
    </w:p>
    <w:p w:rsidR="00272EC3" w:rsidRPr="006B3D66" w:rsidRDefault="00272EC3" w:rsidP="00272EC3">
      <w:pPr>
        <w:pStyle w:val="paragraph"/>
      </w:pPr>
      <w:r w:rsidRPr="006B3D66">
        <w:tab/>
        <w:t>(a)</w:t>
      </w:r>
      <w:r w:rsidRPr="006B3D66">
        <w:tab/>
        <w:t>in relation to the Australian Federal Police—the Commissioner of Police; or</w:t>
      </w:r>
    </w:p>
    <w:p w:rsidR="00272EC3" w:rsidRPr="006B3D66" w:rsidRDefault="00272EC3" w:rsidP="00272EC3">
      <w:pPr>
        <w:pStyle w:val="paragraph"/>
      </w:pPr>
      <w:r w:rsidRPr="006B3D66">
        <w:tab/>
        <w:t>(b)</w:t>
      </w:r>
      <w:r w:rsidRPr="006B3D66">
        <w:tab/>
        <w:t>in relation to the Australian Crime Commission—the Chief Executive Officer of the Australian Crime Commission; or</w:t>
      </w:r>
    </w:p>
    <w:p w:rsidR="00272EC3" w:rsidRPr="006B3D66" w:rsidRDefault="00272EC3" w:rsidP="00272EC3">
      <w:pPr>
        <w:pStyle w:val="paragraph"/>
      </w:pPr>
      <w:r w:rsidRPr="006B3D66">
        <w:tab/>
        <w:t>(d)</w:t>
      </w:r>
      <w:r w:rsidRPr="006B3D66">
        <w:tab/>
        <w:t>in relation to the Australian Security Intelligence Organisation—the Director</w:t>
      </w:r>
      <w:r w:rsidR="006B3D66">
        <w:noBreakHyphen/>
      </w:r>
      <w:r w:rsidRPr="006B3D66">
        <w:t>General of Security; or</w:t>
      </w:r>
    </w:p>
    <w:p w:rsidR="00272EC3" w:rsidRPr="006B3D66" w:rsidRDefault="00272EC3" w:rsidP="00272EC3">
      <w:pPr>
        <w:pStyle w:val="paragraph"/>
      </w:pPr>
      <w:r w:rsidRPr="006B3D66">
        <w:tab/>
        <w:t>(e)</w:t>
      </w:r>
      <w:r w:rsidRPr="006B3D66">
        <w:tab/>
        <w:t>in relation to the Australian Secret Intelligence Service—the Director</w:t>
      </w:r>
      <w:r w:rsidR="006B3D66">
        <w:noBreakHyphen/>
      </w:r>
      <w:r w:rsidRPr="006B3D66">
        <w:t>General of the Australian Secret Intelligence Service; or</w:t>
      </w:r>
    </w:p>
    <w:p w:rsidR="00272EC3" w:rsidRPr="006B3D66" w:rsidRDefault="00272EC3" w:rsidP="00272EC3">
      <w:pPr>
        <w:pStyle w:val="paragraph"/>
      </w:pPr>
      <w:r w:rsidRPr="006B3D66">
        <w:tab/>
        <w:t>(f)</w:t>
      </w:r>
      <w:r w:rsidRPr="006B3D66">
        <w:tab/>
        <w:t xml:space="preserve">in relation to the part of the Defence Department known as the </w:t>
      </w:r>
      <w:r w:rsidR="00CA4F5D" w:rsidRPr="006B3D66">
        <w:t>Australian Geospatial</w:t>
      </w:r>
      <w:r w:rsidR="006B3D66">
        <w:noBreakHyphen/>
      </w:r>
      <w:r w:rsidR="00CA4F5D" w:rsidRPr="006B3D66">
        <w:t>Intelligence Organisation</w:t>
      </w:r>
      <w:r w:rsidRPr="006B3D66">
        <w:t>—the Director of that part of the Department; or</w:t>
      </w:r>
    </w:p>
    <w:p w:rsidR="00272EC3" w:rsidRPr="006B3D66" w:rsidRDefault="00272EC3" w:rsidP="00272EC3">
      <w:pPr>
        <w:pStyle w:val="paragraph"/>
      </w:pPr>
      <w:r w:rsidRPr="006B3D66">
        <w:tab/>
        <w:t>(g)</w:t>
      </w:r>
      <w:r w:rsidRPr="006B3D66">
        <w:tab/>
        <w:t>in relation to the part of the Defence Department known as the Defence Intelligence Organisation—the Director of that part of the Department; or</w:t>
      </w:r>
    </w:p>
    <w:p w:rsidR="00272EC3" w:rsidRPr="006B3D66" w:rsidRDefault="00272EC3" w:rsidP="00272EC3">
      <w:pPr>
        <w:pStyle w:val="paragraph"/>
      </w:pPr>
      <w:r w:rsidRPr="006B3D66">
        <w:tab/>
        <w:t>(h)</w:t>
      </w:r>
      <w:r w:rsidRPr="006B3D66">
        <w:tab/>
        <w:t xml:space="preserve">in relation to the part of the Defence Department known as the </w:t>
      </w:r>
      <w:r w:rsidR="00CA4F5D" w:rsidRPr="006B3D66">
        <w:t>Australian Signals Directorate</w:t>
      </w:r>
      <w:r w:rsidRPr="006B3D66">
        <w:t>—the Director of that part of the Department; or</w:t>
      </w:r>
    </w:p>
    <w:p w:rsidR="00272EC3" w:rsidRPr="006B3D66" w:rsidRDefault="00272EC3" w:rsidP="00272EC3">
      <w:pPr>
        <w:pStyle w:val="paragraph"/>
      </w:pPr>
      <w:r w:rsidRPr="006B3D66">
        <w:tab/>
        <w:t>(i)</w:t>
      </w:r>
      <w:r w:rsidRPr="006B3D66">
        <w:tab/>
        <w:t>in relation to any other part of the Defence Department—the Chief of the Defence Force and the Secretary of the Department; or</w:t>
      </w:r>
    </w:p>
    <w:p w:rsidR="00272EC3" w:rsidRPr="006B3D66" w:rsidRDefault="00272EC3" w:rsidP="00272EC3">
      <w:pPr>
        <w:pStyle w:val="paragraph"/>
      </w:pPr>
      <w:r w:rsidRPr="006B3D66">
        <w:tab/>
        <w:t>(j)</w:t>
      </w:r>
      <w:r w:rsidRPr="006B3D66">
        <w:tab/>
        <w:t xml:space="preserve">in relation to the Office of National Assessments established by the </w:t>
      </w:r>
      <w:r w:rsidRPr="006B3D66">
        <w:rPr>
          <w:i/>
        </w:rPr>
        <w:t>Office of National Assessments Act 1977</w:t>
      </w:r>
      <w:r w:rsidRPr="006B3D66">
        <w:t>—the Director</w:t>
      </w:r>
      <w:r w:rsidR="006B3D66">
        <w:noBreakHyphen/>
      </w:r>
      <w:r w:rsidRPr="006B3D66">
        <w:t>General of the Office of National Assessments; or</w:t>
      </w:r>
    </w:p>
    <w:p w:rsidR="00272EC3" w:rsidRPr="006B3D66" w:rsidRDefault="00272EC3" w:rsidP="00272EC3">
      <w:pPr>
        <w:pStyle w:val="paragraph"/>
      </w:pPr>
      <w:r w:rsidRPr="006B3D66">
        <w:tab/>
        <w:t>(k)</w:t>
      </w:r>
      <w:r w:rsidRPr="006B3D66">
        <w:tab/>
        <w:t>in relation to any other Commonwealth government agency:</w:t>
      </w:r>
    </w:p>
    <w:p w:rsidR="00272EC3" w:rsidRPr="006B3D66" w:rsidRDefault="00272EC3" w:rsidP="00272EC3">
      <w:pPr>
        <w:pStyle w:val="paragraphsub"/>
      </w:pPr>
      <w:r w:rsidRPr="006B3D66">
        <w:tab/>
        <w:t>(i)</w:t>
      </w:r>
      <w:r w:rsidRPr="006B3D66">
        <w:tab/>
        <w:t>in the case of a Department of the Commonwealth—the Secretary of the Department; or</w:t>
      </w:r>
    </w:p>
    <w:p w:rsidR="00272EC3" w:rsidRPr="006B3D66" w:rsidRDefault="00272EC3" w:rsidP="00272EC3">
      <w:pPr>
        <w:pStyle w:val="paragraphsub"/>
      </w:pPr>
      <w:r w:rsidRPr="006B3D66">
        <w:tab/>
        <w:t>(ii)</w:t>
      </w:r>
      <w:r w:rsidRPr="006B3D66">
        <w:tab/>
        <w:t>in the case of a body established for a public purpose—the person holding, or performing the duties of, the principal office in respect of the body; or</w:t>
      </w:r>
    </w:p>
    <w:p w:rsidR="00272EC3" w:rsidRPr="006B3D66" w:rsidRDefault="00272EC3" w:rsidP="00272EC3">
      <w:pPr>
        <w:pStyle w:val="paragraph"/>
      </w:pPr>
      <w:r w:rsidRPr="006B3D66">
        <w:tab/>
        <w:t>(l)</w:t>
      </w:r>
      <w:r w:rsidRPr="006B3D66">
        <w:tab/>
        <w:t>in relation to a State or Territory government agency—the person holding, or performing the duties of, the principal office in respect of the agency.</w:t>
      </w:r>
    </w:p>
    <w:p w:rsidR="004B5D5C" w:rsidRPr="006B3D66" w:rsidRDefault="004B5D5C" w:rsidP="004B5D5C">
      <w:pPr>
        <w:pStyle w:val="Definition"/>
      </w:pPr>
      <w:r w:rsidRPr="006B3D66">
        <w:rPr>
          <w:b/>
          <w:i/>
        </w:rPr>
        <w:lastRenderedPageBreak/>
        <w:t>Immigration and Border Protection Department</w:t>
      </w:r>
      <w:r w:rsidRPr="006B3D66">
        <w:t xml:space="preserve"> means the Department administered by the Minister administering the </w:t>
      </w:r>
      <w:r w:rsidRPr="006B3D66">
        <w:rPr>
          <w:i/>
        </w:rPr>
        <w:t>Australian Border Force Act 2015</w:t>
      </w:r>
      <w:r w:rsidRPr="006B3D66">
        <w:t>.</w:t>
      </w:r>
    </w:p>
    <w:p w:rsidR="00272EC3" w:rsidRPr="006B3D66" w:rsidRDefault="003D5C85" w:rsidP="00272EC3">
      <w:pPr>
        <w:pStyle w:val="Definition"/>
      </w:pPr>
      <w:r w:rsidRPr="006B3D66">
        <w:rPr>
          <w:b/>
          <w:i/>
        </w:rPr>
        <w:t xml:space="preserve">Independent </w:t>
      </w:r>
      <w:r w:rsidR="00272EC3" w:rsidRPr="006B3D66">
        <w:rPr>
          <w:b/>
          <w:i/>
        </w:rPr>
        <w:t>National Security Legislation Monitor</w:t>
      </w:r>
      <w:r w:rsidR="00272EC3" w:rsidRPr="006B3D66">
        <w:t xml:space="preserve"> means the person appointed in accordance with section</w:t>
      </w:r>
      <w:r w:rsidR="006B3D66">
        <w:t> </w:t>
      </w:r>
      <w:r w:rsidR="00272EC3" w:rsidRPr="006B3D66">
        <w:t>11.</w:t>
      </w:r>
    </w:p>
    <w:p w:rsidR="00272EC3" w:rsidRPr="006B3D66" w:rsidRDefault="00272EC3" w:rsidP="00272EC3">
      <w:pPr>
        <w:pStyle w:val="Definition"/>
      </w:pPr>
      <w:r w:rsidRPr="006B3D66">
        <w:rPr>
          <w:b/>
          <w:i/>
        </w:rPr>
        <w:t>law enforcement or security agency</w:t>
      </w:r>
      <w:r w:rsidRPr="006B3D66">
        <w:t xml:space="preserve"> means any of the following agencies:</w:t>
      </w:r>
    </w:p>
    <w:p w:rsidR="00272EC3" w:rsidRPr="006B3D66" w:rsidRDefault="00272EC3" w:rsidP="00272EC3">
      <w:pPr>
        <w:pStyle w:val="paragraph"/>
      </w:pPr>
      <w:r w:rsidRPr="006B3D66">
        <w:tab/>
        <w:t>(a)</w:t>
      </w:r>
      <w:r w:rsidRPr="006B3D66">
        <w:tab/>
        <w:t>the Australian Federal Police;</w:t>
      </w:r>
    </w:p>
    <w:p w:rsidR="00272EC3" w:rsidRPr="006B3D66" w:rsidRDefault="00272EC3" w:rsidP="00272EC3">
      <w:pPr>
        <w:pStyle w:val="paragraph"/>
      </w:pPr>
      <w:r w:rsidRPr="006B3D66">
        <w:tab/>
        <w:t>(b)</w:t>
      </w:r>
      <w:r w:rsidRPr="006B3D66">
        <w:tab/>
        <w:t>the Australian Crime Commission;</w:t>
      </w:r>
    </w:p>
    <w:p w:rsidR="004A308C" w:rsidRPr="006B3D66" w:rsidRDefault="004A308C" w:rsidP="004A308C">
      <w:pPr>
        <w:pStyle w:val="paragraph"/>
      </w:pPr>
      <w:r w:rsidRPr="006B3D66">
        <w:tab/>
        <w:t>(c)</w:t>
      </w:r>
      <w:r w:rsidRPr="006B3D66">
        <w:tab/>
        <w:t>the Immigration and Border Protection Department;</w:t>
      </w:r>
    </w:p>
    <w:p w:rsidR="00272EC3" w:rsidRPr="006B3D66" w:rsidRDefault="00272EC3" w:rsidP="00272EC3">
      <w:pPr>
        <w:pStyle w:val="paragraph"/>
      </w:pPr>
      <w:r w:rsidRPr="006B3D66">
        <w:tab/>
        <w:t>(d)</w:t>
      </w:r>
      <w:r w:rsidRPr="006B3D66">
        <w:tab/>
        <w:t>the Australian Security Intelligence Organisation;</w:t>
      </w:r>
    </w:p>
    <w:p w:rsidR="00272EC3" w:rsidRPr="006B3D66" w:rsidRDefault="00272EC3" w:rsidP="00272EC3">
      <w:pPr>
        <w:pStyle w:val="paragraph"/>
      </w:pPr>
      <w:r w:rsidRPr="006B3D66">
        <w:tab/>
        <w:t>(e)</w:t>
      </w:r>
      <w:r w:rsidRPr="006B3D66">
        <w:tab/>
        <w:t>the Australian Secret Intelligence Service;</w:t>
      </w:r>
    </w:p>
    <w:p w:rsidR="00272EC3" w:rsidRPr="006B3D66" w:rsidRDefault="00272EC3" w:rsidP="00272EC3">
      <w:pPr>
        <w:pStyle w:val="paragraph"/>
      </w:pPr>
      <w:r w:rsidRPr="006B3D66">
        <w:tab/>
        <w:t>(f)</w:t>
      </w:r>
      <w:r w:rsidRPr="006B3D66">
        <w:tab/>
        <w:t>the Australian Defence Force;</w:t>
      </w:r>
    </w:p>
    <w:p w:rsidR="00272EC3" w:rsidRPr="006B3D66" w:rsidRDefault="00272EC3" w:rsidP="00272EC3">
      <w:pPr>
        <w:pStyle w:val="paragraph"/>
      </w:pPr>
      <w:r w:rsidRPr="006B3D66">
        <w:tab/>
        <w:t>(g)</w:t>
      </w:r>
      <w:r w:rsidRPr="006B3D66">
        <w:tab/>
        <w:t xml:space="preserve">the part of the Defence Department known as the </w:t>
      </w:r>
      <w:r w:rsidR="00CA4F5D" w:rsidRPr="006B3D66">
        <w:t>Australian Geospatial</w:t>
      </w:r>
      <w:r w:rsidR="006B3D66">
        <w:noBreakHyphen/>
      </w:r>
      <w:r w:rsidR="00CA4F5D" w:rsidRPr="006B3D66">
        <w:t>Intelligence Organisation</w:t>
      </w:r>
      <w:r w:rsidRPr="006B3D66">
        <w:t>;</w:t>
      </w:r>
    </w:p>
    <w:p w:rsidR="00272EC3" w:rsidRPr="006B3D66" w:rsidRDefault="00272EC3" w:rsidP="00272EC3">
      <w:pPr>
        <w:pStyle w:val="paragraph"/>
      </w:pPr>
      <w:r w:rsidRPr="006B3D66">
        <w:tab/>
        <w:t>(h)</w:t>
      </w:r>
      <w:r w:rsidRPr="006B3D66">
        <w:tab/>
        <w:t>the part of the Defence Department known as the Defence Intelligence Organisation;</w:t>
      </w:r>
    </w:p>
    <w:p w:rsidR="00272EC3" w:rsidRPr="006B3D66" w:rsidRDefault="00272EC3" w:rsidP="00272EC3">
      <w:pPr>
        <w:pStyle w:val="paragraph"/>
      </w:pPr>
      <w:r w:rsidRPr="006B3D66">
        <w:tab/>
        <w:t>(i)</w:t>
      </w:r>
      <w:r w:rsidRPr="006B3D66">
        <w:tab/>
        <w:t xml:space="preserve">the part of the Defence Department known as the </w:t>
      </w:r>
      <w:r w:rsidR="00CA4F5D" w:rsidRPr="006B3D66">
        <w:t>Australian Signals Directorate</w:t>
      </w:r>
      <w:r w:rsidRPr="006B3D66">
        <w:t>;</w:t>
      </w:r>
    </w:p>
    <w:p w:rsidR="00272EC3" w:rsidRPr="006B3D66" w:rsidRDefault="00272EC3" w:rsidP="00272EC3">
      <w:pPr>
        <w:pStyle w:val="paragraph"/>
      </w:pPr>
      <w:r w:rsidRPr="006B3D66">
        <w:tab/>
        <w:t>(j)</w:t>
      </w:r>
      <w:r w:rsidRPr="006B3D66">
        <w:tab/>
        <w:t xml:space="preserve">the Office of National Assessments established by the </w:t>
      </w:r>
      <w:r w:rsidRPr="006B3D66">
        <w:rPr>
          <w:i/>
        </w:rPr>
        <w:t>Office of National Assessments Act 1977</w:t>
      </w:r>
      <w:r w:rsidRPr="006B3D66">
        <w:t>;</w:t>
      </w:r>
    </w:p>
    <w:p w:rsidR="00272EC3" w:rsidRPr="006B3D66" w:rsidRDefault="00272EC3" w:rsidP="00272EC3">
      <w:pPr>
        <w:pStyle w:val="paragraph"/>
      </w:pPr>
      <w:r w:rsidRPr="006B3D66">
        <w:tab/>
        <w:t>(k)</w:t>
      </w:r>
      <w:r w:rsidRPr="006B3D66">
        <w:tab/>
        <w:t>the police force of a State or Territory;</w:t>
      </w:r>
    </w:p>
    <w:p w:rsidR="00272EC3" w:rsidRPr="006B3D66" w:rsidRDefault="00272EC3" w:rsidP="00272EC3">
      <w:pPr>
        <w:pStyle w:val="paragraph"/>
      </w:pPr>
      <w:r w:rsidRPr="006B3D66">
        <w:tab/>
        <w:t>(l)</w:t>
      </w:r>
      <w:r w:rsidRPr="006B3D66">
        <w:tab/>
        <w:t>any other agency prescribed by the regulations for the purposes of this definition.</w:t>
      </w:r>
    </w:p>
    <w:p w:rsidR="00272EC3" w:rsidRPr="006B3D66" w:rsidRDefault="00272EC3" w:rsidP="00272EC3">
      <w:pPr>
        <w:pStyle w:val="Definition"/>
      </w:pPr>
      <w:r w:rsidRPr="006B3D66">
        <w:rPr>
          <w:b/>
          <w:i/>
        </w:rPr>
        <w:t>operationally sensitive information</w:t>
      </w:r>
      <w:r w:rsidRPr="006B3D66">
        <w:t xml:space="preserve"> means:</w:t>
      </w:r>
    </w:p>
    <w:p w:rsidR="00272EC3" w:rsidRPr="006B3D66" w:rsidRDefault="00272EC3" w:rsidP="00272EC3">
      <w:pPr>
        <w:pStyle w:val="paragraph"/>
      </w:pPr>
      <w:r w:rsidRPr="006B3D66">
        <w:tab/>
        <w:t>(a)</w:t>
      </w:r>
      <w:r w:rsidRPr="006B3D66">
        <w:tab/>
        <w:t>information about information sources or operational activities or methods available to a law enforcement or security agency; or</w:t>
      </w:r>
    </w:p>
    <w:p w:rsidR="00272EC3" w:rsidRPr="006B3D66" w:rsidRDefault="00272EC3" w:rsidP="00272EC3">
      <w:pPr>
        <w:pStyle w:val="paragraph"/>
      </w:pPr>
      <w:r w:rsidRPr="006B3D66">
        <w:tab/>
        <w:t>(b)</w:t>
      </w:r>
      <w:r w:rsidRPr="006B3D66">
        <w:tab/>
        <w:t>information about particular operations that have been, are being or are proposed to be undertaken by a law enforcement or security agency, or about proceedings relating to those operations; or</w:t>
      </w:r>
    </w:p>
    <w:p w:rsidR="00272EC3" w:rsidRPr="006B3D66" w:rsidRDefault="00272EC3" w:rsidP="00272EC3">
      <w:pPr>
        <w:pStyle w:val="paragraph"/>
      </w:pPr>
      <w:r w:rsidRPr="006B3D66">
        <w:lastRenderedPageBreak/>
        <w:tab/>
        <w:t>(c)</w:t>
      </w:r>
      <w:r w:rsidRPr="006B3D66">
        <w:tab/>
        <w:t>information provided by a foreign government, or by an agency of a foreign government, where that government does not consent to the public disclosure of the information.</w:t>
      </w:r>
    </w:p>
    <w:p w:rsidR="00272EC3" w:rsidRPr="006B3D66" w:rsidRDefault="00272EC3" w:rsidP="00272EC3">
      <w:pPr>
        <w:pStyle w:val="Definition"/>
      </w:pPr>
      <w:r w:rsidRPr="006B3D66">
        <w:rPr>
          <w:b/>
          <w:i/>
        </w:rPr>
        <w:t>responsible Minister</w:t>
      </w:r>
      <w:r w:rsidRPr="006B3D66">
        <w:t>, in relation to a review of a matter, means the Minister (including a State or Territory Minister) responsible for the agency concerned in relation to the matter.</w:t>
      </w:r>
    </w:p>
    <w:p w:rsidR="00272EC3" w:rsidRPr="006B3D66" w:rsidRDefault="00272EC3" w:rsidP="00272EC3">
      <w:pPr>
        <w:pStyle w:val="Definition"/>
      </w:pPr>
      <w:r w:rsidRPr="006B3D66">
        <w:rPr>
          <w:b/>
          <w:i/>
        </w:rPr>
        <w:t>secrecy provision</w:t>
      </w:r>
      <w:r w:rsidRPr="006B3D66">
        <w:t xml:space="preserve"> means:</w:t>
      </w:r>
    </w:p>
    <w:p w:rsidR="00272EC3" w:rsidRPr="006B3D66" w:rsidRDefault="00272EC3" w:rsidP="00272EC3">
      <w:pPr>
        <w:pStyle w:val="paragraph"/>
      </w:pPr>
      <w:r w:rsidRPr="006B3D66">
        <w:tab/>
        <w:t>(a)</w:t>
      </w:r>
      <w:r w:rsidRPr="006B3D66">
        <w:tab/>
        <w:t>a provision of a law of the Commonwealth, of a State or of a Territory, being a provision that purports to prohibit; or</w:t>
      </w:r>
    </w:p>
    <w:p w:rsidR="00272EC3" w:rsidRPr="006B3D66" w:rsidRDefault="00272EC3" w:rsidP="00272EC3">
      <w:pPr>
        <w:pStyle w:val="paragraph"/>
      </w:pPr>
      <w:r w:rsidRPr="006B3D66">
        <w:tab/>
        <w:t>(b)</w:t>
      </w:r>
      <w:r w:rsidRPr="006B3D66">
        <w:tab/>
        <w:t>anything done, under a provision of a law of the Commonwealth, of a State or of a Territory, to prohibit;</w:t>
      </w:r>
    </w:p>
    <w:p w:rsidR="00272EC3" w:rsidRPr="006B3D66" w:rsidRDefault="00272EC3" w:rsidP="00272EC3">
      <w:pPr>
        <w:pStyle w:val="subsection2"/>
      </w:pPr>
      <w:r w:rsidRPr="006B3D66">
        <w:t>the communication, divulging or publication of information, the production of, or the publication of the contents of, a document, or the production of a thing.</w:t>
      </w:r>
    </w:p>
    <w:p w:rsidR="00272EC3" w:rsidRPr="006B3D66" w:rsidRDefault="00272EC3" w:rsidP="00D774CC">
      <w:pPr>
        <w:pStyle w:val="ActHead2"/>
        <w:pageBreakBefore/>
      </w:pPr>
      <w:bookmarkStart w:id="6" w:name="_Toc518896200"/>
      <w:r w:rsidRPr="006B3D66">
        <w:rPr>
          <w:rStyle w:val="CharPartNo"/>
        </w:rPr>
        <w:lastRenderedPageBreak/>
        <w:t>Part</w:t>
      </w:r>
      <w:r w:rsidR="006B3D66" w:rsidRPr="006B3D66">
        <w:rPr>
          <w:rStyle w:val="CharPartNo"/>
        </w:rPr>
        <w:t> </w:t>
      </w:r>
      <w:r w:rsidRPr="006B3D66">
        <w:rPr>
          <w:rStyle w:val="CharPartNo"/>
        </w:rPr>
        <w:t>2</w:t>
      </w:r>
      <w:r w:rsidRPr="006B3D66">
        <w:t>—</w:t>
      </w:r>
      <w:r w:rsidRPr="006B3D66">
        <w:rPr>
          <w:rStyle w:val="CharPartText"/>
        </w:rPr>
        <w:t>Independent National Security Legislation Monitor</w:t>
      </w:r>
      <w:bookmarkEnd w:id="6"/>
    </w:p>
    <w:p w:rsidR="00272EC3" w:rsidRPr="006B3D66" w:rsidRDefault="00272EC3" w:rsidP="00272EC3">
      <w:pPr>
        <w:pStyle w:val="ActHead3"/>
      </w:pPr>
      <w:bookmarkStart w:id="7" w:name="_Toc518896201"/>
      <w:r w:rsidRPr="006B3D66">
        <w:rPr>
          <w:rStyle w:val="CharDivNo"/>
        </w:rPr>
        <w:t>Division</w:t>
      </w:r>
      <w:r w:rsidR="006B3D66" w:rsidRPr="006B3D66">
        <w:rPr>
          <w:rStyle w:val="CharDivNo"/>
        </w:rPr>
        <w:t> </w:t>
      </w:r>
      <w:r w:rsidRPr="006B3D66">
        <w:rPr>
          <w:rStyle w:val="CharDivNo"/>
        </w:rPr>
        <w:t>1</w:t>
      </w:r>
      <w:r w:rsidRPr="006B3D66">
        <w:t>—</w:t>
      </w:r>
      <w:r w:rsidRPr="006B3D66">
        <w:rPr>
          <w:rStyle w:val="CharDivText"/>
        </w:rPr>
        <w:t>Establishment, functions and powers of Independent National Security Legislation Monitor</w:t>
      </w:r>
      <w:bookmarkEnd w:id="7"/>
    </w:p>
    <w:p w:rsidR="00272EC3" w:rsidRPr="006B3D66" w:rsidRDefault="00272EC3" w:rsidP="00272EC3">
      <w:pPr>
        <w:pStyle w:val="ActHead5"/>
      </w:pPr>
      <w:bookmarkStart w:id="8" w:name="_Toc518896202"/>
      <w:r w:rsidRPr="006B3D66">
        <w:rPr>
          <w:rStyle w:val="CharSectno"/>
        </w:rPr>
        <w:t>5</w:t>
      </w:r>
      <w:r w:rsidRPr="006B3D66">
        <w:t xml:space="preserve">  Independent National Security Legislation Monitor</w:t>
      </w:r>
      <w:bookmarkEnd w:id="8"/>
    </w:p>
    <w:p w:rsidR="00272EC3" w:rsidRPr="006B3D66" w:rsidRDefault="00272EC3" w:rsidP="00272EC3">
      <w:pPr>
        <w:pStyle w:val="subsection"/>
      </w:pPr>
      <w:r w:rsidRPr="006B3D66">
        <w:tab/>
      </w:r>
      <w:r w:rsidRPr="006B3D66">
        <w:tab/>
        <w:t>There is to be an Independent National Security Legislation Monitor.</w:t>
      </w:r>
    </w:p>
    <w:p w:rsidR="00272EC3" w:rsidRPr="006B3D66" w:rsidRDefault="00272EC3" w:rsidP="00272EC3">
      <w:pPr>
        <w:pStyle w:val="ActHead5"/>
      </w:pPr>
      <w:bookmarkStart w:id="9" w:name="_Toc518896203"/>
      <w:r w:rsidRPr="006B3D66">
        <w:rPr>
          <w:rStyle w:val="CharSectno"/>
        </w:rPr>
        <w:t>6</w:t>
      </w:r>
      <w:r w:rsidRPr="006B3D66">
        <w:t xml:space="preserve">  Functions of the Independent National Security Legislation Monitor</w:t>
      </w:r>
      <w:bookmarkEnd w:id="9"/>
    </w:p>
    <w:p w:rsidR="00272EC3" w:rsidRPr="006B3D66" w:rsidRDefault="00272EC3" w:rsidP="00272EC3">
      <w:pPr>
        <w:pStyle w:val="subsection"/>
      </w:pPr>
      <w:r w:rsidRPr="006B3D66">
        <w:tab/>
        <w:t>(1)</w:t>
      </w:r>
      <w:r w:rsidRPr="006B3D66">
        <w:tab/>
        <w:t>The Independent National Security Legislation Monitor has the following functions:</w:t>
      </w:r>
    </w:p>
    <w:p w:rsidR="00272EC3" w:rsidRPr="006B3D66" w:rsidRDefault="00272EC3" w:rsidP="00272EC3">
      <w:pPr>
        <w:pStyle w:val="paragraph"/>
      </w:pPr>
      <w:r w:rsidRPr="006B3D66">
        <w:tab/>
        <w:t>(a)</w:t>
      </w:r>
      <w:r w:rsidRPr="006B3D66">
        <w:tab/>
        <w:t>to review, on his or her own initiative, the operation, effectiveness and implications of:</w:t>
      </w:r>
    </w:p>
    <w:p w:rsidR="00272EC3" w:rsidRPr="006B3D66" w:rsidRDefault="00272EC3" w:rsidP="00272EC3">
      <w:pPr>
        <w:pStyle w:val="paragraphsub"/>
      </w:pPr>
      <w:r w:rsidRPr="006B3D66">
        <w:tab/>
        <w:t>(i)</w:t>
      </w:r>
      <w:r w:rsidRPr="006B3D66">
        <w:tab/>
        <w:t>Australia’s counter</w:t>
      </w:r>
      <w:r w:rsidR="006B3D66">
        <w:noBreakHyphen/>
      </w:r>
      <w:r w:rsidRPr="006B3D66">
        <w:t>terrorism and national security legislation; and</w:t>
      </w:r>
    </w:p>
    <w:p w:rsidR="002A35C4" w:rsidRPr="006B3D66" w:rsidRDefault="002A35C4" w:rsidP="002A35C4">
      <w:pPr>
        <w:pStyle w:val="paragraphsub"/>
      </w:pPr>
      <w:r w:rsidRPr="006B3D66">
        <w:tab/>
        <w:t>(ia)</w:t>
      </w:r>
      <w:r w:rsidRPr="006B3D66">
        <w:tab/>
        <w:t xml:space="preserve">without limiting </w:t>
      </w:r>
      <w:r w:rsidR="006B3D66">
        <w:t>subparagraph (</w:t>
      </w:r>
      <w:r w:rsidRPr="006B3D66">
        <w:t>i), Division</w:t>
      </w:r>
      <w:r w:rsidR="006B3D66">
        <w:t> </w:t>
      </w:r>
      <w:r w:rsidRPr="006B3D66">
        <w:t xml:space="preserve">105A of the </w:t>
      </w:r>
      <w:r w:rsidRPr="006B3D66">
        <w:rPr>
          <w:i/>
        </w:rPr>
        <w:t>Criminal Code</w:t>
      </w:r>
      <w:r w:rsidRPr="006B3D66">
        <w:t xml:space="preserve"> and any other provision of that Code as far as it relates to that Division; and</w:t>
      </w:r>
    </w:p>
    <w:p w:rsidR="00272EC3" w:rsidRPr="006B3D66" w:rsidRDefault="00272EC3" w:rsidP="00272EC3">
      <w:pPr>
        <w:pStyle w:val="paragraphsub"/>
      </w:pPr>
      <w:r w:rsidRPr="006B3D66">
        <w:tab/>
        <w:t>(ii)</w:t>
      </w:r>
      <w:r w:rsidRPr="006B3D66">
        <w:tab/>
        <w:t>any other law of the Commonwealth to the extent that it relates to Australia’s counter</w:t>
      </w:r>
      <w:r w:rsidR="006B3D66">
        <w:noBreakHyphen/>
      </w:r>
      <w:r w:rsidRPr="006B3D66">
        <w:t>terrorism and national security legislation;</w:t>
      </w:r>
    </w:p>
    <w:p w:rsidR="00272EC3" w:rsidRPr="006B3D66" w:rsidRDefault="00272EC3" w:rsidP="00272EC3">
      <w:pPr>
        <w:pStyle w:val="paragraph"/>
      </w:pPr>
      <w:r w:rsidRPr="006B3D66">
        <w:tab/>
        <w:t>(b)</w:t>
      </w:r>
      <w:r w:rsidRPr="006B3D66">
        <w:tab/>
        <w:t xml:space="preserve">to consider, on his or her own initiative, whether any legislation mentioned in </w:t>
      </w:r>
      <w:r w:rsidR="006B3D66">
        <w:t>paragraph (</w:t>
      </w:r>
      <w:r w:rsidRPr="006B3D66">
        <w:t>a):</w:t>
      </w:r>
    </w:p>
    <w:p w:rsidR="00272EC3" w:rsidRPr="006B3D66" w:rsidRDefault="00272EC3" w:rsidP="00272EC3">
      <w:pPr>
        <w:pStyle w:val="paragraphsub"/>
      </w:pPr>
      <w:r w:rsidRPr="006B3D66">
        <w:tab/>
        <w:t>(i)</w:t>
      </w:r>
      <w:r w:rsidRPr="006B3D66">
        <w:tab/>
        <w:t>contains appropriate safeguards for protecting the rights of individuals; and</w:t>
      </w:r>
    </w:p>
    <w:p w:rsidR="00272EC3" w:rsidRPr="006B3D66" w:rsidRDefault="00272EC3" w:rsidP="00272EC3">
      <w:pPr>
        <w:pStyle w:val="paragraphsub"/>
      </w:pPr>
      <w:r w:rsidRPr="006B3D66">
        <w:tab/>
        <w:t>(ii)</w:t>
      </w:r>
      <w:r w:rsidRPr="006B3D66">
        <w:tab/>
        <w:t>remains proportionate to any threat of terrorism or threat to national security, or both; and</w:t>
      </w:r>
    </w:p>
    <w:p w:rsidR="00272EC3" w:rsidRPr="006B3D66" w:rsidRDefault="00272EC3" w:rsidP="00272EC3">
      <w:pPr>
        <w:pStyle w:val="paragraphsub"/>
      </w:pPr>
      <w:r w:rsidRPr="006B3D66">
        <w:tab/>
        <w:t>(iii)</w:t>
      </w:r>
      <w:r w:rsidRPr="006B3D66">
        <w:tab/>
        <w:t>remains necessary;</w:t>
      </w:r>
    </w:p>
    <w:p w:rsidR="00272EC3" w:rsidRPr="006B3D66" w:rsidRDefault="00272EC3" w:rsidP="00272EC3">
      <w:pPr>
        <w:pStyle w:val="paragraph"/>
      </w:pPr>
      <w:r w:rsidRPr="006B3D66">
        <w:lastRenderedPageBreak/>
        <w:tab/>
        <w:t>(c)</w:t>
      </w:r>
      <w:r w:rsidRPr="006B3D66">
        <w:tab/>
        <w:t>if a matter relating to counter</w:t>
      </w:r>
      <w:r w:rsidR="006B3D66">
        <w:noBreakHyphen/>
      </w:r>
      <w:r w:rsidRPr="006B3D66">
        <w:t xml:space="preserve">terrorism or national security is referred to the Monitor by </w:t>
      </w:r>
      <w:r w:rsidR="0043673D" w:rsidRPr="006B3D66">
        <w:t>a Minister under section</w:t>
      </w:r>
      <w:r w:rsidR="006B3D66">
        <w:t> </w:t>
      </w:r>
      <w:r w:rsidR="0043673D" w:rsidRPr="006B3D66">
        <w:t>7</w:t>
      </w:r>
      <w:r w:rsidRPr="006B3D66">
        <w:t>—to report on the reference;</w:t>
      </w:r>
    </w:p>
    <w:p w:rsidR="00272EC3" w:rsidRPr="006B3D66" w:rsidRDefault="00272EC3" w:rsidP="00272EC3">
      <w:pPr>
        <w:pStyle w:val="paragraph"/>
      </w:pPr>
      <w:r w:rsidRPr="006B3D66">
        <w:tab/>
        <w:t>(d)</w:t>
      </w:r>
      <w:r w:rsidRPr="006B3D66">
        <w:tab/>
        <w:t>to assess whether Australia’s counter</w:t>
      </w:r>
      <w:r w:rsidR="006B3D66">
        <w:noBreakHyphen/>
      </w:r>
      <w:r w:rsidRPr="006B3D66">
        <w:t>terrorism or national security legislation is being used for matters unrelated to terrorism and national security.</w:t>
      </w:r>
    </w:p>
    <w:p w:rsidR="00272EC3" w:rsidRPr="006B3D66" w:rsidRDefault="00272EC3" w:rsidP="00272EC3">
      <w:pPr>
        <w:pStyle w:val="subsection"/>
      </w:pPr>
      <w:r w:rsidRPr="006B3D66">
        <w:tab/>
        <w:t>(1A)</w:t>
      </w:r>
      <w:r w:rsidRPr="006B3D66">
        <w:tab/>
        <w:t xml:space="preserve">If a matter is referred to the Independent National Security Legislation Monitor by the Committee on Intelligence and Security, the Monitor may perform the function set out in </w:t>
      </w:r>
      <w:r w:rsidR="006B3D66">
        <w:t>paragraph (</w:t>
      </w:r>
      <w:r w:rsidRPr="006B3D66">
        <w:t>1)(a) or (b) in relation to the matter.</w:t>
      </w:r>
    </w:p>
    <w:p w:rsidR="004338BB" w:rsidRPr="006B3D66" w:rsidRDefault="004338BB" w:rsidP="004338BB">
      <w:pPr>
        <w:pStyle w:val="subsection"/>
      </w:pPr>
      <w:r w:rsidRPr="006B3D66">
        <w:tab/>
        <w:t>(1B)</w:t>
      </w:r>
      <w:r w:rsidRPr="006B3D66">
        <w:tab/>
        <w:t xml:space="preserve">The Independent National Security Legislation Monitor must, as soon as practicable after the third anniversary of the day the </w:t>
      </w:r>
      <w:r w:rsidRPr="006B3D66">
        <w:rPr>
          <w:i/>
        </w:rPr>
        <w:t xml:space="preserve">National Security Legislation Amendment (Espionage and Foreign Interference) Act 2018 </w:t>
      </w:r>
      <w:r w:rsidRPr="006B3D66">
        <w:t xml:space="preserve">receives the Royal Assent, begin a review under </w:t>
      </w:r>
      <w:r w:rsidR="006B3D66">
        <w:t>paragraph (</w:t>
      </w:r>
      <w:r w:rsidRPr="006B3D66">
        <w:t>1)(a) of the following provisions of Chapter</w:t>
      </w:r>
      <w:r w:rsidR="006B3D66">
        <w:t> </w:t>
      </w:r>
      <w:r w:rsidRPr="006B3D66">
        <w:t xml:space="preserve">5 of the </w:t>
      </w:r>
      <w:r w:rsidRPr="006B3D66">
        <w:rPr>
          <w:i/>
        </w:rPr>
        <w:t>Criminal Code</w:t>
      </w:r>
      <w:r w:rsidRPr="006B3D66">
        <w:t>:</w:t>
      </w:r>
    </w:p>
    <w:p w:rsidR="004338BB" w:rsidRPr="006B3D66" w:rsidRDefault="004338BB" w:rsidP="004338BB">
      <w:pPr>
        <w:pStyle w:val="paragraph"/>
      </w:pPr>
      <w:r w:rsidRPr="006B3D66">
        <w:tab/>
        <w:t>(a)</w:t>
      </w:r>
      <w:r w:rsidRPr="006B3D66">
        <w:tab/>
        <w:t>Division</w:t>
      </w:r>
      <w:r w:rsidR="006B3D66">
        <w:t> </w:t>
      </w:r>
      <w:r w:rsidRPr="006B3D66">
        <w:t>82 (sabotage);</w:t>
      </w:r>
    </w:p>
    <w:p w:rsidR="004338BB" w:rsidRPr="006B3D66" w:rsidRDefault="004338BB" w:rsidP="004338BB">
      <w:pPr>
        <w:pStyle w:val="paragraph"/>
      </w:pPr>
      <w:r w:rsidRPr="006B3D66">
        <w:tab/>
        <w:t>(b)</w:t>
      </w:r>
      <w:r w:rsidRPr="006B3D66">
        <w:tab/>
        <w:t>Part</w:t>
      </w:r>
      <w:r w:rsidR="006B3D66">
        <w:t> </w:t>
      </w:r>
      <w:r w:rsidRPr="006B3D66">
        <w:t>5.2 (espionage and related offences);</w:t>
      </w:r>
    </w:p>
    <w:p w:rsidR="004338BB" w:rsidRPr="006B3D66" w:rsidRDefault="004338BB" w:rsidP="004338BB">
      <w:pPr>
        <w:pStyle w:val="paragraph"/>
      </w:pPr>
      <w:r w:rsidRPr="006B3D66">
        <w:tab/>
        <w:t>(c)</w:t>
      </w:r>
      <w:r w:rsidRPr="006B3D66">
        <w:tab/>
        <w:t>Part</w:t>
      </w:r>
      <w:r w:rsidR="006B3D66">
        <w:t> </w:t>
      </w:r>
      <w:r w:rsidRPr="006B3D66">
        <w:t>5.6 (secrecy of information).</w:t>
      </w:r>
    </w:p>
    <w:p w:rsidR="002A35C4" w:rsidRPr="006B3D66" w:rsidRDefault="002A35C4" w:rsidP="002A35C4">
      <w:pPr>
        <w:pStyle w:val="subsection"/>
      </w:pPr>
      <w:r w:rsidRPr="006B3D66">
        <w:tab/>
        <w:t>(1C)</w:t>
      </w:r>
      <w:r w:rsidRPr="006B3D66">
        <w:tab/>
        <w:t xml:space="preserve">The Independent National Security Legislation Monitor must complete the review under </w:t>
      </w:r>
      <w:r w:rsidR="006B3D66">
        <w:t>subparagraph (</w:t>
      </w:r>
      <w:r w:rsidRPr="006B3D66">
        <w:t xml:space="preserve">1)(a)(ia) before the end of 5 years after the day the </w:t>
      </w:r>
      <w:r w:rsidRPr="006B3D66">
        <w:rPr>
          <w:i/>
        </w:rPr>
        <w:t>Criminal Code Amendment (High Risk Terrorist Offenders) Act 2016</w:t>
      </w:r>
      <w:r w:rsidRPr="006B3D66">
        <w:t xml:space="preserve"> received the Royal Assent.</w:t>
      </w:r>
    </w:p>
    <w:p w:rsidR="00272EC3" w:rsidRPr="006B3D66" w:rsidRDefault="00272EC3" w:rsidP="00272EC3">
      <w:pPr>
        <w:pStyle w:val="subsection"/>
      </w:pPr>
      <w:r w:rsidRPr="006B3D66">
        <w:tab/>
        <w:t>(2)</w:t>
      </w:r>
      <w:r w:rsidRPr="006B3D66">
        <w:tab/>
        <w:t>To avoid doubt, the following are not functions of the Independent National Security Legislation Monitor:</w:t>
      </w:r>
    </w:p>
    <w:p w:rsidR="00272EC3" w:rsidRPr="006B3D66" w:rsidRDefault="00272EC3" w:rsidP="00272EC3">
      <w:pPr>
        <w:pStyle w:val="paragraph"/>
      </w:pPr>
      <w:r w:rsidRPr="006B3D66">
        <w:tab/>
        <w:t>(a)</w:t>
      </w:r>
      <w:r w:rsidRPr="006B3D66">
        <w:tab/>
        <w:t>to review the priorities of, and use of resources by, agencies that have functions relating to, or are involved in the implementation of, Australia’s counter</w:t>
      </w:r>
      <w:r w:rsidR="006B3D66">
        <w:noBreakHyphen/>
      </w:r>
      <w:r w:rsidRPr="006B3D66">
        <w:t>terrorism and national security legislation;</w:t>
      </w:r>
    </w:p>
    <w:p w:rsidR="00272EC3" w:rsidRPr="006B3D66" w:rsidRDefault="00272EC3" w:rsidP="00272EC3">
      <w:pPr>
        <w:pStyle w:val="paragraph"/>
      </w:pPr>
      <w:r w:rsidRPr="006B3D66">
        <w:tab/>
        <w:t>(b)</w:t>
      </w:r>
      <w:r w:rsidRPr="006B3D66">
        <w:tab/>
        <w:t>to consider any individual complaints about the activities of Commonwealth agencies that have functions relating to, or are involved in the implementation of, Australia’s counter</w:t>
      </w:r>
      <w:r w:rsidR="006B3D66">
        <w:noBreakHyphen/>
      </w:r>
      <w:r w:rsidRPr="006B3D66">
        <w:t>terrorism and national security legislation.</w:t>
      </w:r>
    </w:p>
    <w:p w:rsidR="00272EC3" w:rsidRPr="006B3D66" w:rsidRDefault="00272EC3" w:rsidP="00272EC3">
      <w:pPr>
        <w:pStyle w:val="subsection"/>
      </w:pPr>
      <w:r w:rsidRPr="006B3D66">
        <w:lastRenderedPageBreak/>
        <w:tab/>
        <w:t>(3)</w:t>
      </w:r>
      <w:r w:rsidRPr="006B3D66">
        <w:tab/>
        <w:t>The Independent National Security Legislation Monitor has the power to do all things necessary or convenient to be done for or in connection with the performance of the Monitor’s functions.</w:t>
      </w:r>
    </w:p>
    <w:p w:rsidR="0043673D" w:rsidRPr="006B3D66" w:rsidRDefault="0043673D" w:rsidP="0043673D">
      <w:pPr>
        <w:pStyle w:val="ActHead5"/>
      </w:pPr>
      <w:bookmarkStart w:id="10" w:name="_Toc518896204"/>
      <w:r w:rsidRPr="006B3D66">
        <w:rPr>
          <w:rStyle w:val="CharSectno"/>
        </w:rPr>
        <w:t>7</w:t>
      </w:r>
      <w:r w:rsidRPr="006B3D66">
        <w:t xml:space="preserve">  References to the Independent National Security Legislation Monitor by the Prime Minister or the Attorney</w:t>
      </w:r>
      <w:r w:rsidR="006B3D66">
        <w:noBreakHyphen/>
      </w:r>
      <w:r w:rsidRPr="006B3D66">
        <w:t>General</w:t>
      </w:r>
      <w:bookmarkEnd w:id="10"/>
    </w:p>
    <w:p w:rsidR="0043673D" w:rsidRPr="006B3D66" w:rsidRDefault="0043673D" w:rsidP="0043673D">
      <w:pPr>
        <w:pStyle w:val="subsection"/>
      </w:pPr>
      <w:r w:rsidRPr="006B3D66">
        <w:tab/>
        <w:t>(1)</w:t>
      </w:r>
      <w:r w:rsidRPr="006B3D66">
        <w:tab/>
        <w:t>The Prime Minister or the Attorney</w:t>
      </w:r>
      <w:r w:rsidR="006B3D66">
        <w:noBreakHyphen/>
      </w:r>
      <w:r w:rsidRPr="006B3D66">
        <w:t>General may refer a matter relating to counter</w:t>
      </w:r>
      <w:r w:rsidR="006B3D66">
        <w:noBreakHyphen/>
      </w:r>
      <w:r w:rsidRPr="006B3D66">
        <w:t>terrorism or national security to the Independent National Security Legislation Monitor, either at the Monitor’s suggestion or on his or her own initiative.</w:t>
      </w:r>
    </w:p>
    <w:p w:rsidR="0043673D" w:rsidRPr="006B3D66" w:rsidRDefault="0043673D" w:rsidP="0043673D">
      <w:pPr>
        <w:pStyle w:val="subsection"/>
      </w:pPr>
      <w:r w:rsidRPr="006B3D66">
        <w:tab/>
        <w:t>(2)</w:t>
      </w:r>
      <w:r w:rsidRPr="006B3D66">
        <w:tab/>
        <w:t xml:space="preserve">A Minister who refers a matter under </w:t>
      </w:r>
      <w:r w:rsidR="006B3D66">
        <w:t>subsection (</w:t>
      </w:r>
      <w:r w:rsidRPr="006B3D66">
        <w:t>1) may alter the terms of the reference.</w:t>
      </w:r>
    </w:p>
    <w:p w:rsidR="0043673D" w:rsidRPr="006B3D66" w:rsidRDefault="0043673D" w:rsidP="0043673D">
      <w:pPr>
        <w:pStyle w:val="subsection"/>
      </w:pPr>
      <w:r w:rsidRPr="006B3D66">
        <w:tab/>
        <w:t>(3)</w:t>
      </w:r>
      <w:r w:rsidRPr="006B3D66">
        <w:tab/>
        <w:t>The Prime Minister may give the Independent National Security Legislation Monitor directions about the order in which he or she is to deal with references.</w:t>
      </w:r>
    </w:p>
    <w:p w:rsidR="00272EC3" w:rsidRPr="006B3D66" w:rsidRDefault="00272EC3" w:rsidP="00272EC3">
      <w:pPr>
        <w:pStyle w:val="ActHead5"/>
      </w:pPr>
      <w:bookmarkStart w:id="11" w:name="_Toc518896205"/>
      <w:r w:rsidRPr="006B3D66">
        <w:rPr>
          <w:rStyle w:val="CharSectno"/>
        </w:rPr>
        <w:t>7A</w:t>
      </w:r>
      <w:r w:rsidRPr="006B3D66">
        <w:t xml:space="preserve">  References to the Independent National Security Legislation Monitor by the Committee on Intelligence and Security</w:t>
      </w:r>
      <w:bookmarkEnd w:id="11"/>
    </w:p>
    <w:p w:rsidR="00272EC3" w:rsidRPr="006B3D66" w:rsidRDefault="00272EC3" w:rsidP="00272EC3">
      <w:pPr>
        <w:pStyle w:val="subsection"/>
      </w:pPr>
      <w:r w:rsidRPr="006B3D66">
        <w:tab/>
        <w:t>(1)</w:t>
      </w:r>
      <w:r w:rsidRPr="006B3D66">
        <w:tab/>
        <w:t>The Committee on Intelligence and Security may refer to the Independent National Security Legislation Monitor a matter that the Committee:</w:t>
      </w:r>
    </w:p>
    <w:p w:rsidR="00272EC3" w:rsidRPr="006B3D66" w:rsidRDefault="00272EC3" w:rsidP="00272EC3">
      <w:pPr>
        <w:pStyle w:val="paragraph"/>
      </w:pPr>
      <w:r w:rsidRPr="006B3D66">
        <w:tab/>
        <w:t>(a)</w:t>
      </w:r>
      <w:r w:rsidRPr="006B3D66">
        <w:tab/>
        <w:t>becomes aware of in the course of performing its functions under subsection</w:t>
      </w:r>
      <w:r w:rsidR="006B3D66">
        <w:t> </w:t>
      </w:r>
      <w:r w:rsidRPr="006B3D66">
        <w:t xml:space="preserve">29(1) of the </w:t>
      </w:r>
      <w:r w:rsidRPr="006B3D66">
        <w:rPr>
          <w:i/>
        </w:rPr>
        <w:t>Intelligence Services Act 2001</w:t>
      </w:r>
      <w:r w:rsidRPr="006B3D66">
        <w:t>; and</w:t>
      </w:r>
    </w:p>
    <w:p w:rsidR="00272EC3" w:rsidRPr="006B3D66" w:rsidRDefault="00272EC3" w:rsidP="00272EC3">
      <w:pPr>
        <w:pStyle w:val="paragraph"/>
      </w:pPr>
      <w:r w:rsidRPr="006B3D66">
        <w:tab/>
        <w:t>(b)</w:t>
      </w:r>
      <w:r w:rsidRPr="006B3D66">
        <w:tab/>
        <w:t>considers should be referred to the Monitor.</w:t>
      </w:r>
    </w:p>
    <w:p w:rsidR="00272EC3" w:rsidRPr="006B3D66" w:rsidRDefault="00272EC3" w:rsidP="00272EC3">
      <w:pPr>
        <w:pStyle w:val="subsection"/>
      </w:pPr>
      <w:r w:rsidRPr="006B3D66">
        <w:tab/>
        <w:t>(2)</w:t>
      </w:r>
      <w:r w:rsidRPr="006B3D66">
        <w:tab/>
        <w:t>It is a function of the Committee on Intelligence and Security to refer the matter to the Independent National Security Legislation Monitor.</w:t>
      </w:r>
    </w:p>
    <w:p w:rsidR="00272EC3" w:rsidRPr="006B3D66" w:rsidRDefault="00272EC3" w:rsidP="00272EC3">
      <w:pPr>
        <w:pStyle w:val="ActHead5"/>
      </w:pPr>
      <w:bookmarkStart w:id="12" w:name="_Toc518896206"/>
      <w:r w:rsidRPr="006B3D66">
        <w:rPr>
          <w:rStyle w:val="CharSectno"/>
        </w:rPr>
        <w:lastRenderedPageBreak/>
        <w:t>8</w:t>
      </w:r>
      <w:r w:rsidRPr="006B3D66">
        <w:t xml:space="preserve">  Regard to be had to international obligations and constitutional arrangements</w:t>
      </w:r>
      <w:bookmarkEnd w:id="12"/>
    </w:p>
    <w:p w:rsidR="00272EC3" w:rsidRPr="006B3D66" w:rsidRDefault="00272EC3" w:rsidP="00272EC3">
      <w:pPr>
        <w:pStyle w:val="subsection"/>
      </w:pPr>
      <w:r w:rsidRPr="006B3D66">
        <w:tab/>
      </w:r>
      <w:r w:rsidRPr="006B3D66">
        <w:tab/>
        <w:t>When performing the Independent National Security Legislation Monitor’s functions, the Monitor must have regard to:</w:t>
      </w:r>
    </w:p>
    <w:p w:rsidR="00272EC3" w:rsidRPr="006B3D66" w:rsidRDefault="00272EC3" w:rsidP="00272EC3">
      <w:pPr>
        <w:pStyle w:val="paragraph"/>
      </w:pPr>
      <w:r w:rsidRPr="006B3D66">
        <w:tab/>
        <w:t>(a)</w:t>
      </w:r>
      <w:r w:rsidRPr="006B3D66">
        <w:tab/>
        <w:t>Australia’s obligations under international agreements (as in force from time to time), including:</w:t>
      </w:r>
    </w:p>
    <w:p w:rsidR="00272EC3" w:rsidRPr="006B3D66" w:rsidRDefault="00272EC3" w:rsidP="00272EC3">
      <w:pPr>
        <w:pStyle w:val="paragraphsub"/>
      </w:pPr>
      <w:r w:rsidRPr="006B3D66">
        <w:tab/>
        <w:t>(i)</w:t>
      </w:r>
      <w:r w:rsidRPr="006B3D66">
        <w:tab/>
        <w:t>human rights obligations; and</w:t>
      </w:r>
    </w:p>
    <w:p w:rsidR="00272EC3" w:rsidRPr="006B3D66" w:rsidRDefault="00272EC3" w:rsidP="00272EC3">
      <w:pPr>
        <w:pStyle w:val="paragraphsub"/>
      </w:pPr>
      <w:r w:rsidRPr="006B3D66">
        <w:tab/>
        <w:t>(ii)</w:t>
      </w:r>
      <w:r w:rsidRPr="006B3D66">
        <w:tab/>
        <w:t>counter</w:t>
      </w:r>
      <w:r w:rsidR="006B3D66">
        <w:noBreakHyphen/>
      </w:r>
      <w:r w:rsidRPr="006B3D66">
        <w:t>terrorism obligations; and</w:t>
      </w:r>
    </w:p>
    <w:p w:rsidR="00272EC3" w:rsidRPr="006B3D66" w:rsidRDefault="00272EC3" w:rsidP="00272EC3">
      <w:pPr>
        <w:pStyle w:val="paragraphsub"/>
      </w:pPr>
      <w:r w:rsidRPr="006B3D66">
        <w:tab/>
        <w:t>(iii)</w:t>
      </w:r>
      <w:r w:rsidRPr="006B3D66">
        <w:tab/>
        <w:t>international security obligations; and</w:t>
      </w:r>
    </w:p>
    <w:p w:rsidR="00272EC3" w:rsidRPr="006B3D66" w:rsidRDefault="00272EC3" w:rsidP="00272EC3">
      <w:pPr>
        <w:pStyle w:val="paragraph"/>
      </w:pPr>
      <w:r w:rsidRPr="006B3D66">
        <w:tab/>
        <w:t>(b)</w:t>
      </w:r>
      <w:r w:rsidRPr="006B3D66">
        <w:tab/>
        <w:t>arrangements agreed from time to time between the Commonwealth, the States and the Territories to ensure a national approach to countering terrorism.</w:t>
      </w:r>
    </w:p>
    <w:p w:rsidR="00272EC3" w:rsidRPr="006B3D66" w:rsidRDefault="00272EC3" w:rsidP="00272EC3">
      <w:pPr>
        <w:pStyle w:val="ActHead5"/>
      </w:pPr>
      <w:bookmarkStart w:id="13" w:name="_Toc518896207"/>
      <w:r w:rsidRPr="006B3D66">
        <w:rPr>
          <w:rStyle w:val="CharSectno"/>
        </w:rPr>
        <w:t>9</w:t>
      </w:r>
      <w:r w:rsidRPr="006B3D66">
        <w:t xml:space="preserve">  Emphasis to be given to counter</w:t>
      </w:r>
      <w:r w:rsidR="006B3D66">
        <w:noBreakHyphen/>
      </w:r>
      <w:r w:rsidRPr="006B3D66">
        <w:t>terrorism and national security legislation that has been applied or considered recently</w:t>
      </w:r>
      <w:bookmarkEnd w:id="13"/>
    </w:p>
    <w:p w:rsidR="00272EC3" w:rsidRPr="006B3D66" w:rsidRDefault="00272EC3" w:rsidP="00272EC3">
      <w:pPr>
        <w:pStyle w:val="subsection"/>
      </w:pPr>
      <w:r w:rsidRPr="006B3D66">
        <w:tab/>
      </w:r>
      <w:r w:rsidRPr="006B3D66">
        <w:tab/>
        <w:t>When performing functions relating to Australia’s counter</w:t>
      </w:r>
      <w:r w:rsidR="006B3D66">
        <w:noBreakHyphen/>
      </w:r>
      <w:r w:rsidRPr="006B3D66">
        <w:t>terrorism and national security legislation in a particular financial year, the Independent National Security Legislation Monitor must give particular emphasis to provisions of that legislation that have been applied, considered or purportedly applied by employees of agencies that have functions relating to, or are involved in the implementation of, that legislation during that financial year or the immediately preceding financial year.</w:t>
      </w:r>
    </w:p>
    <w:p w:rsidR="00272EC3" w:rsidRPr="006B3D66" w:rsidRDefault="00272EC3" w:rsidP="00272EC3">
      <w:pPr>
        <w:pStyle w:val="ActHead5"/>
      </w:pPr>
      <w:bookmarkStart w:id="14" w:name="_Toc518896208"/>
      <w:r w:rsidRPr="006B3D66">
        <w:rPr>
          <w:rStyle w:val="CharSectno"/>
        </w:rPr>
        <w:t>10</w:t>
      </w:r>
      <w:r w:rsidRPr="006B3D66">
        <w:t xml:space="preserve">  Consultation with agencies etc.</w:t>
      </w:r>
      <w:bookmarkEnd w:id="14"/>
    </w:p>
    <w:p w:rsidR="00272EC3" w:rsidRPr="006B3D66" w:rsidRDefault="00272EC3" w:rsidP="00272EC3">
      <w:pPr>
        <w:pStyle w:val="subsection"/>
      </w:pPr>
      <w:r w:rsidRPr="006B3D66">
        <w:tab/>
        <w:t>(1)</w:t>
      </w:r>
      <w:r w:rsidRPr="006B3D66">
        <w:tab/>
        <w:t>When performing functions relating to Australia’s counter</w:t>
      </w:r>
      <w:r w:rsidR="006B3D66">
        <w:noBreakHyphen/>
      </w:r>
      <w:r w:rsidRPr="006B3D66">
        <w:t>terrorism and national security legislation, the Independent National Security Legislation Monitor must have regard to:</w:t>
      </w:r>
    </w:p>
    <w:p w:rsidR="00272EC3" w:rsidRPr="006B3D66" w:rsidRDefault="00272EC3" w:rsidP="00272EC3">
      <w:pPr>
        <w:pStyle w:val="paragraph"/>
      </w:pPr>
      <w:r w:rsidRPr="006B3D66">
        <w:tab/>
        <w:t>(a)</w:t>
      </w:r>
      <w:r w:rsidRPr="006B3D66">
        <w:tab/>
        <w:t>the functions of agencies that have functions relating to, or are involved in the implementation of, that legislation; and</w:t>
      </w:r>
    </w:p>
    <w:p w:rsidR="00272EC3" w:rsidRPr="006B3D66" w:rsidRDefault="00272EC3" w:rsidP="00272EC3">
      <w:pPr>
        <w:pStyle w:val="paragraph"/>
      </w:pPr>
      <w:r w:rsidRPr="006B3D66">
        <w:tab/>
        <w:t>(b)</w:t>
      </w:r>
      <w:r w:rsidRPr="006B3D66">
        <w:tab/>
        <w:t>functions relating to that legislation that are conferred on a person who holds any office or appointment under a law of the Commonwealth or of a State or Territory.</w:t>
      </w:r>
    </w:p>
    <w:p w:rsidR="00272EC3" w:rsidRPr="006B3D66" w:rsidRDefault="00272EC3" w:rsidP="00272EC3">
      <w:pPr>
        <w:pStyle w:val="subsection"/>
      </w:pPr>
      <w:r w:rsidRPr="006B3D66">
        <w:lastRenderedPageBreak/>
        <w:tab/>
        <w:t>(2)</w:t>
      </w:r>
      <w:r w:rsidRPr="006B3D66">
        <w:tab/>
        <w:t>When performing functions relating to Australia’s counter</w:t>
      </w:r>
      <w:r w:rsidR="006B3D66">
        <w:noBreakHyphen/>
      </w:r>
      <w:r w:rsidRPr="006B3D66">
        <w:t>terrorism and national security legislation, the Independent National Security Legislation Monitor may consult with:</w:t>
      </w:r>
    </w:p>
    <w:p w:rsidR="00272EC3" w:rsidRPr="006B3D66" w:rsidRDefault="00272EC3" w:rsidP="00272EC3">
      <w:pPr>
        <w:pStyle w:val="paragraph"/>
      </w:pPr>
      <w:r w:rsidRPr="006B3D66">
        <w:tab/>
        <w:t>(b)</w:t>
      </w:r>
      <w:r w:rsidRPr="006B3D66">
        <w:tab/>
        <w:t>the Ombudsman; or</w:t>
      </w:r>
    </w:p>
    <w:p w:rsidR="00272EC3" w:rsidRPr="006B3D66" w:rsidRDefault="00272EC3" w:rsidP="00272EC3">
      <w:pPr>
        <w:pStyle w:val="paragraph"/>
      </w:pPr>
      <w:r w:rsidRPr="006B3D66">
        <w:tab/>
        <w:t>(c)</w:t>
      </w:r>
      <w:r w:rsidRPr="006B3D66">
        <w:tab/>
        <w:t>the Inspector</w:t>
      </w:r>
      <w:r w:rsidR="006B3D66">
        <w:noBreakHyphen/>
      </w:r>
      <w:r w:rsidRPr="006B3D66">
        <w:t>General of Intelligence and Security; or</w:t>
      </w:r>
    </w:p>
    <w:p w:rsidR="00272EC3" w:rsidRPr="006B3D66" w:rsidRDefault="00272EC3" w:rsidP="00272EC3">
      <w:pPr>
        <w:pStyle w:val="paragraph"/>
      </w:pPr>
      <w:r w:rsidRPr="006B3D66">
        <w:tab/>
        <w:t>(ca)</w:t>
      </w:r>
      <w:r w:rsidRPr="006B3D66">
        <w:tab/>
        <w:t>the Human Rights Commissioner; or</w:t>
      </w:r>
    </w:p>
    <w:p w:rsidR="00272EC3" w:rsidRPr="006B3D66" w:rsidRDefault="00272EC3" w:rsidP="00272EC3">
      <w:pPr>
        <w:pStyle w:val="paragraph"/>
      </w:pPr>
      <w:r w:rsidRPr="006B3D66">
        <w:tab/>
        <w:t>(cb)</w:t>
      </w:r>
      <w:r w:rsidRPr="006B3D66">
        <w:tab/>
        <w:t>the Privacy Commissioner; or</w:t>
      </w:r>
    </w:p>
    <w:p w:rsidR="00272EC3" w:rsidRPr="006B3D66" w:rsidRDefault="00272EC3" w:rsidP="00272EC3">
      <w:pPr>
        <w:pStyle w:val="paragraph"/>
      </w:pPr>
      <w:r w:rsidRPr="006B3D66">
        <w:tab/>
        <w:t>(cc)</w:t>
      </w:r>
      <w:r w:rsidRPr="006B3D66">
        <w:tab/>
        <w:t>the head of an agency established by a law of the Commonwealth or of a State or Territory; or</w:t>
      </w:r>
    </w:p>
    <w:p w:rsidR="00272EC3" w:rsidRPr="006B3D66" w:rsidRDefault="00272EC3" w:rsidP="00272EC3">
      <w:pPr>
        <w:pStyle w:val="paragraph"/>
      </w:pPr>
      <w:r w:rsidRPr="006B3D66">
        <w:tab/>
        <w:t>(d)</w:t>
      </w:r>
      <w:r w:rsidRPr="006B3D66">
        <w:tab/>
        <w:t xml:space="preserve">a person mentioned in </w:t>
      </w:r>
      <w:r w:rsidR="006B3D66">
        <w:t>paragraph (</w:t>
      </w:r>
      <w:r w:rsidRPr="006B3D66">
        <w:t>1)(b);</w:t>
      </w:r>
    </w:p>
    <w:p w:rsidR="00272EC3" w:rsidRPr="006B3D66" w:rsidRDefault="00272EC3" w:rsidP="00272EC3">
      <w:pPr>
        <w:pStyle w:val="subsection2"/>
      </w:pPr>
      <w:r w:rsidRPr="006B3D66">
        <w:t>as the Monitor considers necessary.</w:t>
      </w:r>
    </w:p>
    <w:p w:rsidR="00272EC3" w:rsidRPr="006B3D66" w:rsidRDefault="00272EC3" w:rsidP="00D774CC">
      <w:pPr>
        <w:pStyle w:val="ActHead3"/>
        <w:pageBreakBefore/>
      </w:pPr>
      <w:bookmarkStart w:id="15" w:name="_Toc518896209"/>
      <w:r w:rsidRPr="006B3D66">
        <w:rPr>
          <w:rStyle w:val="CharDivNo"/>
        </w:rPr>
        <w:lastRenderedPageBreak/>
        <w:t>Division</w:t>
      </w:r>
      <w:r w:rsidR="006B3D66" w:rsidRPr="006B3D66">
        <w:rPr>
          <w:rStyle w:val="CharDivNo"/>
        </w:rPr>
        <w:t> </w:t>
      </w:r>
      <w:r w:rsidRPr="006B3D66">
        <w:rPr>
          <w:rStyle w:val="CharDivNo"/>
        </w:rPr>
        <w:t>2</w:t>
      </w:r>
      <w:r w:rsidRPr="006B3D66">
        <w:t>—</w:t>
      </w:r>
      <w:r w:rsidRPr="006B3D66">
        <w:rPr>
          <w:rStyle w:val="CharDivText"/>
        </w:rPr>
        <w:t>Appointment of Independent National Security Legislation Monitor</w:t>
      </w:r>
      <w:bookmarkEnd w:id="15"/>
    </w:p>
    <w:p w:rsidR="00272EC3" w:rsidRPr="006B3D66" w:rsidRDefault="00272EC3" w:rsidP="00272EC3">
      <w:pPr>
        <w:pStyle w:val="ActHead5"/>
      </w:pPr>
      <w:bookmarkStart w:id="16" w:name="_Toc518896210"/>
      <w:r w:rsidRPr="006B3D66">
        <w:rPr>
          <w:rStyle w:val="CharSectno"/>
        </w:rPr>
        <w:t>11</w:t>
      </w:r>
      <w:r w:rsidRPr="006B3D66">
        <w:t xml:space="preserve">  Appointment</w:t>
      </w:r>
      <w:bookmarkEnd w:id="16"/>
    </w:p>
    <w:p w:rsidR="00272EC3" w:rsidRPr="006B3D66" w:rsidRDefault="00272EC3" w:rsidP="00272EC3">
      <w:pPr>
        <w:pStyle w:val="subsection"/>
      </w:pPr>
      <w:r w:rsidRPr="006B3D66">
        <w:tab/>
        <w:t>(1)</w:t>
      </w:r>
      <w:r w:rsidRPr="006B3D66">
        <w:tab/>
        <w:t>The Independent National Security Legislation Monitor is to be appointed by the Governor</w:t>
      </w:r>
      <w:r w:rsidR="006B3D66">
        <w:noBreakHyphen/>
      </w:r>
      <w:r w:rsidRPr="006B3D66">
        <w:t>General by written instrument, on a part</w:t>
      </w:r>
      <w:r w:rsidR="006B3D66">
        <w:noBreakHyphen/>
      </w:r>
      <w:r w:rsidRPr="006B3D66">
        <w:t>time basis.</w:t>
      </w:r>
    </w:p>
    <w:p w:rsidR="0043673D" w:rsidRPr="006B3D66" w:rsidRDefault="0043673D" w:rsidP="0043673D">
      <w:pPr>
        <w:pStyle w:val="subsection"/>
      </w:pPr>
      <w:r w:rsidRPr="006B3D66">
        <w:tab/>
        <w:t>(2)</w:t>
      </w:r>
      <w:r w:rsidRPr="006B3D66">
        <w:tab/>
        <w:t>Before a recommendation is made to the Governor</w:t>
      </w:r>
      <w:r w:rsidR="006B3D66">
        <w:noBreakHyphen/>
      </w:r>
      <w:r w:rsidRPr="006B3D66">
        <w:t>General for the appointment of a person as the Independent National Security Legislation Monitor, the Prime Minister must consult with the Leader of the Opposition in the House of Representatives.</w:t>
      </w:r>
    </w:p>
    <w:p w:rsidR="00272EC3" w:rsidRPr="006B3D66" w:rsidRDefault="00272EC3" w:rsidP="00272EC3">
      <w:pPr>
        <w:pStyle w:val="subsection"/>
      </w:pPr>
      <w:r w:rsidRPr="006B3D66">
        <w:tab/>
        <w:t>(3)</w:t>
      </w:r>
      <w:r w:rsidRPr="006B3D66">
        <w:tab/>
        <w:t>A person must not be appointed as the Independent National Security Legislation Monitor unless the person is, in the Governor</w:t>
      </w:r>
      <w:r w:rsidR="006B3D66">
        <w:noBreakHyphen/>
      </w:r>
      <w:r w:rsidRPr="006B3D66">
        <w:t>General’s opinion, suitable for appointment because of the person’s qualifications, training or experience.</w:t>
      </w:r>
    </w:p>
    <w:p w:rsidR="00272EC3" w:rsidRPr="006B3D66" w:rsidRDefault="00272EC3" w:rsidP="00272EC3">
      <w:pPr>
        <w:pStyle w:val="subsection"/>
      </w:pPr>
      <w:r w:rsidRPr="006B3D66">
        <w:tab/>
        <w:t>(4)</w:t>
      </w:r>
      <w:r w:rsidRPr="006B3D66">
        <w:tab/>
        <w:t>A person’s appointment as the Independent National Security Legislation Monitor is not invalid because of a defect or irregularity in connection with the person’s appointment.</w:t>
      </w:r>
    </w:p>
    <w:p w:rsidR="00272EC3" w:rsidRPr="006B3D66" w:rsidRDefault="00272EC3" w:rsidP="00272EC3">
      <w:pPr>
        <w:pStyle w:val="ActHead5"/>
      </w:pPr>
      <w:bookmarkStart w:id="17" w:name="_Toc518896211"/>
      <w:r w:rsidRPr="006B3D66">
        <w:rPr>
          <w:rStyle w:val="CharSectno"/>
        </w:rPr>
        <w:t>12</w:t>
      </w:r>
      <w:r w:rsidRPr="006B3D66">
        <w:t xml:space="preserve">  Term of appointment</w:t>
      </w:r>
      <w:bookmarkEnd w:id="17"/>
    </w:p>
    <w:p w:rsidR="00272EC3" w:rsidRPr="006B3D66" w:rsidRDefault="00272EC3" w:rsidP="00272EC3">
      <w:pPr>
        <w:pStyle w:val="subsection"/>
      </w:pPr>
      <w:r w:rsidRPr="006B3D66">
        <w:tab/>
        <w:t>(1)</w:t>
      </w:r>
      <w:r w:rsidRPr="006B3D66">
        <w:tab/>
        <w:t>The Independent National Security Legislation Monitor holds office for the period specified in the instrument of appointment. The period must not exceed 3 years.</w:t>
      </w:r>
    </w:p>
    <w:p w:rsidR="00272EC3" w:rsidRPr="006B3D66" w:rsidRDefault="00272EC3" w:rsidP="00272EC3">
      <w:pPr>
        <w:pStyle w:val="subsection"/>
      </w:pPr>
      <w:r w:rsidRPr="006B3D66">
        <w:tab/>
        <w:t>(2)</w:t>
      </w:r>
      <w:r w:rsidRPr="006B3D66">
        <w:tab/>
        <w:t>The Independent National Security Legislation Monitor is eligible for reappointment once only.</w:t>
      </w:r>
    </w:p>
    <w:p w:rsidR="00272EC3" w:rsidRPr="006B3D66" w:rsidRDefault="00272EC3" w:rsidP="00272EC3">
      <w:pPr>
        <w:pStyle w:val="ActHead5"/>
      </w:pPr>
      <w:bookmarkStart w:id="18" w:name="_Toc518896212"/>
      <w:r w:rsidRPr="006B3D66">
        <w:rPr>
          <w:rStyle w:val="CharSectno"/>
        </w:rPr>
        <w:t>13</w:t>
      </w:r>
      <w:r w:rsidRPr="006B3D66">
        <w:t xml:space="preserve">  Remuneration and allowances</w:t>
      </w:r>
      <w:bookmarkEnd w:id="18"/>
    </w:p>
    <w:p w:rsidR="00272EC3" w:rsidRPr="006B3D66" w:rsidRDefault="00272EC3" w:rsidP="00272EC3">
      <w:pPr>
        <w:pStyle w:val="subsection"/>
      </w:pPr>
      <w:r w:rsidRPr="006B3D66">
        <w:tab/>
        <w:t>(1)</w:t>
      </w:r>
      <w:r w:rsidRPr="006B3D66">
        <w:tab/>
        <w:t xml:space="preserve">The Independent National Security Legislation Monitor is to be paid such remuneration as is determined by the Remuneration Tribunal. If no determination of that remuneration is in operation, </w:t>
      </w:r>
      <w:r w:rsidRPr="006B3D66">
        <w:lastRenderedPageBreak/>
        <w:t>the Monitor is to be paid such remuneration as is prescribed by the regulations.</w:t>
      </w:r>
    </w:p>
    <w:p w:rsidR="00272EC3" w:rsidRPr="006B3D66" w:rsidRDefault="00272EC3" w:rsidP="00272EC3">
      <w:pPr>
        <w:pStyle w:val="subsection"/>
      </w:pPr>
      <w:r w:rsidRPr="006B3D66">
        <w:tab/>
        <w:t>(2)</w:t>
      </w:r>
      <w:r w:rsidRPr="006B3D66">
        <w:tab/>
        <w:t>The Independent National Security Legislation Monitor is to be paid the allowances that are prescribed by the regulations.</w:t>
      </w:r>
    </w:p>
    <w:p w:rsidR="00272EC3" w:rsidRPr="006B3D66" w:rsidRDefault="00272EC3" w:rsidP="00272EC3">
      <w:pPr>
        <w:pStyle w:val="subsection"/>
      </w:pPr>
      <w:r w:rsidRPr="006B3D66">
        <w:tab/>
        <w:t>(3)</w:t>
      </w:r>
      <w:r w:rsidRPr="006B3D66">
        <w:tab/>
        <w:t xml:space="preserve">This section has effect subject to the </w:t>
      </w:r>
      <w:r w:rsidRPr="006B3D66">
        <w:rPr>
          <w:i/>
        </w:rPr>
        <w:t>Remuneration Tribunal Act 1973</w:t>
      </w:r>
      <w:r w:rsidRPr="006B3D66">
        <w:t>.</w:t>
      </w:r>
    </w:p>
    <w:p w:rsidR="00272EC3" w:rsidRPr="006B3D66" w:rsidRDefault="00272EC3" w:rsidP="00272EC3">
      <w:pPr>
        <w:pStyle w:val="ActHead5"/>
      </w:pPr>
      <w:bookmarkStart w:id="19" w:name="_Toc518896213"/>
      <w:r w:rsidRPr="006B3D66">
        <w:rPr>
          <w:rStyle w:val="CharSectno"/>
        </w:rPr>
        <w:t>14</w:t>
      </w:r>
      <w:r w:rsidRPr="006B3D66">
        <w:t xml:space="preserve">  Leave of absence</w:t>
      </w:r>
      <w:bookmarkEnd w:id="19"/>
    </w:p>
    <w:p w:rsidR="00272EC3" w:rsidRPr="006B3D66" w:rsidRDefault="00272EC3" w:rsidP="00272EC3">
      <w:pPr>
        <w:pStyle w:val="subsection"/>
      </w:pPr>
      <w:r w:rsidRPr="006B3D66">
        <w:tab/>
      </w:r>
      <w:r w:rsidRPr="006B3D66">
        <w:tab/>
        <w:t xml:space="preserve">The </w:t>
      </w:r>
      <w:r w:rsidR="0043673D" w:rsidRPr="006B3D66">
        <w:t>Attorney</w:t>
      </w:r>
      <w:r w:rsidR="006B3D66">
        <w:noBreakHyphen/>
      </w:r>
      <w:r w:rsidR="0043673D" w:rsidRPr="006B3D66">
        <w:t>General</w:t>
      </w:r>
      <w:r w:rsidRPr="006B3D66">
        <w:t xml:space="preserve"> may grant leave of absence to the Independent National Security Legislation Monitor on the terms and conditions that the Governor</w:t>
      </w:r>
      <w:r w:rsidR="006B3D66">
        <w:noBreakHyphen/>
      </w:r>
      <w:r w:rsidRPr="006B3D66">
        <w:t>General determines in writing.</w:t>
      </w:r>
    </w:p>
    <w:p w:rsidR="00272EC3" w:rsidRPr="006B3D66" w:rsidRDefault="00272EC3" w:rsidP="00272EC3">
      <w:pPr>
        <w:pStyle w:val="ActHead5"/>
      </w:pPr>
      <w:bookmarkStart w:id="20" w:name="_Toc518896214"/>
      <w:r w:rsidRPr="006B3D66">
        <w:rPr>
          <w:rStyle w:val="CharSectno"/>
        </w:rPr>
        <w:t>15</w:t>
      </w:r>
      <w:r w:rsidRPr="006B3D66">
        <w:t xml:space="preserve">  Outside employment</w:t>
      </w:r>
      <w:bookmarkEnd w:id="20"/>
    </w:p>
    <w:p w:rsidR="00272EC3" w:rsidRPr="006B3D66" w:rsidRDefault="00272EC3" w:rsidP="00272EC3">
      <w:pPr>
        <w:pStyle w:val="subsection"/>
      </w:pPr>
      <w:r w:rsidRPr="006B3D66">
        <w:tab/>
      </w:r>
      <w:r w:rsidRPr="006B3D66">
        <w:tab/>
        <w:t xml:space="preserve">The Independent National Security Legislation Monitor must not engage in any paid employment that conflicts or may conflict with the proper performance of his or her duties without the </w:t>
      </w:r>
      <w:r w:rsidR="0043673D" w:rsidRPr="006B3D66">
        <w:t>Attorney</w:t>
      </w:r>
      <w:r w:rsidR="006B3D66">
        <w:noBreakHyphen/>
      </w:r>
      <w:r w:rsidR="0043673D" w:rsidRPr="006B3D66">
        <w:t>General’s</w:t>
      </w:r>
      <w:r w:rsidRPr="006B3D66">
        <w:t xml:space="preserve"> written consent.</w:t>
      </w:r>
    </w:p>
    <w:p w:rsidR="0043673D" w:rsidRPr="006B3D66" w:rsidRDefault="0043673D" w:rsidP="0043673D">
      <w:pPr>
        <w:pStyle w:val="ActHead5"/>
      </w:pPr>
      <w:bookmarkStart w:id="21" w:name="_Toc518896215"/>
      <w:r w:rsidRPr="006B3D66">
        <w:rPr>
          <w:rStyle w:val="CharSectno"/>
        </w:rPr>
        <w:t>16</w:t>
      </w:r>
      <w:r w:rsidRPr="006B3D66">
        <w:t xml:space="preserve">  Disclosure of interests to the Attorney</w:t>
      </w:r>
      <w:r w:rsidR="006B3D66">
        <w:noBreakHyphen/>
      </w:r>
      <w:r w:rsidRPr="006B3D66">
        <w:t>General</w:t>
      </w:r>
      <w:bookmarkEnd w:id="21"/>
    </w:p>
    <w:p w:rsidR="00272EC3" w:rsidRPr="006B3D66" w:rsidRDefault="00272EC3" w:rsidP="00272EC3">
      <w:pPr>
        <w:pStyle w:val="subsection"/>
      </w:pPr>
      <w:r w:rsidRPr="006B3D66">
        <w:tab/>
      </w:r>
      <w:r w:rsidRPr="006B3D66">
        <w:tab/>
        <w:t xml:space="preserve">The Independent National Security Legislation Monitor must give written notice to the </w:t>
      </w:r>
      <w:r w:rsidR="0043673D" w:rsidRPr="006B3D66">
        <w:t>Attorney</w:t>
      </w:r>
      <w:r w:rsidR="006B3D66">
        <w:noBreakHyphen/>
      </w:r>
      <w:r w:rsidR="0043673D" w:rsidRPr="006B3D66">
        <w:t>General</w:t>
      </w:r>
      <w:r w:rsidRPr="006B3D66">
        <w:t xml:space="preserve"> of all interests, pecuniary or otherwise, that the Monitor has or acquires and that conflict or could conflict with the proper performance of his or her functions.</w:t>
      </w:r>
    </w:p>
    <w:p w:rsidR="00272EC3" w:rsidRPr="006B3D66" w:rsidRDefault="00272EC3" w:rsidP="00272EC3">
      <w:pPr>
        <w:pStyle w:val="ActHead5"/>
      </w:pPr>
      <w:bookmarkStart w:id="22" w:name="_Toc518896216"/>
      <w:r w:rsidRPr="006B3D66">
        <w:rPr>
          <w:rStyle w:val="CharSectno"/>
        </w:rPr>
        <w:t>17</w:t>
      </w:r>
      <w:r w:rsidRPr="006B3D66">
        <w:t xml:space="preserve">  Other terms and conditions</w:t>
      </w:r>
      <w:bookmarkEnd w:id="22"/>
    </w:p>
    <w:p w:rsidR="00272EC3" w:rsidRPr="006B3D66" w:rsidRDefault="00272EC3" w:rsidP="00272EC3">
      <w:pPr>
        <w:pStyle w:val="subsection"/>
      </w:pPr>
      <w:r w:rsidRPr="006B3D66">
        <w:tab/>
      </w:r>
      <w:r w:rsidRPr="006B3D66">
        <w:tab/>
        <w:t>The Independent National Security Legislation Monitor holds office on such terms and conditions (if any) in relation to matters not provided for by this Act as are determined, in writing, by the Governor</w:t>
      </w:r>
      <w:r w:rsidR="006B3D66">
        <w:noBreakHyphen/>
      </w:r>
      <w:r w:rsidRPr="006B3D66">
        <w:t>General.</w:t>
      </w:r>
    </w:p>
    <w:p w:rsidR="00272EC3" w:rsidRPr="006B3D66" w:rsidRDefault="00272EC3" w:rsidP="00272EC3">
      <w:pPr>
        <w:pStyle w:val="ActHead5"/>
      </w:pPr>
      <w:bookmarkStart w:id="23" w:name="_Toc518896217"/>
      <w:r w:rsidRPr="006B3D66">
        <w:rPr>
          <w:rStyle w:val="CharSectno"/>
        </w:rPr>
        <w:lastRenderedPageBreak/>
        <w:t>18</w:t>
      </w:r>
      <w:r w:rsidRPr="006B3D66">
        <w:t xml:space="preserve">  Resignation</w:t>
      </w:r>
      <w:bookmarkEnd w:id="23"/>
    </w:p>
    <w:p w:rsidR="00272EC3" w:rsidRPr="006B3D66" w:rsidRDefault="00272EC3" w:rsidP="00272EC3">
      <w:pPr>
        <w:pStyle w:val="subsection"/>
      </w:pPr>
      <w:r w:rsidRPr="006B3D66">
        <w:tab/>
        <w:t>(1)</w:t>
      </w:r>
      <w:r w:rsidRPr="006B3D66">
        <w:tab/>
        <w:t>The Independent National Security Legislation Monitor may resign by giving to the Governor</w:t>
      </w:r>
      <w:r w:rsidR="006B3D66">
        <w:noBreakHyphen/>
      </w:r>
      <w:r w:rsidRPr="006B3D66">
        <w:t>General a signed notice of resignation.</w:t>
      </w:r>
    </w:p>
    <w:p w:rsidR="00272EC3" w:rsidRPr="006B3D66" w:rsidRDefault="00272EC3" w:rsidP="00272EC3">
      <w:pPr>
        <w:pStyle w:val="subsection"/>
      </w:pPr>
      <w:r w:rsidRPr="006B3D66">
        <w:tab/>
        <w:t>(2)</w:t>
      </w:r>
      <w:r w:rsidRPr="006B3D66">
        <w:tab/>
        <w:t>The resignation takes effect on the day on which it is received by the Governor</w:t>
      </w:r>
      <w:r w:rsidR="006B3D66">
        <w:noBreakHyphen/>
      </w:r>
      <w:r w:rsidRPr="006B3D66">
        <w:t>General or, if a later day is specified in the resignation, on that later day.</w:t>
      </w:r>
    </w:p>
    <w:p w:rsidR="00272EC3" w:rsidRPr="006B3D66" w:rsidRDefault="00272EC3" w:rsidP="00272EC3">
      <w:pPr>
        <w:pStyle w:val="ActHead5"/>
      </w:pPr>
      <w:bookmarkStart w:id="24" w:name="_Toc518896218"/>
      <w:r w:rsidRPr="006B3D66">
        <w:rPr>
          <w:rStyle w:val="CharSectno"/>
        </w:rPr>
        <w:t>19</w:t>
      </w:r>
      <w:r w:rsidRPr="006B3D66">
        <w:t xml:space="preserve">  Termination of appointment</w:t>
      </w:r>
      <w:bookmarkEnd w:id="24"/>
    </w:p>
    <w:p w:rsidR="00272EC3" w:rsidRPr="006B3D66" w:rsidRDefault="00272EC3" w:rsidP="00272EC3">
      <w:pPr>
        <w:pStyle w:val="subsection"/>
      </w:pPr>
      <w:r w:rsidRPr="006B3D66">
        <w:tab/>
        <w:t>(1)</w:t>
      </w:r>
      <w:r w:rsidRPr="006B3D66">
        <w:tab/>
        <w:t>The Governor</w:t>
      </w:r>
      <w:r w:rsidR="006B3D66">
        <w:noBreakHyphen/>
      </w:r>
      <w:r w:rsidRPr="006B3D66">
        <w:t>General may terminate the appointment of the Independent National Security Legislation Monitor for misbehaviour or physical or mental incapacity.</w:t>
      </w:r>
    </w:p>
    <w:p w:rsidR="00272EC3" w:rsidRPr="006B3D66" w:rsidRDefault="00272EC3" w:rsidP="00272EC3">
      <w:pPr>
        <w:pStyle w:val="subsection"/>
      </w:pPr>
      <w:r w:rsidRPr="006B3D66">
        <w:tab/>
        <w:t>(2)</w:t>
      </w:r>
      <w:r w:rsidRPr="006B3D66">
        <w:tab/>
        <w:t>The Governor</w:t>
      </w:r>
      <w:r w:rsidR="006B3D66">
        <w:noBreakHyphen/>
      </w:r>
      <w:r w:rsidRPr="006B3D66">
        <w:t>General must terminate the appointment of the Independent National Security Legislation Monitor:</w:t>
      </w:r>
    </w:p>
    <w:p w:rsidR="00272EC3" w:rsidRPr="006B3D66" w:rsidRDefault="00272EC3" w:rsidP="00272EC3">
      <w:pPr>
        <w:pStyle w:val="paragraph"/>
      </w:pPr>
      <w:r w:rsidRPr="006B3D66">
        <w:tab/>
        <w:t>(a)</w:t>
      </w:r>
      <w:r w:rsidRPr="006B3D66">
        <w:tab/>
        <w:t>if the Monitor:</w:t>
      </w:r>
    </w:p>
    <w:p w:rsidR="00272EC3" w:rsidRPr="006B3D66" w:rsidRDefault="00272EC3" w:rsidP="00272EC3">
      <w:pPr>
        <w:pStyle w:val="paragraphsub"/>
      </w:pPr>
      <w:r w:rsidRPr="006B3D66">
        <w:tab/>
        <w:t>(i)</w:t>
      </w:r>
      <w:r w:rsidRPr="006B3D66">
        <w:tab/>
        <w:t>becomes bankrupt; or</w:t>
      </w:r>
    </w:p>
    <w:p w:rsidR="00272EC3" w:rsidRPr="006B3D66" w:rsidRDefault="00272EC3" w:rsidP="00272EC3">
      <w:pPr>
        <w:pStyle w:val="paragraphsub"/>
      </w:pPr>
      <w:r w:rsidRPr="006B3D66">
        <w:tab/>
        <w:t>(ii)</w:t>
      </w:r>
      <w:r w:rsidRPr="006B3D66">
        <w:tab/>
        <w:t>applies to take the benefit of any law for the relief of bankrupt or insolvent debtors; or</w:t>
      </w:r>
    </w:p>
    <w:p w:rsidR="00272EC3" w:rsidRPr="006B3D66" w:rsidRDefault="00272EC3" w:rsidP="00272EC3">
      <w:pPr>
        <w:pStyle w:val="paragraphsub"/>
      </w:pPr>
      <w:r w:rsidRPr="006B3D66">
        <w:tab/>
        <w:t>(iii)</w:t>
      </w:r>
      <w:r w:rsidRPr="006B3D66">
        <w:tab/>
        <w:t>compounds with his or her creditors; or</w:t>
      </w:r>
    </w:p>
    <w:p w:rsidR="00272EC3" w:rsidRPr="006B3D66" w:rsidRDefault="00272EC3" w:rsidP="00272EC3">
      <w:pPr>
        <w:pStyle w:val="paragraphsub"/>
      </w:pPr>
      <w:r w:rsidRPr="006B3D66">
        <w:tab/>
        <w:t>(iv)</w:t>
      </w:r>
      <w:r w:rsidRPr="006B3D66">
        <w:tab/>
        <w:t>makes an assignment of his or her remuneration for the benefit of his or her creditors; or</w:t>
      </w:r>
    </w:p>
    <w:p w:rsidR="00272EC3" w:rsidRPr="006B3D66" w:rsidRDefault="00272EC3" w:rsidP="00272EC3">
      <w:pPr>
        <w:pStyle w:val="paragraph"/>
      </w:pPr>
      <w:r w:rsidRPr="006B3D66">
        <w:tab/>
        <w:t>(b)</w:t>
      </w:r>
      <w:r w:rsidRPr="006B3D66">
        <w:tab/>
        <w:t>if the Monitor fails, without reasonable excuse, to comply with section</w:t>
      </w:r>
      <w:r w:rsidR="006B3D66">
        <w:t> </w:t>
      </w:r>
      <w:r w:rsidRPr="006B3D66">
        <w:t>16; or</w:t>
      </w:r>
    </w:p>
    <w:p w:rsidR="00272EC3" w:rsidRPr="006B3D66" w:rsidRDefault="00272EC3" w:rsidP="00272EC3">
      <w:pPr>
        <w:pStyle w:val="paragraph"/>
      </w:pPr>
      <w:r w:rsidRPr="006B3D66">
        <w:tab/>
        <w:t>(c)</w:t>
      </w:r>
      <w:r w:rsidRPr="006B3D66">
        <w:tab/>
        <w:t xml:space="preserve">if the Monitor engages, except with the </w:t>
      </w:r>
      <w:r w:rsidR="0043673D" w:rsidRPr="006B3D66">
        <w:t>Attorney</w:t>
      </w:r>
      <w:r w:rsidR="006B3D66">
        <w:noBreakHyphen/>
      </w:r>
      <w:r w:rsidR="0043673D" w:rsidRPr="006B3D66">
        <w:t>General’s</w:t>
      </w:r>
      <w:r w:rsidRPr="006B3D66">
        <w:t xml:space="preserve"> written consent, in paid employment that conflicts or may conflict with the proper performance of the Monitor’s duties; or</w:t>
      </w:r>
    </w:p>
    <w:p w:rsidR="00272EC3" w:rsidRPr="006B3D66" w:rsidRDefault="00272EC3" w:rsidP="00272EC3">
      <w:pPr>
        <w:pStyle w:val="paragraph"/>
      </w:pPr>
      <w:r w:rsidRPr="006B3D66">
        <w:tab/>
        <w:t>(d)</w:t>
      </w:r>
      <w:r w:rsidRPr="006B3D66">
        <w:tab/>
        <w:t>if the Monitor is absent, except on leave of absence granted under section</w:t>
      </w:r>
      <w:r w:rsidR="006B3D66">
        <w:t> </w:t>
      </w:r>
      <w:r w:rsidRPr="006B3D66">
        <w:t>14, for 7 consecutive days or for 14 days in any 12 months.</w:t>
      </w:r>
    </w:p>
    <w:p w:rsidR="00272EC3" w:rsidRPr="006B3D66" w:rsidRDefault="00272EC3" w:rsidP="00272EC3">
      <w:pPr>
        <w:pStyle w:val="ActHead5"/>
      </w:pPr>
      <w:bookmarkStart w:id="25" w:name="_Toc518896219"/>
      <w:r w:rsidRPr="006B3D66">
        <w:rPr>
          <w:rStyle w:val="CharSectno"/>
        </w:rPr>
        <w:t>20</w:t>
      </w:r>
      <w:r w:rsidRPr="006B3D66">
        <w:t xml:space="preserve">  Acting Independent National Security Legislation Monitor</w:t>
      </w:r>
      <w:bookmarkEnd w:id="25"/>
    </w:p>
    <w:p w:rsidR="00272EC3" w:rsidRPr="006B3D66" w:rsidRDefault="00272EC3" w:rsidP="00272EC3">
      <w:pPr>
        <w:pStyle w:val="subsection"/>
      </w:pPr>
      <w:r w:rsidRPr="006B3D66">
        <w:tab/>
      </w:r>
      <w:r w:rsidRPr="006B3D66">
        <w:tab/>
        <w:t xml:space="preserve">The </w:t>
      </w:r>
      <w:r w:rsidR="0043673D" w:rsidRPr="006B3D66">
        <w:t>Attorney</w:t>
      </w:r>
      <w:r w:rsidR="006B3D66">
        <w:noBreakHyphen/>
      </w:r>
      <w:r w:rsidR="0043673D" w:rsidRPr="006B3D66">
        <w:t>General</w:t>
      </w:r>
      <w:r w:rsidRPr="006B3D66">
        <w:t xml:space="preserve"> may appoint a person to act as the Independent National Security Legislation Monitor:</w:t>
      </w:r>
    </w:p>
    <w:p w:rsidR="00272EC3" w:rsidRPr="006B3D66" w:rsidRDefault="00272EC3" w:rsidP="00272EC3">
      <w:pPr>
        <w:pStyle w:val="paragraph"/>
      </w:pPr>
      <w:r w:rsidRPr="006B3D66">
        <w:lastRenderedPageBreak/>
        <w:tab/>
        <w:t>(a)</w:t>
      </w:r>
      <w:r w:rsidRPr="006B3D66">
        <w:tab/>
        <w:t>during a vacancy in the office of the Monitor (whether or not an appointment has previously been made to the office); or</w:t>
      </w:r>
    </w:p>
    <w:p w:rsidR="00272EC3" w:rsidRPr="006B3D66" w:rsidRDefault="00272EC3" w:rsidP="00272EC3">
      <w:pPr>
        <w:pStyle w:val="paragraph"/>
      </w:pPr>
      <w:r w:rsidRPr="006B3D66">
        <w:tab/>
        <w:t>(b)</w:t>
      </w:r>
      <w:r w:rsidRPr="006B3D66">
        <w:tab/>
        <w:t>during a period, or during all periods, when the Monitor:</w:t>
      </w:r>
    </w:p>
    <w:p w:rsidR="00272EC3" w:rsidRPr="006B3D66" w:rsidRDefault="00272EC3" w:rsidP="00272EC3">
      <w:pPr>
        <w:pStyle w:val="paragraphsub"/>
      </w:pPr>
      <w:r w:rsidRPr="006B3D66">
        <w:tab/>
        <w:t>(i)</w:t>
      </w:r>
      <w:r w:rsidRPr="006B3D66">
        <w:tab/>
        <w:t>is absent from duty or from Australia; or</w:t>
      </w:r>
    </w:p>
    <w:p w:rsidR="00272EC3" w:rsidRPr="006B3D66" w:rsidRDefault="00272EC3" w:rsidP="00272EC3">
      <w:pPr>
        <w:pStyle w:val="paragraphsub"/>
      </w:pPr>
      <w:r w:rsidRPr="006B3D66">
        <w:tab/>
        <w:t>(ii)</w:t>
      </w:r>
      <w:r w:rsidRPr="006B3D66">
        <w:tab/>
        <w:t>is, for any reason, unable to perform the duties of the office;</w:t>
      </w:r>
    </w:p>
    <w:p w:rsidR="00272EC3" w:rsidRPr="006B3D66" w:rsidRDefault="00272EC3" w:rsidP="00272EC3">
      <w:pPr>
        <w:pStyle w:val="paragraph"/>
      </w:pPr>
      <w:r w:rsidRPr="006B3D66">
        <w:tab/>
      </w:r>
      <w:r w:rsidRPr="006B3D66">
        <w:tab/>
        <w:t>so long as the period, or the total of all periods, is not more than 12 months.</w:t>
      </w:r>
    </w:p>
    <w:p w:rsidR="00B56D2A" w:rsidRPr="006B3D66" w:rsidRDefault="00B56D2A" w:rsidP="00B56D2A">
      <w:pPr>
        <w:pStyle w:val="notetext"/>
      </w:pPr>
      <w:r w:rsidRPr="006B3D66">
        <w:t>Note:</w:t>
      </w:r>
      <w:r w:rsidRPr="006B3D66">
        <w:tab/>
        <w:t>For rules that apply to acting appointments, see section</w:t>
      </w:r>
      <w:r w:rsidR="006B3D66">
        <w:t> </w:t>
      </w:r>
      <w:r w:rsidRPr="006B3D66">
        <w:t xml:space="preserve">33A of the </w:t>
      </w:r>
      <w:r w:rsidRPr="006B3D66">
        <w:rPr>
          <w:i/>
        </w:rPr>
        <w:t>Acts Interpretation Act 1901</w:t>
      </w:r>
      <w:r w:rsidRPr="006B3D66">
        <w:t>.</w:t>
      </w:r>
    </w:p>
    <w:p w:rsidR="00272EC3" w:rsidRPr="006B3D66" w:rsidRDefault="00272EC3" w:rsidP="00D774CC">
      <w:pPr>
        <w:pStyle w:val="ActHead2"/>
        <w:pageBreakBefore/>
      </w:pPr>
      <w:bookmarkStart w:id="26" w:name="_Toc518896220"/>
      <w:r w:rsidRPr="006B3D66">
        <w:rPr>
          <w:rStyle w:val="CharPartNo"/>
        </w:rPr>
        <w:lastRenderedPageBreak/>
        <w:t>Part</w:t>
      </w:r>
      <w:r w:rsidR="006B3D66" w:rsidRPr="006B3D66">
        <w:rPr>
          <w:rStyle w:val="CharPartNo"/>
        </w:rPr>
        <w:t> </w:t>
      </w:r>
      <w:r w:rsidRPr="006B3D66">
        <w:rPr>
          <w:rStyle w:val="CharPartNo"/>
        </w:rPr>
        <w:t>3</w:t>
      </w:r>
      <w:r w:rsidRPr="006B3D66">
        <w:t>—</w:t>
      </w:r>
      <w:r w:rsidRPr="006B3D66">
        <w:rPr>
          <w:rStyle w:val="CharPartText"/>
        </w:rPr>
        <w:t>Information gathering powers</w:t>
      </w:r>
      <w:bookmarkEnd w:id="26"/>
    </w:p>
    <w:p w:rsidR="00272EC3" w:rsidRPr="006B3D66" w:rsidRDefault="000279EB" w:rsidP="00272EC3">
      <w:pPr>
        <w:pStyle w:val="Header"/>
      </w:pPr>
      <w:r w:rsidRPr="006B3D66">
        <w:rPr>
          <w:rStyle w:val="CharDivNo"/>
        </w:rPr>
        <w:t xml:space="preserve"> </w:t>
      </w:r>
      <w:r w:rsidRPr="006B3D66">
        <w:rPr>
          <w:rStyle w:val="CharDivText"/>
        </w:rPr>
        <w:t xml:space="preserve"> </w:t>
      </w:r>
    </w:p>
    <w:p w:rsidR="00272EC3" w:rsidRPr="006B3D66" w:rsidRDefault="00272EC3" w:rsidP="00272EC3">
      <w:pPr>
        <w:pStyle w:val="ActHead5"/>
      </w:pPr>
      <w:bookmarkStart w:id="27" w:name="_Toc518896221"/>
      <w:r w:rsidRPr="006B3D66">
        <w:rPr>
          <w:rStyle w:val="CharSectno"/>
        </w:rPr>
        <w:t>21</w:t>
      </w:r>
      <w:r w:rsidRPr="006B3D66">
        <w:t xml:space="preserve">  Independent National Security Legislation Monitor may hold hearings</w:t>
      </w:r>
      <w:bookmarkEnd w:id="27"/>
    </w:p>
    <w:p w:rsidR="00272EC3" w:rsidRPr="006B3D66" w:rsidRDefault="00272EC3" w:rsidP="00272EC3">
      <w:pPr>
        <w:pStyle w:val="subsection"/>
      </w:pPr>
      <w:r w:rsidRPr="006B3D66">
        <w:tab/>
        <w:t>(1)</w:t>
      </w:r>
      <w:r w:rsidRPr="006B3D66">
        <w:tab/>
        <w:t>The Independent National Security Legislation Monitor may hold a hearing for the purposes of performing his or her functions under this Act.</w:t>
      </w:r>
    </w:p>
    <w:p w:rsidR="00272EC3" w:rsidRPr="006B3D66" w:rsidRDefault="00272EC3" w:rsidP="00272EC3">
      <w:pPr>
        <w:pStyle w:val="subsection"/>
      </w:pPr>
      <w:r w:rsidRPr="006B3D66">
        <w:tab/>
        <w:t>(2)</w:t>
      </w:r>
      <w:r w:rsidRPr="006B3D66">
        <w:tab/>
        <w:t>A hearing, or a part of a hearing:</w:t>
      </w:r>
    </w:p>
    <w:p w:rsidR="00272EC3" w:rsidRPr="006B3D66" w:rsidRDefault="00272EC3" w:rsidP="00272EC3">
      <w:pPr>
        <w:pStyle w:val="paragraph"/>
      </w:pPr>
      <w:r w:rsidRPr="006B3D66">
        <w:tab/>
        <w:t>(a)</w:t>
      </w:r>
      <w:r w:rsidRPr="006B3D66">
        <w:tab/>
        <w:t>may be held in private if the Independent National Security Legislation Monitor so directs; and</w:t>
      </w:r>
    </w:p>
    <w:p w:rsidR="00272EC3" w:rsidRPr="006B3D66" w:rsidRDefault="00272EC3" w:rsidP="00272EC3">
      <w:pPr>
        <w:pStyle w:val="paragraph"/>
      </w:pPr>
      <w:r w:rsidRPr="006B3D66">
        <w:tab/>
        <w:t>(b)</w:t>
      </w:r>
      <w:r w:rsidRPr="006B3D66">
        <w:tab/>
        <w:t>must be held in private for any time during which a person is giving evidence that discloses operationally sensitive information.</w:t>
      </w:r>
    </w:p>
    <w:p w:rsidR="00272EC3" w:rsidRPr="006B3D66" w:rsidRDefault="00272EC3" w:rsidP="00272EC3">
      <w:pPr>
        <w:pStyle w:val="subsection2"/>
      </w:pPr>
      <w:r w:rsidRPr="006B3D66">
        <w:t>Otherwise, a hearing must be held in public.</w:t>
      </w:r>
    </w:p>
    <w:p w:rsidR="00272EC3" w:rsidRPr="006B3D66" w:rsidRDefault="00272EC3" w:rsidP="00272EC3">
      <w:pPr>
        <w:pStyle w:val="subsection"/>
      </w:pPr>
      <w:r w:rsidRPr="006B3D66">
        <w:tab/>
        <w:t>(3)</w:t>
      </w:r>
      <w:r w:rsidRPr="006B3D66">
        <w:tab/>
        <w:t>A hearing may otherwise be conducted in such a manner as the Independent National Security Legislation Monitor thinks fit.</w:t>
      </w:r>
    </w:p>
    <w:p w:rsidR="00272EC3" w:rsidRPr="006B3D66" w:rsidRDefault="00272EC3" w:rsidP="00272EC3">
      <w:pPr>
        <w:pStyle w:val="subsection"/>
      </w:pPr>
      <w:r w:rsidRPr="006B3D66">
        <w:tab/>
        <w:t>(4)</w:t>
      </w:r>
      <w:r w:rsidRPr="006B3D66">
        <w:tab/>
        <w:t>The Independent National Security Legislation Monitor must ensure that a record of a hearing is made.</w:t>
      </w:r>
    </w:p>
    <w:p w:rsidR="00272EC3" w:rsidRPr="006B3D66" w:rsidRDefault="00272EC3" w:rsidP="00272EC3">
      <w:pPr>
        <w:pStyle w:val="subsection"/>
      </w:pPr>
      <w:r w:rsidRPr="006B3D66">
        <w:tab/>
        <w:t>(5)</w:t>
      </w:r>
      <w:r w:rsidRPr="006B3D66">
        <w:tab/>
        <w:t xml:space="preserve">A direction given under </w:t>
      </w:r>
      <w:r w:rsidR="006B3D66">
        <w:t>paragraph (</w:t>
      </w:r>
      <w:r w:rsidRPr="006B3D66">
        <w:t>2)(a) is not a legislative instrument.</w:t>
      </w:r>
    </w:p>
    <w:p w:rsidR="00272EC3" w:rsidRPr="006B3D66" w:rsidRDefault="00272EC3" w:rsidP="00272EC3">
      <w:pPr>
        <w:pStyle w:val="ActHead5"/>
      </w:pPr>
      <w:bookmarkStart w:id="28" w:name="_Toc518896222"/>
      <w:r w:rsidRPr="006B3D66">
        <w:rPr>
          <w:rStyle w:val="CharSectno"/>
        </w:rPr>
        <w:t>22</w:t>
      </w:r>
      <w:r w:rsidRPr="006B3D66">
        <w:t xml:space="preserve">  Independent National Security Legislation Monitor may summon person</w:t>
      </w:r>
      <w:bookmarkEnd w:id="28"/>
    </w:p>
    <w:p w:rsidR="00272EC3" w:rsidRPr="006B3D66" w:rsidRDefault="00272EC3" w:rsidP="00272EC3">
      <w:pPr>
        <w:pStyle w:val="subsection"/>
      </w:pPr>
      <w:r w:rsidRPr="006B3D66">
        <w:tab/>
        <w:t>(1)</w:t>
      </w:r>
      <w:r w:rsidRPr="006B3D66">
        <w:tab/>
        <w:t>The Independent National Security Legislation Monitor may, by notice in writing, summon a person to attend a hearing at a time and place specified in the notice:</w:t>
      </w:r>
    </w:p>
    <w:p w:rsidR="00272EC3" w:rsidRPr="006B3D66" w:rsidRDefault="00272EC3" w:rsidP="00272EC3">
      <w:pPr>
        <w:pStyle w:val="paragraph"/>
      </w:pPr>
      <w:r w:rsidRPr="006B3D66">
        <w:tab/>
        <w:t>(a)</w:t>
      </w:r>
      <w:r w:rsidRPr="006B3D66">
        <w:tab/>
        <w:t>to give evidence; or</w:t>
      </w:r>
    </w:p>
    <w:p w:rsidR="00272EC3" w:rsidRPr="006B3D66" w:rsidRDefault="00272EC3" w:rsidP="00272EC3">
      <w:pPr>
        <w:pStyle w:val="paragraph"/>
      </w:pPr>
      <w:r w:rsidRPr="006B3D66">
        <w:tab/>
        <w:t>(b)</w:t>
      </w:r>
      <w:r w:rsidRPr="006B3D66">
        <w:tab/>
        <w:t>to produce documents or things specified in the notice.</w:t>
      </w:r>
    </w:p>
    <w:p w:rsidR="00272EC3" w:rsidRPr="006B3D66" w:rsidRDefault="00272EC3" w:rsidP="00272EC3">
      <w:pPr>
        <w:pStyle w:val="notetext"/>
      </w:pPr>
      <w:r w:rsidRPr="006B3D66">
        <w:t>Note:</w:t>
      </w:r>
      <w:r w:rsidRPr="006B3D66">
        <w:tab/>
        <w:t>Failure to comply with a notice is an offence: see section</w:t>
      </w:r>
      <w:r w:rsidR="006B3D66">
        <w:t> </w:t>
      </w:r>
      <w:r w:rsidRPr="006B3D66">
        <w:t>25.</w:t>
      </w:r>
    </w:p>
    <w:p w:rsidR="00272EC3" w:rsidRPr="006B3D66" w:rsidRDefault="00272EC3" w:rsidP="00272EC3">
      <w:pPr>
        <w:pStyle w:val="subsection"/>
      </w:pPr>
      <w:r w:rsidRPr="006B3D66">
        <w:lastRenderedPageBreak/>
        <w:tab/>
        <w:t>(2)</w:t>
      </w:r>
      <w:r w:rsidRPr="006B3D66">
        <w:tab/>
        <w:t>The notice must:</w:t>
      </w:r>
    </w:p>
    <w:p w:rsidR="00272EC3" w:rsidRPr="006B3D66" w:rsidRDefault="00272EC3" w:rsidP="00272EC3">
      <w:pPr>
        <w:pStyle w:val="paragraph"/>
      </w:pPr>
      <w:r w:rsidRPr="006B3D66">
        <w:tab/>
        <w:t>(a)</w:t>
      </w:r>
      <w:r w:rsidRPr="006B3D66">
        <w:tab/>
        <w:t>be in writing and be signed by the Independent National Security Legislation Monitor; and</w:t>
      </w:r>
    </w:p>
    <w:p w:rsidR="00272EC3" w:rsidRPr="006B3D66" w:rsidRDefault="00272EC3" w:rsidP="00272EC3">
      <w:pPr>
        <w:pStyle w:val="paragraph"/>
      </w:pPr>
      <w:r w:rsidRPr="006B3D66">
        <w:tab/>
        <w:t>(b)</w:t>
      </w:r>
      <w:r w:rsidRPr="006B3D66">
        <w:tab/>
        <w:t>be served on the person required to attend a hearing.</w:t>
      </w:r>
    </w:p>
    <w:p w:rsidR="00272EC3" w:rsidRPr="006B3D66" w:rsidRDefault="00272EC3" w:rsidP="00272EC3">
      <w:pPr>
        <w:pStyle w:val="subsection"/>
      </w:pPr>
      <w:r w:rsidRPr="006B3D66">
        <w:tab/>
        <w:t>(3)</w:t>
      </w:r>
      <w:r w:rsidRPr="006B3D66">
        <w:tab/>
        <w:t>A time specified in a notice must be at least 14 days after the day on which the notice is given.</w:t>
      </w:r>
    </w:p>
    <w:p w:rsidR="00272EC3" w:rsidRPr="006B3D66" w:rsidRDefault="00272EC3" w:rsidP="00272EC3">
      <w:pPr>
        <w:pStyle w:val="subsection"/>
      </w:pPr>
      <w:r w:rsidRPr="006B3D66">
        <w:tab/>
        <w:t>(4)</w:t>
      </w:r>
      <w:r w:rsidRPr="006B3D66">
        <w:tab/>
        <w:t>A person summoned to appear as a witness at a hearing is entitled to be paid by the Commonwealth any allowances for travelling and other expenses that are prescribed by the regulations.</w:t>
      </w:r>
    </w:p>
    <w:p w:rsidR="00272EC3" w:rsidRPr="006B3D66" w:rsidRDefault="00272EC3" w:rsidP="00272EC3">
      <w:pPr>
        <w:pStyle w:val="ActHead5"/>
      </w:pPr>
      <w:bookmarkStart w:id="29" w:name="_Toc518896223"/>
      <w:r w:rsidRPr="006B3D66">
        <w:rPr>
          <w:rStyle w:val="CharSectno"/>
        </w:rPr>
        <w:t>23</w:t>
      </w:r>
      <w:r w:rsidRPr="006B3D66">
        <w:t xml:space="preserve">  Evidence on oath or by affirmation</w:t>
      </w:r>
      <w:bookmarkEnd w:id="29"/>
    </w:p>
    <w:p w:rsidR="00272EC3" w:rsidRPr="006B3D66" w:rsidRDefault="00272EC3" w:rsidP="00272EC3">
      <w:pPr>
        <w:pStyle w:val="subsection"/>
      </w:pPr>
      <w:r w:rsidRPr="006B3D66">
        <w:tab/>
        <w:t>(1)</w:t>
      </w:r>
      <w:r w:rsidRPr="006B3D66">
        <w:tab/>
        <w:t>At a hearing, the Independent National Security Legislation Monitor may:</w:t>
      </w:r>
    </w:p>
    <w:p w:rsidR="00272EC3" w:rsidRPr="006B3D66" w:rsidRDefault="00272EC3" w:rsidP="00272EC3">
      <w:pPr>
        <w:pStyle w:val="paragraph"/>
      </w:pPr>
      <w:r w:rsidRPr="006B3D66">
        <w:tab/>
        <w:t>(a)</w:t>
      </w:r>
      <w:r w:rsidRPr="006B3D66">
        <w:tab/>
        <w:t>require a witness to either take an oath or make an affirmation; and</w:t>
      </w:r>
    </w:p>
    <w:p w:rsidR="00272EC3" w:rsidRPr="006B3D66" w:rsidRDefault="00272EC3" w:rsidP="00272EC3">
      <w:pPr>
        <w:pStyle w:val="paragraph"/>
      </w:pPr>
      <w:r w:rsidRPr="006B3D66">
        <w:tab/>
        <w:t>(b)</w:t>
      </w:r>
      <w:r w:rsidRPr="006B3D66">
        <w:tab/>
        <w:t>administer an oath or affirmation to the witness.</w:t>
      </w:r>
    </w:p>
    <w:p w:rsidR="00272EC3" w:rsidRPr="006B3D66" w:rsidRDefault="00272EC3" w:rsidP="00272EC3">
      <w:pPr>
        <w:pStyle w:val="notetext"/>
      </w:pPr>
      <w:r w:rsidRPr="006B3D66">
        <w:t>Note 1:</w:t>
      </w:r>
      <w:r w:rsidRPr="006B3D66">
        <w:tab/>
        <w:t>Failure to take an oath or make an affirmation is an offence: see section</w:t>
      </w:r>
      <w:r w:rsidR="006B3D66">
        <w:t> </w:t>
      </w:r>
      <w:r w:rsidRPr="006B3D66">
        <w:t>25.</w:t>
      </w:r>
    </w:p>
    <w:p w:rsidR="00272EC3" w:rsidRPr="006B3D66" w:rsidRDefault="00272EC3" w:rsidP="00272EC3">
      <w:pPr>
        <w:pStyle w:val="notetext"/>
      </w:pPr>
      <w:r w:rsidRPr="006B3D66">
        <w:t>Note 2:</w:t>
      </w:r>
      <w:r w:rsidRPr="006B3D66">
        <w:tab/>
        <w:t>This means that a hearing is a judicial proceeding for the purposes of Part</w:t>
      </w:r>
      <w:r w:rsidR="008A2D52" w:rsidRPr="006B3D66">
        <w:t> </w:t>
      </w:r>
      <w:r w:rsidRPr="006B3D66">
        <w:t xml:space="preserve">III of the </w:t>
      </w:r>
      <w:r w:rsidRPr="006B3D66">
        <w:rPr>
          <w:i/>
        </w:rPr>
        <w:t>Crimes Act 1914</w:t>
      </w:r>
      <w:r w:rsidRPr="006B3D66">
        <w:t>, which creates various offences in relation to judicial proceedings.</w:t>
      </w:r>
    </w:p>
    <w:p w:rsidR="00272EC3" w:rsidRPr="006B3D66" w:rsidRDefault="00272EC3" w:rsidP="00272EC3">
      <w:pPr>
        <w:pStyle w:val="subsection"/>
      </w:pPr>
      <w:r w:rsidRPr="006B3D66">
        <w:tab/>
        <w:t>(2)</w:t>
      </w:r>
      <w:r w:rsidRPr="006B3D66">
        <w:tab/>
        <w:t>The oath or affirmation is an oath or affirmation that the evidence the person will give will be true.</w:t>
      </w:r>
    </w:p>
    <w:p w:rsidR="00272EC3" w:rsidRPr="006B3D66" w:rsidRDefault="00272EC3" w:rsidP="00272EC3">
      <w:pPr>
        <w:pStyle w:val="subsection"/>
      </w:pPr>
      <w:r w:rsidRPr="006B3D66">
        <w:tab/>
        <w:t>(3)</w:t>
      </w:r>
      <w:r w:rsidRPr="006B3D66">
        <w:tab/>
        <w:t>The Independent National Security Legislation Monitor may allow a person attending a hearing who has been sworn, or who has made an affirmation, to give evidence by tendering a written statement and verifying it by oath or affirmation.</w:t>
      </w:r>
    </w:p>
    <w:p w:rsidR="00272EC3" w:rsidRPr="006B3D66" w:rsidRDefault="00272EC3" w:rsidP="00272EC3">
      <w:pPr>
        <w:pStyle w:val="ActHead5"/>
      </w:pPr>
      <w:bookmarkStart w:id="30" w:name="_Toc518896224"/>
      <w:r w:rsidRPr="006B3D66">
        <w:rPr>
          <w:rStyle w:val="CharSectno"/>
        </w:rPr>
        <w:t>24</w:t>
      </w:r>
      <w:r w:rsidRPr="006B3D66">
        <w:t xml:space="preserve">  Independent National Security Legislation Monitor may request production of a document or thing</w:t>
      </w:r>
      <w:bookmarkEnd w:id="30"/>
    </w:p>
    <w:p w:rsidR="00272EC3" w:rsidRPr="006B3D66" w:rsidRDefault="00272EC3" w:rsidP="00272EC3">
      <w:pPr>
        <w:pStyle w:val="subsection"/>
      </w:pPr>
      <w:r w:rsidRPr="006B3D66">
        <w:tab/>
        <w:t>(1)</w:t>
      </w:r>
      <w:r w:rsidRPr="006B3D66">
        <w:tab/>
        <w:t>For the purposes of performing his or her functions under this Act, the Independent National Security Legislation Monitor may request, by written notice, a person:</w:t>
      </w:r>
    </w:p>
    <w:p w:rsidR="00272EC3" w:rsidRPr="006B3D66" w:rsidRDefault="00272EC3" w:rsidP="00272EC3">
      <w:pPr>
        <w:pStyle w:val="paragraph"/>
      </w:pPr>
      <w:r w:rsidRPr="006B3D66">
        <w:lastRenderedPageBreak/>
        <w:tab/>
        <w:t>(a)</w:t>
      </w:r>
      <w:r w:rsidRPr="006B3D66">
        <w:tab/>
        <w:t>to give the Monitor the information referred to in the notice; or</w:t>
      </w:r>
    </w:p>
    <w:p w:rsidR="00272EC3" w:rsidRPr="006B3D66" w:rsidRDefault="00272EC3" w:rsidP="00272EC3">
      <w:pPr>
        <w:pStyle w:val="paragraph"/>
      </w:pPr>
      <w:r w:rsidRPr="006B3D66">
        <w:tab/>
        <w:t>(b)</w:t>
      </w:r>
      <w:r w:rsidRPr="006B3D66">
        <w:tab/>
        <w:t>to produce to the Monitor the documents or things referred to in the notice.</w:t>
      </w:r>
    </w:p>
    <w:p w:rsidR="00272EC3" w:rsidRPr="006B3D66" w:rsidRDefault="00272EC3" w:rsidP="00272EC3">
      <w:pPr>
        <w:pStyle w:val="notetext"/>
      </w:pPr>
      <w:r w:rsidRPr="006B3D66">
        <w:t>Note:</w:t>
      </w:r>
      <w:r w:rsidRPr="006B3D66">
        <w:tab/>
        <w:t>Failure to give the information, or produce the documents or things, is an offence: see section</w:t>
      </w:r>
      <w:r w:rsidR="006B3D66">
        <w:t> </w:t>
      </w:r>
      <w:r w:rsidRPr="006B3D66">
        <w:t>25.</w:t>
      </w:r>
    </w:p>
    <w:p w:rsidR="00272EC3" w:rsidRPr="006B3D66" w:rsidRDefault="00272EC3" w:rsidP="00272EC3">
      <w:pPr>
        <w:pStyle w:val="subsection"/>
      </w:pPr>
      <w:r w:rsidRPr="006B3D66">
        <w:tab/>
        <w:t>(2)</w:t>
      </w:r>
      <w:r w:rsidRPr="006B3D66">
        <w:tab/>
        <w:t>The notice must:</w:t>
      </w:r>
    </w:p>
    <w:p w:rsidR="00272EC3" w:rsidRPr="006B3D66" w:rsidRDefault="00272EC3" w:rsidP="00272EC3">
      <w:pPr>
        <w:pStyle w:val="paragraph"/>
      </w:pPr>
      <w:r w:rsidRPr="006B3D66">
        <w:tab/>
        <w:t>(a)</w:t>
      </w:r>
      <w:r w:rsidRPr="006B3D66">
        <w:tab/>
        <w:t>be in writing; and</w:t>
      </w:r>
    </w:p>
    <w:p w:rsidR="00272EC3" w:rsidRPr="006B3D66" w:rsidRDefault="00272EC3" w:rsidP="00272EC3">
      <w:pPr>
        <w:pStyle w:val="paragraph"/>
      </w:pPr>
      <w:r w:rsidRPr="006B3D66">
        <w:tab/>
        <w:t>(b)</w:t>
      </w:r>
      <w:r w:rsidRPr="006B3D66">
        <w:tab/>
        <w:t>specify the period within which the person must comply with the notice.</w:t>
      </w:r>
    </w:p>
    <w:p w:rsidR="00272EC3" w:rsidRPr="006B3D66" w:rsidRDefault="00272EC3" w:rsidP="00272EC3">
      <w:pPr>
        <w:pStyle w:val="subsection"/>
      </w:pPr>
      <w:r w:rsidRPr="006B3D66">
        <w:tab/>
        <w:t>(3)</w:t>
      </w:r>
      <w:r w:rsidRPr="006B3D66">
        <w:tab/>
        <w:t>The period specified in a notice must end at least 14 days after the day on which the notice is given.</w:t>
      </w:r>
    </w:p>
    <w:p w:rsidR="00272EC3" w:rsidRPr="006B3D66" w:rsidRDefault="00272EC3" w:rsidP="00272EC3">
      <w:pPr>
        <w:pStyle w:val="ActHead5"/>
      </w:pPr>
      <w:bookmarkStart w:id="31" w:name="_Toc518896225"/>
      <w:r w:rsidRPr="006B3D66">
        <w:rPr>
          <w:rStyle w:val="CharSectno"/>
        </w:rPr>
        <w:t>25</w:t>
      </w:r>
      <w:r w:rsidRPr="006B3D66">
        <w:t xml:space="preserve">  Offences</w:t>
      </w:r>
      <w:bookmarkEnd w:id="31"/>
    </w:p>
    <w:p w:rsidR="00272EC3" w:rsidRPr="006B3D66" w:rsidRDefault="00272EC3" w:rsidP="00272EC3">
      <w:pPr>
        <w:pStyle w:val="SubsectionHead"/>
      </w:pPr>
      <w:r w:rsidRPr="006B3D66">
        <w:t>Failure to attend hearing</w:t>
      </w:r>
    </w:p>
    <w:p w:rsidR="00272EC3" w:rsidRPr="006B3D66" w:rsidRDefault="00272EC3" w:rsidP="00272EC3">
      <w:pPr>
        <w:pStyle w:val="subsection"/>
      </w:pPr>
      <w:r w:rsidRPr="006B3D66">
        <w:tab/>
        <w:t>(1)</w:t>
      </w:r>
      <w:r w:rsidRPr="006B3D66">
        <w:tab/>
        <w:t>A person commits an offence if:</w:t>
      </w:r>
    </w:p>
    <w:p w:rsidR="00272EC3" w:rsidRPr="006B3D66" w:rsidRDefault="00272EC3" w:rsidP="00272EC3">
      <w:pPr>
        <w:pStyle w:val="paragraph"/>
      </w:pPr>
      <w:r w:rsidRPr="006B3D66">
        <w:tab/>
        <w:t>(a)</w:t>
      </w:r>
      <w:r w:rsidRPr="006B3D66">
        <w:tab/>
        <w:t>the person is served with a notice to attend a hearing; and</w:t>
      </w:r>
    </w:p>
    <w:p w:rsidR="00272EC3" w:rsidRPr="006B3D66" w:rsidRDefault="00272EC3" w:rsidP="00272EC3">
      <w:pPr>
        <w:pStyle w:val="paragraph"/>
      </w:pPr>
      <w:r w:rsidRPr="006B3D66">
        <w:tab/>
        <w:t>(b)</w:t>
      </w:r>
      <w:r w:rsidRPr="006B3D66">
        <w:tab/>
        <w:t>the person fails to attend as required by the notice.</w:t>
      </w:r>
    </w:p>
    <w:p w:rsidR="00272EC3" w:rsidRPr="006B3D66" w:rsidRDefault="00272EC3" w:rsidP="00272EC3">
      <w:pPr>
        <w:pStyle w:val="Penalty"/>
      </w:pPr>
      <w:r w:rsidRPr="006B3D66">
        <w:t>Penalty:</w:t>
      </w:r>
      <w:r w:rsidRPr="006B3D66">
        <w:tab/>
        <w:t>Imprisonment for 6 months or 30 penalty units, or both.</w:t>
      </w:r>
    </w:p>
    <w:p w:rsidR="00272EC3" w:rsidRPr="006B3D66" w:rsidRDefault="00272EC3" w:rsidP="00272EC3">
      <w:pPr>
        <w:pStyle w:val="SubsectionHead"/>
      </w:pPr>
      <w:r w:rsidRPr="006B3D66">
        <w:t>Failure to swear an oath, make an affirmation or answer a question</w:t>
      </w:r>
    </w:p>
    <w:p w:rsidR="00272EC3" w:rsidRPr="006B3D66" w:rsidRDefault="00272EC3" w:rsidP="00272EC3">
      <w:pPr>
        <w:pStyle w:val="subsection"/>
      </w:pPr>
      <w:r w:rsidRPr="006B3D66">
        <w:tab/>
        <w:t>(2)</w:t>
      </w:r>
      <w:r w:rsidRPr="006B3D66">
        <w:tab/>
        <w:t>A person commits an offence if:</w:t>
      </w:r>
    </w:p>
    <w:p w:rsidR="00272EC3" w:rsidRPr="006B3D66" w:rsidRDefault="00272EC3" w:rsidP="00272EC3">
      <w:pPr>
        <w:pStyle w:val="paragraph"/>
      </w:pPr>
      <w:r w:rsidRPr="006B3D66">
        <w:tab/>
        <w:t>(a)</w:t>
      </w:r>
      <w:r w:rsidRPr="006B3D66">
        <w:tab/>
        <w:t>the person is served with a notice to attend a hearing; and</w:t>
      </w:r>
    </w:p>
    <w:p w:rsidR="00272EC3" w:rsidRPr="006B3D66" w:rsidRDefault="00272EC3" w:rsidP="00272EC3">
      <w:pPr>
        <w:pStyle w:val="paragraph"/>
      </w:pPr>
      <w:r w:rsidRPr="006B3D66">
        <w:tab/>
        <w:t>(b)</w:t>
      </w:r>
      <w:r w:rsidRPr="006B3D66">
        <w:tab/>
        <w:t>either:</w:t>
      </w:r>
    </w:p>
    <w:p w:rsidR="00272EC3" w:rsidRPr="006B3D66" w:rsidRDefault="00272EC3" w:rsidP="00272EC3">
      <w:pPr>
        <w:pStyle w:val="paragraphsub"/>
      </w:pPr>
      <w:r w:rsidRPr="006B3D66">
        <w:tab/>
        <w:t>(i)</w:t>
      </w:r>
      <w:r w:rsidRPr="006B3D66">
        <w:tab/>
        <w:t>the person fails to be sworn or to make an affirmation at the hearing; or</w:t>
      </w:r>
    </w:p>
    <w:p w:rsidR="00272EC3" w:rsidRPr="006B3D66" w:rsidRDefault="00272EC3" w:rsidP="00272EC3">
      <w:pPr>
        <w:pStyle w:val="paragraphsub"/>
      </w:pPr>
      <w:r w:rsidRPr="006B3D66">
        <w:tab/>
        <w:t>(ii)</w:t>
      </w:r>
      <w:r w:rsidRPr="006B3D66">
        <w:tab/>
        <w:t>the person fails to answer a question at the hearing that the Independent National Security Legislation Monitor requires the person to answer.</w:t>
      </w:r>
    </w:p>
    <w:p w:rsidR="00272EC3" w:rsidRPr="006B3D66" w:rsidRDefault="00272EC3" w:rsidP="00272EC3">
      <w:pPr>
        <w:pStyle w:val="Penalty"/>
      </w:pPr>
      <w:r w:rsidRPr="006B3D66">
        <w:t>Penalty:</w:t>
      </w:r>
      <w:r w:rsidRPr="006B3D66">
        <w:tab/>
        <w:t>Imprisonment for 6 months or 30 penalty units, or both.</w:t>
      </w:r>
    </w:p>
    <w:p w:rsidR="00272EC3" w:rsidRPr="006B3D66" w:rsidRDefault="00272EC3" w:rsidP="00272EC3">
      <w:pPr>
        <w:pStyle w:val="SubsectionHead"/>
      </w:pPr>
      <w:r w:rsidRPr="006B3D66">
        <w:lastRenderedPageBreak/>
        <w:t>Failure to produce a document or thing</w:t>
      </w:r>
    </w:p>
    <w:p w:rsidR="00272EC3" w:rsidRPr="006B3D66" w:rsidRDefault="00272EC3" w:rsidP="00272EC3">
      <w:pPr>
        <w:pStyle w:val="subsection"/>
      </w:pPr>
      <w:r w:rsidRPr="006B3D66">
        <w:tab/>
        <w:t>(3)</w:t>
      </w:r>
      <w:r w:rsidRPr="006B3D66">
        <w:tab/>
        <w:t>A person commits an offence if:</w:t>
      </w:r>
    </w:p>
    <w:p w:rsidR="00272EC3" w:rsidRPr="006B3D66" w:rsidRDefault="00272EC3" w:rsidP="00272EC3">
      <w:pPr>
        <w:pStyle w:val="paragraph"/>
      </w:pPr>
      <w:r w:rsidRPr="006B3D66">
        <w:tab/>
        <w:t>(a)</w:t>
      </w:r>
      <w:r w:rsidRPr="006B3D66">
        <w:tab/>
        <w:t>the person receives a notice to produce a document or thing specified in the notice; and</w:t>
      </w:r>
    </w:p>
    <w:p w:rsidR="00272EC3" w:rsidRPr="006B3D66" w:rsidRDefault="00272EC3" w:rsidP="00272EC3">
      <w:pPr>
        <w:pStyle w:val="paragraph"/>
      </w:pPr>
      <w:r w:rsidRPr="006B3D66">
        <w:tab/>
        <w:t>(b)</w:t>
      </w:r>
      <w:r w:rsidRPr="006B3D66">
        <w:tab/>
        <w:t>the person fails to produce the document or thing that the person was required to produce.</w:t>
      </w:r>
    </w:p>
    <w:p w:rsidR="00272EC3" w:rsidRPr="006B3D66" w:rsidRDefault="00272EC3" w:rsidP="00272EC3">
      <w:pPr>
        <w:pStyle w:val="Penalty"/>
      </w:pPr>
      <w:r w:rsidRPr="006B3D66">
        <w:t>Penalty:</w:t>
      </w:r>
      <w:r w:rsidRPr="006B3D66">
        <w:tab/>
        <w:t>Imprisonment for 6 months or 30 penalty units, or both.</w:t>
      </w:r>
    </w:p>
    <w:p w:rsidR="00272EC3" w:rsidRPr="006B3D66" w:rsidRDefault="00272EC3" w:rsidP="00272EC3">
      <w:pPr>
        <w:pStyle w:val="SubsectionHead"/>
      </w:pPr>
      <w:r w:rsidRPr="006B3D66">
        <w:t>Failure to provide information</w:t>
      </w:r>
    </w:p>
    <w:p w:rsidR="00272EC3" w:rsidRPr="006B3D66" w:rsidRDefault="00272EC3" w:rsidP="00272EC3">
      <w:pPr>
        <w:pStyle w:val="subsection"/>
      </w:pPr>
      <w:r w:rsidRPr="006B3D66">
        <w:tab/>
        <w:t>(4)</w:t>
      </w:r>
      <w:r w:rsidRPr="006B3D66">
        <w:tab/>
        <w:t>A person commits an offence if:</w:t>
      </w:r>
    </w:p>
    <w:p w:rsidR="00272EC3" w:rsidRPr="006B3D66" w:rsidRDefault="00272EC3" w:rsidP="00272EC3">
      <w:pPr>
        <w:pStyle w:val="paragraph"/>
      </w:pPr>
      <w:r w:rsidRPr="006B3D66">
        <w:tab/>
        <w:t>(a)</w:t>
      </w:r>
      <w:r w:rsidRPr="006B3D66">
        <w:tab/>
        <w:t>the person receives a notice to provide information specified in the notice; and</w:t>
      </w:r>
    </w:p>
    <w:p w:rsidR="00272EC3" w:rsidRPr="006B3D66" w:rsidRDefault="00272EC3" w:rsidP="00272EC3">
      <w:pPr>
        <w:pStyle w:val="paragraph"/>
      </w:pPr>
      <w:r w:rsidRPr="006B3D66">
        <w:tab/>
        <w:t>(b)</w:t>
      </w:r>
      <w:r w:rsidRPr="006B3D66">
        <w:tab/>
        <w:t>the person fails to provide the information that the person was required to provide.</w:t>
      </w:r>
    </w:p>
    <w:p w:rsidR="00272EC3" w:rsidRPr="006B3D66" w:rsidRDefault="00272EC3" w:rsidP="00272EC3">
      <w:pPr>
        <w:pStyle w:val="Penalty"/>
      </w:pPr>
      <w:r w:rsidRPr="006B3D66">
        <w:t>Penalty:</w:t>
      </w:r>
      <w:r w:rsidRPr="006B3D66">
        <w:tab/>
        <w:t>Imprisonment for 6 months or 30 penalty units, or both.</w:t>
      </w:r>
    </w:p>
    <w:p w:rsidR="00272EC3" w:rsidRPr="006B3D66" w:rsidRDefault="00272EC3" w:rsidP="00272EC3">
      <w:pPr>
        <w:pStyle w:val="SubsectionHead"/>
      </w:pPr>
      <w:r w:rsidRPr="006B3D66">
        <w:t>Exception—reasonable excuse</w:t>
      </w:r>
    </w:p>
    <w:p w:rsidR="00272EC3" w:rsidRPr="006B3D66" w:rsidRDefault="00272EC3" w:rsidP="00272EC3">
      <w:pPr>
        <w:pStyle w:val="subsection"/>
      </w:pPr>
      <w:r w:rsidRPr="006B3D66">
        <w:tab/>
        <w:t>(5)</w:t>
      </w:r>
      <w:r w:rsidRPr="006B3D66">
        <w:tab/>
        <w:t>This section does not apply if the person has a reasonable excuse.</w:t>
      </w:r>
    </w:p>
    <w:p w:rsidR="00272EC3" w:rsidRPr="006B3D66" w:rsidRDefault="00272EC3" w:rsidP="00272EC3">
      <w:pPr>
        <w:pStyle w:val="notetext"/>
      </w:pPr>
      <w:r w:rsidRPr="006B3D66">
        <w:t>Note:</w:t>
      </w:r>
      <w:r w:rsidRPr="006B3D66">
        <w:tab/>
        <w:t xml:space="preserve">A defendant bears an evidential burden in relation to the matter in </w:t>
      </w:r>
      <w:r w:rsidR="006B3D66">
        <w:t>subsection (</w:t>
      </w:r>
      <w:r w:rsidRPr="006B3D66">
        <w:t>5) (see subsection</w:t>
      </w:r>
      <w:r w:rsidR="006B3D66">
        <w:t> </w:t>
      </w:r>
      <w:r w:rsidRPr="006B3D66">
        <w:t xml:space="preserve">13.3(3) of the </w:t>
      </w:r>
      <w:r w:rsidRPr="006B3D66">
        <w:rPr>
          <w:i/>
        </w:rPr>
        <w:t>Criminal Code</w:t>
      </w:r>
      <w:r w:rsidRPr="006B3D66">
        <w:t>).</w:t>
      </w:r>
    </w:p>
    <w:p w:rsidR="00272EC3" w:rsidRPr="006B3D66" w:rsidRDefault="00272EC3" w:rsidP="00272EC3">
      <w:pPr>
        <w:pStyle w:val="subsection"/>
      </w:pPr>
      <w:r w:rsidRPr="006B3D66">
        <w:tab/>
        <w:t>(6)</w:t>
      </w:r>
      <w:r w:rsidRPr="006B3D66">
        <w:tab/>
        <w:t>It is a reasonable excuse for a person to fail to:</w:t>
      </w:r>
    </w:p>
    <w:p w:rsidR="00272EC3" w:rsidRPr="006B3D66" w:rsidRDefault="00272EC3" w:rsidP="00272EC3">
      <w:pPr>
        <w:pStyle w:val="paragraph"/>
      </w:pPr>
      <w:r w:rsidRPr="006B3D66">
        <w:tab/>
        <w:t>(a)</w:t>
      </w:r>
      <w:r w:rsidRPr="006B3D66">
        <w:tab/>
        <w:t>answer a question; or</w:t>
      </w:r>
    </w:p>
    <w:p w:rsidR="00272EC3" w:rsidRPr="006B3D66" w:rsidRDefault="00272EC3" w:rsidP="00272EC3">
      <w:pPr>
        <w:pStyle w:val="paragraph"/>
      </w:pPr>
      <w:r w:rsidRPr="006B3D66">
        <w:tab/>
        <w:t>(b)</w:t>
      </w:r>
      <w:r w:rsidRPr="006B3D66">
        <w:tab/>
        <w:t>produce a document or thing; or</w:t>
      </w:r>
    </w:p>
    <w:p w:rsidR="00272EC3" w:rsidRPr="006B3D66" w:rsidRDefault="00272EC3" w:rsidP="00272EC3">
      <w:pPr>
        <w:pStyle w:val="paragraph"/>
      </w:pPr>
      <w:r w:rsidRPr="006B3D66">
        <w:tab/>
        <w:t>(c)</w:t>
      </w:r>
      <w:r w:rsidRPr="006B3D66">
        <w:tab/>
        <w:t>provide information;</w:t>
      </w:r>
    </w:p>
    <w:p w:rsidR="00272EC3" w:rsidRPr="006B3D66" w:rsidRDefault="00272EC3" w:rsidP="00272EC3">
      <w:pPr>
        <w:pStyle w:val="subsection2"/>
      </w:pPr>
      <w:r w:rsidRPr="006B3D66">
        <w:t>on the ground that to do so might tend to incriminate the person or expose the person to a penalty.</w:t>
      </w:r>
    </w:p>
    <w:p w:rsidR="00272EC3" w:rsidRPr="006B3D66" w:rsidRDefault="00272EC3" w:rsidP="00272EC3">
      <w:pPr>
        <w:pStyle w:val="ActHead5"/>
      </w:pPr>
      <w:bookmarkStart w:id="32" w:name="_Toc518896226"/>
      <w:r w:rsidRPr="006B3D66">
        <w:rPr>
          <w:rStyle w:val="CharSectno"/>
        </w:rPr>
        <w:t>26</w:t>
      </w:r>
      <w:r w:rsidRPr="006B3D66">
        <w:t xml:space="preserve">  No criminal or civil liability under secrecy provisions</w:t>
      </w:r>
      <w:bookmarkEnd w:id="32"/>
    </w:p>
    <w:p w:rsidR="00272EC3" w:rsidRPr="006B3D66" w:rsidRDefault="00272EC3" w:rsidP="00272EC3">
      <w:pPr>
        <w:pStyle w:val="subsection"/>
      </w:pPr>
      <w:r w:rsidRPr="006B3D66">
        <w:tab/>
      </w:r>
      <w:r w:rsidRPr="006B3D66">
        <w:tab/>
        <w:t>A person who is served with a notice under section</w:t>
      </w:r>
      <w:r w:rsidR="006B3D66">
        <w:t> </w:t>
      </w:r>
      <w:r w:rsidRPr="006B3D66">
        <w:t>22 or 24 does not commit an offence, and is not liable to any penalty, under a secrecy provision because the person:</w:t>
      </w:r>
    </w:p>
    <w:p w:rsidR="00272EC3" w:rsidRPr="006B3D66" w:rsidRDefault="00272EC3" w:rsidP="00272EC3">
      <w:pPr>
        <w:pStyle w:val="paragraph"/>
      </w:pPr>
      <w:r w:rsidRPr="006B3D66">
        <w:lastRenderedPageBreak/>
        <w:tab/>
        <w:t>(a)</w:t>
      </w:r>
      <w:r w:rsidRPr="006B3D66">
        <w:tab/>
        <w:t>answers a question at a hearing that the Independent National Security Legislation Monitor requires the person to answer; or</w:t>
      </w:r>
    </w:p>
    <w:p w:rsidR="00272EC3" w:rsidRPr="006B3D66" w:rsidRDefault="00272EC3" w:rsidP="00272EC3">
      <w:pPr>
        <w:pStyle w:val="paragraph"/>
      </w:pPr>
      <w:r w:rsidRPr="006B3D66">
        <w:tab/>
        <w:t>(b)</w:t>
      </w:r>
      <w:r w:rsidRPr="006B3D66">
        <w:tab/>
        <w:t>provides information that the person is required to provide in accordance with the notice; or</w:t>
      </w:r>
    </w:p>
    <w:p w:rsidR="00272EC3" w:rsidRPr="006B3D66" w:rsidRDefault="00272EC3" w:rsidP="00272EC3">
      <w:pPr>
        <w:pStyle w:val="paragraph"/>
      </w:pPr>
      <w:r w:rsidRPr="006B3D66">
        <w:tab/>
        <w:t>(c)</w:t>
      </w:r>
      <w:r w:rsidRPr="006B3D66">
        <w:tab/>
        <w:t>produces a document or thing that the person is required to produce in accordance with the notice.</w:t>
      </w:r>
    </w:p>
    <w:p w:rsidR="00272EC3" w:rsidRPr="006B3D66" w:rsidRDefault="00272EC3" w:rsidP="00272EC3">
      <w:pPr>
        <w:pStyle w:val="ActHead5"/>
      </w:pPr>
      <w:bookmarkStart w:id="33" w:name="_Toc518896227"/>
      <w:r w:rsidRPr="006B3D66">
        <w:rPr>
          <w:rStyle w:val="CharSectno"/>
        </w:rPr>
        <w:t>27</w:t>
      </w:r>
      <w:r w:rsidRPr="006B3D66">
        <w:t xml:space="preserve">  Independent National Security Legislation Monitor may retain documents or things</w:t>
      </w:r>
      <w:bookmarkEnd w:id="33"/>
    </w:p>
    <w:p w:rsidR="00272EC3" w:rsidRPr="006B3D66" w:rsidRDefault="00272EC3" w:rsidP="00272EC3">
      <w:pPr>
        <w:pStyle w:val="subsection"/>
      </w:pPr>
      <w:r w:rsidRPr="006B3D66">
        <w:tab/>
        <w:t>(1)</w:t>
      </w:r>
      <w:r w:rsidRPr="006B3D66">
        <w:tab/>
        <w:t>Subject to section</w:t>
      </w:r>
      <w:r w:rsidR="006B3D66">
        <w:t> </w:t>
      </w:r>
      <w:r w:rsidRPr="006B3D66">
        <w:t>28, if a document or thing is produced to the Independent National Security Legislation Monitor in accordance with section</w:t>
      </w:r>
      <w:r w:rsidR="006B3D66">
        <w:t> </w:t>
      </w:r>
      <w:r w:rsidRPr="006B3D66">
        <w:t>22 or 24, the Monitor:</w:t>
      </w:r>
    </w:p>
    <w:p w:rsidR="00272EC3" w:rsidRPr="006B3D66" w:rsidRDefault="00272EC3" w:rsidP="00272EC3">
      <w:pPr>
        <w:pStyle w:val="paragraph"/>
      </w:pPr>
      <w:r w:rsidRPr="006B3D66">
        <w:tab/>
        <w:t>(a)</w:t>
      </w:r>
      <w:r w:rsidRPr="006B3D66">
        <w:tab/>
        <w:t>may take possession of, and make copies of, the document or thing, or take extracts from the document; and</w:t>
      </w:r>
    </w:p>
    <w:p w:rsidR="00272EC3" w:rsidRPr="006B3D66" w:rsidRDefault="00272EC3" w:rsidP="00272EC3">
      <w:pPr>
        <w:pStyle w:val="paragraph"/>
      </w:pPr>
      <w:r w:rsidRPr="006B3D66">
        <w:tab/>
        <w:t>(b)</w:t>
      </w:r>
      <w:r w:rsidRPr="006B3D66">
        <w:tab/>
        <w:t>may retain possession of the document or thing for such period as is necessary for the performance of the Monitor’s functions under this Act.</w:t>
      </w:r>
    </w:p>
    <w:p w:rsidR="00272EC3" w:rsidRPr="006B3D66" w:rsidRDefault="00272EC3" w:rsidP="00272EC3">
      <w:pPr>
        <w:pStyle w:val="subsection"/>
      </w:pPr>
      <w:r w:rsidRPr="006B3D66">
        <w:tab/>
        <w:t>(2)</w:t>
      </w:r>
      <w:r w:rsidRPr="006B3D66">
        <w:tab/>
        <w:t>While the Independent National Security Legislation Monitor retains the document or thing, the Monitor must allow a person who would otherwise be entitled to possession of the document or thing, or a person authorised by that person:</w:t>
      </w:r>
    </w:p>
    <w:p w:rsidR="00272EC3" w:rsidRPr="006B3D66" w:rsidRDefault="00272EC3" w:rsidP="00272EC3">
      <w:pPr>
        <w:pStyle w:val="paragraph"/>
      </w:pPr>
      <w:r w:rsidRPr="006B3D66">
        <w:tab/>
        <w:t>(a)</w:t>
      </w:r>
      <w:r w:rsidRPr="006B3D66">
        <w:tab/>
        <w:t>reasonable access to the document for the purposes of inspecting and making copies of, or taking extracts from, it; and</w:t>
      </w:r>
    </w:p>
    <w:p w:rsidR="00272EC3" w:rsidRPr="006B3D66" w:rsidRDefault="00272EC3" w:rsidP="00272EC3">
      <w:pPr>
        <w:pStyle w:val="paragraph"/>
      </w:pPr>
      <w:r w:rsidRPr="006B3D66">
        <w:tab/>
        <w:t>(b)</w:t>
      </w:r>
      <w:r w:rsidRPr="006B3D66">
        <w:tab/>
        <w:t>reasonable access to the thing.</w:t>
      </w:r>
    </w:p>
    <w:p w:rsidR="00272EC3" w:rsidRPr="006B3D66" w:rsidRDefault="00272EC3" w:rsidP="00272EC3">
      <w:pPr>
        <w:pStyle w:val="ActHead5"/>
      </w:pPr>
      <w:bookmarkStart w:id="34" w:name="_Toc518896228"/>
      <w:r w:rsidRPr="006B3D66">
        <w:rPr>
          <w:rStyle w:val="CharSectno"/>
        </w:rPr>
        <w:t>28</w:t>
      </w:r>
      <w:r w:rsidRPr="006B3D66">
        <w:t xml:space="preserve">  Protection of information and documents</w:t>
      </w:r>
      <w:bookmarkEnd w:id="34"/>
    </w:p>
    <w:p w:rsidR="00272EC3" w:rsidRPr="006B3D66" w:rsidRDefault="00272EC3" w:rsidP="00272EC3">
      <w:pPr>
        <w:pStyle w:val="subsection"/>
      </w:pPr>
      <w:r w:rsidRPr="006B3D66">
        <w:tab/>
        <w:t>(1)</w:t>
      </w:r>
      <w:r w:rsidRPr="006B3D66">
        <w:tab/>
        <w:t>This section applies if documents having a national security classification or containing operationally sensitive information are provided by an agency to the Independent National Security Legislation Monitor.</w:t>
      </w:r>
    </w:p>
    <w:p w:rsidR="00272EC3" w:rsidRPr="006B3D66" w:rsidRDefault="00272EC3" w:rsidP="00272EC3">
      <w:pPr>
        <w:pStyle w:val="subsection"/>
      </w:pPr>
      <w:r w:rsidRPr="006B3D66">
        <w:tab/>
        <w:t>(2)</w:t>
      </w:r>
      <w:r w:rsidRPr="006B3D66">
        <w:tab/>
        <w:t>The Independent National Security Legislation Monitor must:</w:t>
      </w:r>
    </w:p>
    <w:p w:rsidR="00272EC3" w:rsidRPr="006B3D66" w:rsidRDefault="00272EC3" w:rsidP="00272EC3">
      <w:pPr>
        <w:pStyle w:val="paragraph"/>
      </w:pPr>
      <w:r w:rsidRPr="006B3D66">
        <w:lastRenderedPageBreak/>
        <w:tab/>
        <w:t>(a)</w:t>
      </w:r>
      <w:r w:rsidRPr="006B3D66">
        <w:tab/>
        <w:t>make arrangements with the head of the agency for the protection of those documents while they remain in the Monitor’s possession; and</w:t>
      </w:r>
    </w:p>
    <w:p w:rsidR="00272EC3" w:rsidRPr="006B3D66" w:rsidRDefault="00272EC3" w:rsidP="00272EC3">
      <w:pPr>
        <w:pStyle w:val="paragraph"/>
      </w:pPr>
      <w:r w:rsidRPr="006B3D66">
        <w:tab/>
        <w:t>(b)</w:t>
      </w:r>
      <w:r w:rsidRPr="006B3D66">
        <w:tab/>
        <w:t>ensure that the documents are returned to the agency as soon as possible after the Monitor has examined them.</w:t>
      </w:r>
    </w:p>
    <w:p w:rsidR="00272EC3" w:rsidRPr="006B3D66" w:rsidRDefault="00272EC3" w:rsidP="00D774CC">
      <w:pPr>
        <w:pStyle w:val="ActHead2"/>
        <w:pageBreakBefore/>
      </w:pPr>
      <w:bookmarkStart w:id="35" w:name="_Toc518896229"/>
      <w:r w:rsidRPr="006B3D66">
        <w:rPr>
          <w:rStyle w:val="CharPartNo"/>
        </w:rPr>
        <w:lastRenderedPageBreak/>
        <w:t>Part</w:t>
      </w:r>
      <w:r w:rsidR="006B3D66" w:rsidRPr="006B3D66">
        <w:rPr>
          <w:rStyle w:val="CharPartNo"/>
        </w:rPr>
        <w:t> </w:t>
      </w:r>
      <w:r w:rsidRPr="006B3D66">
        <w:rPr>
          <w:rStyle w:val="CharPartNo"/>
        </w:rPr>
        <w:t>4</w:t>
      </w:r>
      <w:r w:rsidRPr="006B3D66">
        <w:t>—</w:t>
      </w:r>
      <w:r w:rsidRPr="006B3D66">
        <w:rPr>
          <w:rStyle w:val="CharPartText"/>
        </w:rPr>
        <w:t>Reporting requirements</w:t>
      </w:r>
      <w:bookmarkEnd w:id="35"/>
    </w:p>
    <w:p w:rsidR="00272EC3" w:rsidRPr="006B3D66" w:rsidRDefault="000279EB" w:rsidP="00272EC3">
      <w:pPr>
        <w:pStyle w:val="Header"/>
      </w:pPr>
      <w:r w:rsidRPr="006B3D66">
        <w:rPr>
          <w:rStyle w:val="CharDivNo"/>
        </w:rPr>
        <w:t xml:space="preserve"> </w:t>
      </w:r>
      <w:r w:rsidRPr="006B3D66">
        <w:rPr>
          <w:rStyle w:val="CharDivText"/>
        </w:rPr>
        <w:t xml:space="preserve"> </w:t>
      </w:r>
    </w:p>
    <w:p w:rsidR="00272EC3" w:rsidRPr="006B3D66" w:rsidRDefault="00272EC3" w:rsidP="00272EC3">
      <w:pPr>
        <w:pStyle w:val="ActHead5"/>
      </w:pPr>
      <w:bookmarkStart w:id="36" w:name="_Toc518896230"/>
      <w:r w:rsidRPr="006B3D66">
        <w:rPr>
          <w:rStyle w:val="CharSectno"/>
        </w:rPr>
        <w:t>29</w:t>
      </w:r>
      <w:r w:rsidRPr="006B3D66">
        <w:t xml:space="preserve">  Annual report</w:t>
      </w:r>
      <w:bookmarkEnd w:id="36"/>
    </w:p>
    <w:p w:rsidR="00272EC3" w:rsidRPr="006B3D66" w:rsidRDefault="00272EC3" w:rsidP="00272EC3">
      <w:pPr>
        <w:pStyle w:val="subsection"/>
      </w:pPr>
      <w:r w:rsidRPr="006B3D66">
        <w:tab/>
        <w:t>(1)</w:t>
      </w:r>
      <w:r w:rsidRPr="006B3D66">
        <w:tab/>
        <w:t xml:space="preserve">The Independent National Security Legislation Monitor must prepare and give to the </w:t>
      </w:r>
      <w:r w:rsidR="0043673D" w:rsidRPr="006B3D66">
        <w:t>Attorney</w:t>
      </w:r>
      <w:r w:rsidR="006B3D66">
        <w:noBreakHyphen/>
      </w:r>
      <w:r w:rsidR="0043673D" w:rsidRPr="006B3D66">
        <w:t>General</w:t>
      </w:r>
      <w:r w:rsidRPr="006B3D66">
        <w:t xml:space="preserve"> a report (an </w:t>
      </w:r>
      <w:r w:rsidRPr="006B3D66">
        <w:rPr>
          <w:b/>
          <w:i/>
        </w:rPr>
        <w:t>annual report</w:t>
      </w:r>
      <w:r w:rsidRPr="006B3D66">
        <w:t>):</w:t>
      </w:r>
    </w:p>
    <w:p w:rsidR="00272EC3" w:rsidRPr="006B3D66" w:rsidRDefault="00272EC3" w:rsidP="00272EC3">
      <w:pPr>
        <w:pStyle w:val="paragraph"/>
      </w:pPr>
      <w:r w:rsidRPr="006B3D66">
        <w:tab/>
        <w:t>(a)</w:t>
      </w:r>
      <w:r w:rsidRPr="006B3D66">
        <w:tab/>
        <w:t>relating to the performance of the Monitor’s functions as set out in paragraphs 6(1)(a) and (b); and</w:t>
      </w:r>
    </w:p>
    <w:p w:rsidR="00272EC3" w:rsidRPr="006B3D66" w:rsidRDefault="00272EC3" w:rsidP="00272EC3">
      <w:pPr>
        <w:pStyle w:val="paragraph"/>
      </w:pPr>
      <w:r w:rsidRPr="006B3D66">
        <w:tab/>
        <w:t>(b)</w:t>
      </w:r>
      <w:r w:rsidRPr="006B3D66">
        <w:tab/>
        <w:t>containing such details relating to the performance of the Monitor’s function as set out in paragraph</w:t>
      </w:r>
      <w:r w:rsidR="006B3D66">
        <w:t> </w:t>
      </w:r>
      <w:r w:rsidRPr="006B3D66">
        <w:t>6(1)(c) as the Monitor considers appropriate.</w:t>
      </w:r>
    </w:p>
    <w:p w:rsidR="00272EC3" w:rsidRPr="006B3D66" w:rsidRDefault="00272EC3" w:rsidP="00272EC3">
      <w:pPr>
        <w:pStyle w:val="subsection"/>
      </w:pPr>
      <w:r w:rsidRPr="006B3D66">
        <w:tab/>
        <w:t>(2)</w:t>
      </w:r>
      <w:r w:rsidRPr="006B3D66">
        <w:tab/>
        <w:t xml:space="preserve">The annual report must be given to the </w:t>
      </w:r>
      <w:r w:rsidR="0043673D" w:rsidRPr="006B3D66">
        <w:t>Attorney</w:t>
      </w:r>
      <w:r w:rsidR="006B3D66">
        <w:noBreakHyphen/>
      </w:r>
      <w:r w:rsidR="0043673D" w:rsidRPr="006B3D66">
        <w:t>General</w:t>
      </w:r>
      <w:r w:rsidRPr="006B3D66">
        <w:t xml:space="preserve"> as soon as practicable after 30</w:t>
      </w:r>
      <w:r w:rsidR="006B3D66">
        <w:t> </w:t>
      </w:r>
      <w:r w:rsidRPr="006B3D66">
        <w:t>June in each financial year and, in any event, by the following 31</w:t>
      </w:r>
      <w:r w:rsidR="006B3D66">
        <w:t> </w:t>
      </w:r>
      <w:r w:rsidRPr="006B3D66">
        <w:t>December.</w:t>
      </w:r>
    </w:p>
    <w:p w:rsidR="00272EC3" w:rsidRPr="006B3D66" w:rsidRDefault="00272EC3" w:rsidP="00272EC3">
      <w:pPr>
        <w:pStyle w:val="subsection"/>
      </w:pPr>
      <w:r w:rsidRPr="006B3D66">
        <w:tab/>
        <w:t>(2A)</w:t>
      </w:r>
      <w:r w:rsidRPr="006B3D66">
        <w:tab/>
        <w:t xml:space="preserve">If the Independent National Security Legislation Monitor considers that the annual report contains information of the kind referred to in </w:t>
      </w:r>
      <w:r w:rsidR="006B3D66">
        <w:t>subsection (</w:t>
      </w:r>
      <w:r w:rsidRPr="006B3D66">
        <w:t xml:space="preserve">3), the Monitor must also prepare and give to the </w:t>
      </w:r>
      <w:r w:rsidR="0043673D" w:rsidRPr="006B3D66">
        <w:t>Attorney</w:t>
      </w:r>
      <w:r w:rsidR="006B3D66">
        <w:noBreakHyphen/>
      </w:r>
      <w:r w:rsidR="0043673D" w:rsidRPr="006B3D66">
        <w:t>General</w:t>
      </w:r>
      <w:r w:rsidRPr="006B3D66">
        <w:t xml:space="preserve">, at the same time as the annual report, a version of the report which does not contain that information (a </w:t>
      </w:r>
      <w:r w:rsidRPr="006B3D66">
        <w:rPr>
          <w:b/>
          <w:i/>
        </w:rPr>
        <w:t>declassified annual report</w:t>
      </w:r>
      <w:r w:rsidRPr="006B3D66">
        <w:t>).</w:t>
      </w:r>
    </w:p>
    <w:p w:rsidR="00272EC3" w:rsidRPr="006B3D66" w:rsidRDefault="00272EC3" w:rsidP="00272EC3">
      <w:pPr>
        <w:pStyle w:val="subsection"/>
      </w:pPr>
      <w:r w:rsidRPr="006B3D66">
        <w:tab/>
        <w:t>(3)</w:t>
      </w:r>
      <w:r w:rsidRPr="006B3D66">
        <w:tab/>
        <w:t>The information specified by this subsection is information of the following kind:</w:t>
      </w:r>
    </w:p>
    <w:p w:rsidR="00272EC3" w:rsidRPr="006B3D66" w:rsidRDefault="00272EC3" w:rsidP="00272EC3">
      <w:pPr>
        <w:pStyle w:val="paragraph"/>
      </w:pPr>
      <w:r w:rsidRPr="006B3D66">
        <w:tab/>
        <w:t>(a)</w:t>
      </w:r>
      <w:r w:rsidRPr="006B3D66">
        <w:tab/>
        <w:t>any operationally sensitive information; or</w:t>
      </w:r>
    </w:p>
    <w:p w:rsidR="00272EC3" w:rsidRPr="006B3D66" w:rsidRDefault="00272EC3" w:rsidP="00272EC3">
      <w:pPr>
        <w:pStyle w:val="paragraph"/>
      </w:pPr>
      <w:r w:rsidRPr="006B3D66">
        <w:tab/>
        <w:t>(b)</w:t>
      </w:r>
      <w:r w:rsidRPr="006B3D66">
        <w:tab/>
        <w:t>any information that would or might prejudice:</w:t>
      </w:r>
    </w:p>
    <w:p w:rsidR="00272EC3" w:rsidRPr="006B3D66" w:rsidRDefault="00272EC3" w:rsidP="00272EC3">
      <w:pPr>
        <w:pStyle w:val="paragraphsub"/>
      </w:pPr>
      <w:r w:rsidRPr="006B3D66">
        <w:tab/>
        <w:t>(i)</w:t>
      </w:r>
      <w:r w:rsidRPr="006B3D66">
        <w:tab/>
        <w:t>Australia’s national security or the conduct of Australia’s foreign relations; or</w:t>
      </w:r>
    </w:p>
    <w:p w:rsidR="00272EC3" w:rsidRPr="006B3D66" w:rsidRDefault="00272EC3" w:rsidP="00272EC3">
      <w:pPr>
        <w:pStyle w:val="paragraphsub"/>
      </w:pPr>
      <w:r w:rsidRPr="006B3D66">
        <w:tab/>
        <w:t>(ii)</w:t>
      </w:r>
      <w:r w:rsidRPr="006B3D66">
        <w:tab/>
        <w:t>the performance by a law enforcement or security agency of its functions; or</w:t>
      </w:r>
    </w:p>
    <w:p w:rsidR="00272EC3" w:rsidRPr="006B3D66" w:rsidRDefault="00272EC3" w:rsidP="00272EC3">
      <w:pPr>
        <w:pStyle w:val="paragraph"/>
      </w:pPr>
      <w:r w:rsidRPr="006B3D66">
        <w:tab/>
        <w:t>(c)</w:t>
      </w:r>
      <w:r w:rsidRPr="006B3D66">
        <w:tab/>
        <w:t>any information that, if included in the report, would or might endanger a person’s safety; or</w:t>
      </w:r>
    </w:p>
    <w:p w:rsidR="00272EC3" w:rsidRPr="006B3D66" w:rsidRDefault="00272EC3" w:rsidP="00272EC3">
      <w:pPr>
        <w:pStyle w:val="paragraph"/>
      </w:pPr>
      <w:r w:rsidRPr="006B3D66">
        <w:tab/>
        <w:t>(d)</w:t>
      </w:r>
      <w:r w:rsidRPr="006B3D66">
        <w:tab/>
        <w:t>any information obtained from a document prepared for the purposes of a meeting of:</w:t>
      </w:r>
    </w:p>
    <w:p w:rsidR="00272EC3" w:rsidRPr="006B3D66" w:rsidRDefault="00272EC3" w:rsidP="00272EC3">
      <w:pPr>
        <w:pStyle w:val="paragraphsub"/>
      </w:pPr>
      <w:r w:rsidRPr="006B3D66">
        <w:lastRenderedPageBreak/>
        <w:tab/>
        <w:t>(i)</w:t>
      </w:r>
      <w:r w:rsidRPr="006B3D66">
        <w:tab/>
        <w:t>the Cabinet, or of a Committee of the Cabinet, of the Commonwealth or of a State; or</w:t>
      </w:r>
    </w:p>
    <w:p w:rsidR="00272EC3" w:rsidRPr="006B3D66" w:rsidRDefault="00272EC3" w:rsidP="00272EC3">
      <w:pPr>
        <w:pStyle w:val="paragraphsub"/>
      </w:pPr>
      <w:r w:rsidRPr="006B3D66">
        <w:tab/>
        <w:t>(ii)</w:t>
      </w:r>
      <w:r w:rsidRPr="006B3D66">
        <w:tab/>
        <w:t>the Australian Capital Territory Executive or of a committee of that Executive; or</w:t>
      </w:r>
    </w:p>
    <w:p w:rsidR="00272EC3" w:rsidRPr="006B3D66" w:rsidRDefault="00272EC3" w:rsidP="00272EC3">
      <w:pPr>
        <w:pStyle w:val="paragraphsub"/>
      </w:pPr>
      <w:r w:rsidRPr="006B3D66">
        <w:tab/>
        <w:t>(iii)</w:t>
      </w:r>
      <w:r w:rsidRPr="006B3D66">
        <w:tab/>
        <w:t>the Executive Council of the Northern Territory or of a committee of that Executive Council; or</w:t>
      </w:r>
    </w:p>
    <w:p w:rsidR="00272EC3" w:rsidRPr="006B3D66" w:rsidRDefault="00272EC3" w:rsidP="00272EC3">
      <w:pPr>
        <w:pStyle w:val="paragraph"/>
      </w:pPr>
      <w:r w:rsidRPr="006B3D66">
        <w:tab/>
        <w:t>(e)</w:t>
      </w:r>
      <w:r w:rsidRPr="006B3D66">
        <w:tab/>
        <w:t>any information that would disclose the deliberations or decisions of:</w:t>
      </w:r>
    </w:p>
    <w:p w:rsidR="00272EC3" w:rsidRPr="006B3D66" w:rsidRDefault="00272EC3" w:rsidP="00272EC3">
      <w:pPr>
        <w:pStyle w:val="paragraphsub"/>
      </w:pPr>
      <w:r w:rsidRPr="006B3D66">
        <w:tab/>
        <w:t>(i)</w:t>
      </w:r>
      <w:r w:rsidRPr="006B3D66">
        <w:tab/>
        <w:t>the Cabinet, or of a Committee of the Cabinet, of the Commonwealth or of a State; or</w:t>
      </w:r>
    </w:p>
    <w:p w:rsidR="00272EC3" w:rsidRPr="006B3D66" w:rsidRDefault="00272EC3" w:rsidP="00272EC3">
      <w:pPr>
        <w:pStyle w:val="paragraphsub"/>
      </w:pPr>
      <w:r w:rsidRPr="006B3D66">
        <w:tab/>
        <w:t>(ii)</w:t>
      </w:r>
      <w:r w:rsidRPr="006B3D66">
        <w:tab/>
        <w:t>the Australian Capital Territory Executive or of a committee of that Executive; or</w:t>
      </w:r>
    </w:p>
    <w:p w:rsidR="00272EC3" w:rsidRPr="006B3D66" w:rsidRDefault="00272EC3" w:rsidP="00272EC3">
      <w:pPr>
        <w:pStyle w:val="paragraphsub"/>
      </w:pPr>
      <w:r w:rsidRPr="006B3D66">
        <w:tab/>
        <w:t>(iii)</w:t>
      </w:r>
      <w:r w:rsidRPr="006B3D66">
        <w:tab/>
        <w:t>the Executive Council of the Northern Territory or of a committee of that Executive Council.</w:t>
      </w:r>
    </w:p>
    <w:p w:rsidR="00272EC3" w:rsidRPr="006B3D66" w:rsidRDefault="00272EC3" w:rsidP="00272EC3">
      <w:pPr>
        <w:pStyle w:val="subsection"/>
      </w:pPr>
      <w:r w:rsidRPr="006B3D66">
        <w:tab/>
        <w:t>(4)</w:t>
      </w:r>
      <w:r w:rsidRPr="006B3D66">
        <w:tab/>
        <w:t xml:space="preserve">In determining whether an annual report contains information of the kind referred to in </w:t>
      </w:r>
      <w:r w:rsidR="006B3D66">
        <w:t>subsection (</w:t>
      </w:r>
      <w:r w:rsidRPr="006B3D66">
        <w:t>3), the Independent National Security Legislation Monitor may consult the responsible Minister or responsible Ministers concerned.</w:t>
      </w:r>
    </w:p>
    <w:p w:rsidR="00272EC3" w:rsidRPr="006B3D66" w:rsidRDefault="00272EC3" w:rsidP="00272EC3">
      <w:pPr>
        <w:pStyle w:val="subsection"/>
      </w:pPr>
      <w:r w:rsidRPr="006B3D66">
        <w:tab/>
        <w:t>(5)</w:t>
      </w:r>
      <w:r w:rsidRPr="006B3D66">
        <w:tab/>
        <w:t xml:space="preserve">The </w:t>
      </w:r>
      <w:r w:rsidR="0043673D" w:rsidRPr="006B3D66">
        <w:t>Attorney</w:t>
      </w:r>
      <w:r w:rsidR="006B3D66">
        <w:noBreakHyphen/>
      </w:r>
      <w:r w:rsidR="0043673D" w:rsidRPr="006B3D66">
        <w:t>General</w:t>
      </w:r>
      <w:r w:rsidRPr="006B3D66">
        <w:t xml:space="preserve"> must cause a copy of:</w:t>
      </w:r>
    </w:p>
    <w:p w:rsidR="00272EC3" w:rsidRPr="006B3D66" w:rsidRDefault="00272EC3" w:rsidP="00272EC3">
      <w:pPr>
        <w:pStyle w:val="paragraph"/>
      </w:pPr>
      <w:r w:rsidRPr="006B3D66">
        <w:tab/>
        <w:t>(a)</w:t>
      </w:r>
      <w:r w:rsidRPr="006B3D66">
        <w:tab/>
        <w:t>each annual report; or</w:t>
      </w:r>
    </w:p>
    <w:p w:rsidR="00272EC3" w:rsidRPr="006B3D66" w:rsidRDefault="00272EC3" w:rsidP="00272EC3">
      <w:pPr>
        <w:pStyle w:val="paragraph"/>
      </w:pPr>
      <w:r w:rsidRPr="006B3D66">
        <w:tab/>
        <w:t>(b)</w:t>
      </w:r>
      <w:r w:rsidRPr="006B3D66">
        <w:tab/>
        <w:t xml:space="preserve">if an annual report contains information of the kind referred to in </w:t>
      </w:r>
      <w:r w:rsidR="006B3D66">
        <w:t>subsection (</w:t>
      </w:r>
      <w:r w:rsidRPr="006B3D66">
        <w:t>3)—the corresponding declassified annual report;</w:t>
      </w:r>
    </w:p>
    <w:p w:rsidR="00272EC3" w:rsidRPr="006B3D66" w:rsidRDefault="00272EC3" w:rsidP="00272EC3">
      <w:pPr>
        <w:pStyle w:val="subsection2"/>
      </w:pPr>
      <w:r w:rsidRPr="006B3D66">
        <w:t>to be presented to each House of the Parliament within 15 sitting days of that House after the day on which he or she receives the report.</w:t>
      </w:r>
    </w:p>
    <w:p w:rsidR="00272EC3" w:rsidRPr="006B3D66" w:rsidRDefault="00272EC3" w:rsidP="00272EC3">
      <w:pPr>
        <w:pStyle w:val="subsection"/>
      </w:pPr>
      <w:r w:rsidRPr="006B3D66">
        <w:tab/>
        <w:t>(8)</w:t>
      </w:r>
      <w:r w:rsidRPr="006B3D66">
        <w:tab/>
        <w:t>Section</w:t>
      </w:r>
      <w:r w:rsidR="006B3D66">
        <w:t> </w:t>
      </w:r>
      <w:r w:rsidRPr="006B3D66">
        <w:t xml:space="preserve">34C of the </w:t>
      </w:r>
      <w:r w:rsidRPr="006B3D66">
        <w:rPr>
          <w:i/>
        </w:rPr>
        <w:t>Acts Interpretation Act 1901</w:t>
      </w:r>
      <w:r w:rsidRPr="006B3D66">
        <w:t xml:space="preserve"> does not apply in relation to a report given to the </w:t>
      </w:r>
      <w:r w:rsidR="0043673D" w:rsidRPr="006B3D66">
        <w:t>Attorney</w:t>
      </w:r>
      <w:r w:rsidR="006B3D66">
        <w:noBreakHyphen/>
      </w:r>
      <w:r w:rsidR="0043673D" w:rsidRPr="006B3D66">
        <w:t>General</w:t>
      </w:r>
      <w:r w:rsidRPr="006B3D66">
        <w:t xml:space="preserve"> under this section.</w:t>
      </w:r>
    </w:p>
    <w:p w:rsidR="0043673D" w:rsidRPr="006B3D66" w:rsidRDefault="0043673D" w:rsidP="0043673D">
      <w:pPr>
        <w:pStyle w:val="ActHead5"/>
      </w:pPr>
      <w:bookmarkStart w:id="37" w:name="_Toc518896231"/>
      <w:r w:rsidRPr="006B3D66">
        <w:rPr>
          <w:rStyle w:val="CharSectno"/>
        </w:rPr>
        <w:lastRenderedPageBreak/>
        <w:t>30</w:t>
      </w:r>
      <w:r w:rsidRPr="006B3D66">
        <w:t xml:space="preserve">  Report on a reference by the Prime Minister or the Attorney</w:t>
      </w:r>
      <w:r w:rsidR="006B3D66">
        <w:noBreakHyphen/>
      </w:r>
      <w:r w:rsidRPr="006B3D66">
        <w:t>General</w:t>
      </w:r>
      <w:bookmarkEnd w:id="37"/>
    </w:p>
    <w:p w:rsidR="0043673D" w:rsidRPr="006B3D66" w:rsidRDefault="0043673D" w:rsidP="0043673D">
      <w:pPr>
        <w:pStyle w:val="SubsectionHead"/>
      </w:pPr>
      <w:r w:rsidRPr="006B3D66">
        <w:t>Giving reports to referring Minister</w:t>
      </w:r>
    </w:p>
    <w:p w:rsidR="0043673D" w:rsidRPr="006B3D66" w:rsidRDefault="0043673D" w:rsidP="0043673D">
      <w:pPr>
        <w:pStyle w:val="subsection"/>
      </w:pPr>
      <w:r w:rsidRPr="006B3D66">
        <w:tab/>
        <w:t>(1)</w:t>
      </w:r>
      <w:r w:rsidRPr="006B3D66">
        <w:tab/>
        <w:t>The Independent National Security Legislation Monitor must report on a reference made under section</w:t>
      </w:r>
      <w:r w:rsidR="006B3D66">
        <w:t> </w:t>
      </w:r>
      <w:r w:rsidRPr="006B3D66">
        <w:t xml:space="preserve">7 to the Minister who made the reference (the </w:t>
      </w:r>
      <w:r w:rsidRPr="006B3D66">
        <w:rPr>
          <w:b/>
          <w:i/>
        </w:rPr>
        <w:t>referring Minister</w:t>
      </w:r>
      <w:r w:rsidRPr="006B3D66">
        <w:t>).</w:t>
      </w:r>
    </w:p>
    <w:p w:rsidR="00272EC3" w:rsidRPr="006B3D66" w:rsidRDefault="00272EC3" w:rsidP="00272EC3">
      <w:pPr>
        <w:pStyle w:val="subsection"/>
      </w:pPr>
      <w:r w:rsidRPr="006B3D66">
        <w:tab/>
        <w:t>(2)</w:t>
      </w:r>
      <w:r w:rsidRPr="006B3D66">
        <w:tab/>
        <w:t xml:space="preserve">The Independent National Security Legislation Monitor may, before giving his or her report on a reference, give an interim report to the </w:t>
      </w:r>
      <w:r w:rsidR="0043673D" w:rsidRPr="006B3D66">
        <w:t>referring Minister</w:t>
      </w:r>
      <w:r w:rsidRPr="006B3D66">
        <w:t xml:space="preserve"> on the Monitor’s work on the reference.</w:t>
      </w:r>
    </w:p>
    <w:p w:rsidR="00272EC3" w:rsidRPr="006B3D66" w:rsidRDefault="00272EC3" w:rsidP="00272EC3">
      <w:pPr>
        <w:pStyle w:val="subsection"/>
      </w:pPr>
      <w:r w:rsidRPr="006B3D66">
        <w:tab/>
        <w:t>(3)</w:t>
      </w:r>
      <w:r w:rsidRPr="006B3D66">
        <w:tab/>
        <w:t xml:space="preserve">The </w:t>
      </w:r>
      <w:r w:rsidR="0043673D" w:rsidRPr="006B3D66">
        <w:t>referring Minister</w:t>
      </w:r>
      <w:r w:rsidRPr="006B3D66">
        <w:t xml:space="preserve"> may, before the Independent National Security Legislation Monitor gives his or her report on a reference, direct the Monitor to give an interim report to the </w:t>
      </w:r>
      <w:r w:rsidR="0043673D" w:rsidRPr="006B3D66">
        <w:t>referring Minister</w:t>
      </w:r>
      <w:r w:rsidRPr="006B3D66">
        <w:t xml:space="preserve"> on the Monitor’s work on the reference.</w:t>
      </w:r>
    </w:p>
    <w:p w:rsidR="0043673D" w:rsidRPr="006B3D66" w:rsidRDefault="0043673D" w:rsidP="0043673D">
      <w:pPr>
        <w:pStyle w:val="SubsectionHead"/>
      </w:pPr>
      <w:r w:rsidRPr="006B3D66">
        <w:t>Giving copies of reports to non</w:t>
      </w:r>
      <w:r w:rsidR="006B3D66">
        <w:noBreakHyphen/>
      </w:r>
      <w:r w:rsidRPr="006B3D66">
        <w:t>referring Minister</w:t>
      </w:r>
    </w:p>
    <w:p w:rsidR="0043673D" w:rsidRPr="006B3D66" w:rsidRDefault="0043673D" w:rsidP="0043673D">
      <w:pPr>
        <w:pStyle w:val="subsection"/>
      </w:pPr>
      <w:r w:rsidRPr="006B3D66">
        <w:tab/>
        <w:t>(3A)</w:t>
      </w:r>
      <w:r w:rsidRPr="006B3D66">
        <w:tab/>
        <w:t xml:space="preserve">The Independent National Security Legislation Monitor may, if he or she considers it appropriate to do so, give a copy of a report under </w:t>
      </w:r>
      <w:r w:rsidR="006B3D66">
        <w:t>subsection (</w:t>
      </w:r>
      <w:r w:rsidRPr="006B3D66">
        <w:t>1), (2) or (3) to the Minister mentioned in section</w:t>
      </w:r>
      <w:r w:rsidR="006B3D66">
        <w:t> </w:t>
      </w:r>
      <w:r w:rsidRPr="006B3D66">
        <w:t>7 who did not make the reference.</w:t>
      </w:r>
    </w:p>
    <w:p w:rsidR="0043673D" w:rsidRPr="006B3D66" w:rsidRDefault="0043673D" w:rsidP="0043673D">
      <w:pPr>
        <w:pStyle w:val="SubsectionHead"/>
      </w:pPr>
      <w:r w:rsidRPr="006B3D66">
        <w:t>Declassified reports</w:t>
      </w:r>
    </w:p>
    <w:p w:rsidR="00272EC3" w:rsidRPr="006B3D66" w:rsidRDefault="00272EC3" w:rsidP="00272EC3">
      <w:pPr>
        <w:pStyle w:val="subsection"/>
      </w:pPr>
      <w:r w:rsidRPr="006B3D66">
        <w:tab/>
        <w:t>(4)</w:t>
      </w:r>
      <w:r w:rsidRPr="006B3D66">
        <w:tab/>
        <w:t xml:space="preserve">If the Independent National Security Legislation Monitor considers that a report to the </w:t>
      </w:r>
      <w:r w:rsidR="0043673D" w:rsidRPr="006B3D66">
        <w:t>referring Minister</w:t>
      </w:r>
      <w:r w:rsidRPr="006B3D66">
        <w:t xml:space="preserve"> under </w:t>
      </w:r>
      <w:r w:rsidR="006B3D66">
        <w:t>subsection (</w:t>
      </w:r>
      <w:r w:rsidRPr="006B3D66">
        <w:t>1) or (3) contains information of the kind referred to in subsection</w:t>
      </w:r>
      <w:r w:rsidR="006B3D66">
        <w:t> </w:t>
      </w:r>
      <w:r w:rsidRPr="006B3D66">
        <w:t xml:space="preserve">29(3), the Monitor must also prepare and give to the </w:t>
      </w:r>
      <w:r w:rsidR="0043673D" w:rsidRPr="006B3D66">
        <w:t>referring Minister</w:t>
      </w:r>
      <w:r w:rsidRPr="006B3D66">
        <w:t xml:space="preserve">, at the same time as the report, a version of the report which does not contain that information (a </w:t>
      </w:r>
      <w:r w:rsidRPr="006B3D66">
        <w:rPr>
          <w:b/>
          <w:i/>
        </w:rPr>
        <w:t>declassified report</w:t>
      </w:r>
      <w:r w:rsidRPr="006B3D66">
        <w:t>).</w:t>
      </w:r>
    </w:p>
    <w:p w:rsidR="00272EC3" w:rsidRPr="006B3D66" w:rsidRDefault="00272EC3" w:rsidP="00272EC3">
      <w:pPr>
        <w:pStyle w:val="subsection"/>
      </w:pPr>
      <w:r w:rsidRPr="006B3D66">
        <w:tab/>
        <w:t>(5)</w:t>
      </w:r>
      <w:r w:rsidRPr="006B3D66">
        <w:tab/>
        <w:t>In determining whether a report contains information of the kind referred to in subsection</w:t>
      </w:r>
      <w:r w:rsidR="006B3D66">
        <w:t> </w:t>
      </w:r>
      <w:r w:rsidRPr="006B3D66">
        <w:t>29(3), the Independent National Security Legislation Monitor may consult the responsible Minister or responsible Ministers concerned.</w:t>
      </w:r>
    </w:p>
    <w:p w:rsidR="0043673D" w:rsidRPr="006B3D66" w:rsidRDefault="0043673D" w:rsidP="0043673D">
      <w:pPr>
        <w:pStyle w:val="SubsectionHead"/>
      </w:pPr>
      <w:r w:rsidRPr="006B3D66">
        <w:lastRenderedPageBreak/>
        <w:t>Presenting copies of reports to the Parliament</w:t>
      </w:r>
    </w:p>
    <w:p w:rsidR="00272EC3" w:rsidRPr="006B3D66" w:rsidRDefault="00272EC3" w:rsidP="00272EC3">
      <w:pPr>
        <w:pStyle w:val="subsection"/>
      </w:pPr>
      <w:r w:rsidRPr="006B3D66">
        <w:tab/>
        <w:t>(6)</w:t>
      </w:r>
      <w:r w:rsidRPr="006B3D66">
        <w:tab/>
        <w:t xml:space="preserve">The </w:t>
      </w:r>
      <w:r w:rsidR="0043673D" w:rsidRPr="006B3D66">
        <w:t>referring Minister</w:t>
      </w:r>
      <w:r w:rsidRPr="006B3D66">
        <w:t xml:space="preserve"> must cause a copy of:</w:t>
      </w:r>
    </w:p>
    <w:p w:rsidR="0043673D" w:rsidRPr="006B3D66" w:rsidRDefault="0043673D" w:rsidP="0043673D">
      <w:pPr>
        <w:pStyle w:val="paragraph"/>
      </w:pPr>
      <w:r w:rsidRPr="006B3D66">
        <w:tab/>
        <w:t>(a)</w:t>
      </w:r>
      <w:r w:rsidRPr="006B3D66">
        <w:tab/>
        <w:t xml:space="preserve">a report given to the referring Minister under </w:t>
      </w:r>
      <w:r w:rsidR="006B3D66">
        <w:t>subsection (</w:t>
      </w:r>
      <w:r w:rsidRPr="006B3D66">
        <w:t>1) or (3); or</w:t>
      </w:r>
    </w:p>
    <w:p w:rsidR="00272EC3" w:rsidRPr="006B3D66" w:rsidRDefault="00272EC3" w:rsidP="00272EC3">
      <w:pPr>
        <w:pStyle w:val="paragraph"/>
      </w:pPr>
      <w:r w:rsidRPr="006B3D66">
        <w:tab/>
        <w:t>(b)</w:t>
      </w:r>
      <w:r w:rsidRPr="006B3D66">
        <w:tab/>
        <w:t>if a report contains information of the kind referred to in subsection</w:t>
      </w:r>
      <w:r w:rsidR="006B3D66">
        <w:t> </w:t>
      </w:r>
      <w:r w:rsidRPr="006B3D66">
        <w:t>29(3)—the corresponding declassified report;</w:t>
      </w:r>
    </w:p>
    <w:p w:rsidR="00272EC3" w:rsidRPr="006B3D66" w:rsidRDefault="00272EC3" w:rsidP="00272EC3">
      <w:pPr>
        <w:pStyle w:val="subsection2"/>
      </w:pPr>
      <w:r w:rsidRPr="006B3D66">
        <w:t>to be presented to each House of the Parliament within 15 sitting days of that House after the day on which he or she receives the report.</w:t>
      </w:r>
    </w:p>
    <w:p w:rsidR="00272EC3" w:rsidRPr="006B3D66" w:rsidRDefault="00272EC3" w:rsidP="00D774CC">
      <w:pPr>
        <w:pStyle w:val="ActHead2"/>
        <w:pageBreakBefore/>
      </w:pPr>
      <w:bookmarkStart w:id="38" w:name="_Toc518896232"/>
      <w:r w:rsidRPr="006B3D66">
        <w:rPr>
          <w:rStyle w:val="CharPartNo"/>
        </w:rPr>
        <w:lastRenderedPageBreak/>
        <w:t>Part</w:t>
      </w:r>
      <w:r w:rsidR="006B3D66" w:rsidRPr="006B3D66">
        <w:rPr>
          <w:rStyle w:val="CharPartNo"/>
        </w:rPr>
        <w:t> </w:t>
      </w:r>
      <w:r w:rsidRPr="006B3D66">
        <w:rPr>
          <w:rStyle w:val="CharPartNo"/>
        </w:rPr>
        <w:t>5</w:t>
      </w:r>
      <w:r w:rsidRPr="006B3D66">
        <w:t>—</w:t>
      </w:r>
      <w:r w:rsidRPr="006B3D66">
        <w:rPr>
          <w:rStyle w:val="CharPartText"/>
        </w:rPr>
        <w:t>Miscellaneous</w:t>
      </w:r>
      <w:bookmarkEnd w:id="38"/>
    </w:p>
    <w:p w:rsidR="00272EC3" w:rsidRPr="006B3D66" w:rsidRDefault="000279EB" w:rsidP="00272EC3">
      <w:pPr>
        <w:pStyle w:val="Header"/>
      </w:pPr>
      <w:r w:rsidRPr="006B3D66">
        <w:rPr>
          <w:rStyle w:val="CharDivNo"/>
        </w:rPr>
        <w:t xml:space="preserve"> </w:t>
      </w:r>
      <w:r w:rsidRPr="006B3D66">
        <w:rPr>
          <w:rStyle w:val="CharDivText"/>
        </w:rPr>
        <w:t xml:space="preserve"> </w:t>
      </w:r>
    </w:p>
    <w:p w:rsidR="00272EC3" w:rsidRPr="006B3D66" w:rsidRDefault="00272EC3" w:rsidP="00272EC3">
      <w:pPr>
        <w:pStyle w:val="ActHead5"/>
      </w:pPr>
      <w:bookmarkStart w:id="39" w:name="_Toc518896233"/>
      <w:r w:rsidRPr="006B3D66">
        <w:rPr>
          <w:rStyle w:val="CharSectno"/>
        </w:rPr>
        <w:t>31</w:t>
      </w:r>
      <w:r w:rsidRPr="006B3D66">
        <w:t xml:space="preserve">  Immunity from legal action</w:t>
      </w:r>
      <w:bookmarkEnd w:id="39"/>
    </w:p>
    <w:p w:rsidR="00272EC3" w:rsidRPr="006B3D66" w:rsidRDefault="00272EC3" w:rsidP="00272EC3">
      <w:pPr>
        <w:pStyle w:val="subsection"/>
      </w:pPr>
      <w:r w:rsidRPr="006B3D66">
        <w:tab/>
      </w:r>
      <w:r w:rsidRPr="006B3D66">
        <w:tab/>
        <w:t>No action, suit or proceeding may be brought against a person who is, or has been, the Independent National Security Legislation Monitor in relation to anything done, or omitted to be done, in good faith by the Monitor:</w:t>
      </w:r>
    </w:p>
    <w:p w:rsidR="00272EC3" w:rsidRPr="006B3D66" w:rsidRDefault="00272EC3" w:rsidP="00272EC3">
      <w:pPr>
        <w:pStyle w:val="paragraph"/>
      </w:pPr>
      <w:r w:rsidRPr="006B3D66">
        <w:tab/>
        <w:t>(a)</w:t>
      </w:r>
      <w:r w:rsidRPr="006B3D66">
        <w:tab/>
        <w:t>in the performance, or purported performance, of his or her functions; or</w:t>
      </w:r>
    </w:p>
    <w:p w:rsidR="00272EC3" w:rsidRPr="006B3D66" w:rsidRDefault="00272EC3" w:rsidP="00272EC3">
      <w:pPr>
        <w:pStyle w:val="paragraph"/>
      </w:pPr>
      <w:r w:rsidRPr="006B3D66">
        <w:tab/>
        <w:t>(b)</w:t>
      </w:r>
      <w:r w:rsidRPr="006B3D66">
        <w:tab/>
        <w:t>in the exercise, or purported exercise, or his or her powers.</w:t>
      </w:r>
    </w:p>
    <w:p w:rsidR="00272EC3" w:rsidRPr="006B3D66" w:rsidRDefault="00272EC3" w:rsidP="00272EC3">
      <w:pPr>
        <w:pStyle w:val="ActHead5"/>
      </w:pPr>
      <w:bookmarkStart w:id="40" w:name="_Toc518896234"/>
      <w:r w:rsidRPr="006B3D66">
        <w:rPr>
          <w:rStyle w:val="CharSectno"/>
        </w:rPr>
        <w:t>32</w:t>
      </w:r>
      <w:r w:rsidRPr="006B3D66">
        <w:t xml:space="preserve">  Regulations</w:t>
      </w:r>
      <w:bookmarkEnd w:id="40"/>
    </w:p>
    <w:p w:rsidR="00272EC3" w:rsidRPr="006B3D66" w:rsidRDefault="00272EC3" w:rsidP="00272EC3">
      <w:pPr>
        <w:pStyle w:val="subsection"/>
      </w:pPr>
      <w:r w:rsidRPr="006B3D66">
        <w:tab/>
      </w:r>
      <w:r w:rsidRPr="006B3D66">
        <w:tab/>
        <w:t>The Governor</w:t>
      </w:r>
      <w:r w:rsidR="006B3D66">
        <w:noBreakHyphen/>
      </w:r>
      <w:r w:rsidRPr="006B3D66">
        <w:t>General may make regulations prescribing matters:</w:t>
      </w:r>
    </w:p>
    <w:p w:rsidR="00272EC3" w:rsidRPr="006B3D66" w:rsidRDefault="00272EC3" w:rsidP="00272EC3">
      <w:pPr>
        <w:pStyle w:val="paragraph"/>
      </w:pPr>
      <w:r w:rsidRPr="006B3D66">
        <w:tab/>
        <w:t>(a)</w:t>
      </w:r>
      <w:r w:rsidRPr="006B3D66">
        <w:tab/>
        <w:t>required or permitted by this Act to be prescribed; or</w:t>
      </w:r>
    </w:p>
    <w:p w:rsidR="00272EC3" w:rsidRPr="006B3D66" w:rsidRDefault="00272EC3" w:rsidP="00272EC3">
      <w:pPr>
        <w:pStyle w:val="paragraph"/>
      </w:pPr>
      <w:r w:rsidRPr="006B3D66">
        <w:tab/>
        <w:t>(b)</w:t>
      </w:r>
      <w:r w:rsidRPr="006B3D66">
        <w:tab/>
        <w:t>necessary or convenient to be prescribed for carrying out or giving effect to this Act.</w:t>
      </w:r>
    </w:p>
    <w:p w:rsidR="00760453" w:rsidRPr="006B3D66" w:rsidRDefault="00760453" w:rsidP="00760453">
      <w:pPr>
        <w:rPr>
          <w:lang w:eastAsia="en-AU"/>
        </w:rPr>
        <w:sectPr w:rsidR="00760453" w:rsidRPr="006B3D66" w:rsidSect="00D8724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5B73E9" w:rsidRPr="006B3D66" w:rsidRDefault="005B73E9" w:rsidP="008222BE">
      <w:pPr>
        <w:pStyle w:val="ENotesHeading1"/>
        <w:outlineLvl w:val="9"/>
      </w:pPr>
      <w:bookmarkStart w:id="41" w:name="_Toc518896235"/>
      <w:r w:rsidRPr="006B3D66">
        <w:lastRenderedPageBreak/>
        <w:t>Endnotes</w:t>
      </w:r>
      <w:bookmarkEnd w:id="41"/>
    </w:p>
    <w:p w:rsidR="002A35C4" w:rsidRPr="006B3D66" w:rsidRDefault="002A35C4" w:rsidP="0043673D">
      <w:pPr>
        <w:pStyle w:val="ENotesHeading2"/>
        <w:spacing w:line="240" w:lineRule="auto"/>
        <w:outlineLvl w:val="9"/>
      </w:pPr>
      <w:bookmarkStart w:id="42" w:name="_Toc518896236"/>
      <w:r w:rsidRPr="006B3D66">
        <w:t>Endnote 1—About the endnotes</w:t>
      </w:r>
      <w:bookmarkEnd w:id="42"/>
    </w:p>
    <w:p w:rsidR="002A35C4" w:rsidRPr="006B3D66" w:rsidRDefault="002A35C4" w:rsidP="0043673D">
      <w:pPr>
        <w:spacing w:after="120"/>
      </w:pPr>
      <w:r w:rsidRPr="006B3D66">
        <w:t>The endnotes provide information about this compilation and the compiled law.</w:t>
      </w:r>
    </w:p>
    <w:p w:rsidR="002A35C4" w:rsidRPr="006B3D66" w:rsidRDefault="002A35C4" w:rsidP="0043673D">
      <w:pPr>
        <w:spacing w:after="120"/>
      </w:pPr>
      <w:r w:rsidRPr="006B3D66">
        <w:t>The following endnotes are included in every compilation:</w:t>
      </w:r>
    </w:p>
    <w:p w:rsidR="002A35C4" w:rsidRPr="006B3D66" w:rsidRDefault="002A35C4" w:rsidP="0043673D">
      <w:r w:rsidRPr="006B3D66">
        <w:t>Endnote 1—About the endnotes</w:t>
      </w:r>
    </w:p>
    <w:p w:rsidR="002A35C4" w:rsidRPr="006B3D66" w:rsidRDefault="002A35C4" w:rsidP="0043673D">
      <w:r w:rsidRPr="006B3D66">
        <w:t>Endnote 2—Abbreviation key</w:t>
      </w:r>
    </w:p>
    <w:p w:rsidR="002A35C4" w:rsidRPr="006B3D66" w:rsidRDefault="002A35C4" w:rsidP="0043673D">
      <w:r w:rsidRPr="006B3D66">
        <w:t>Endnote 3—Legislation history</w:t>
      </w:r>
    </w:p>
    <w:p w:rsidR="002A35C4" w:rsidRPr="006B3D66" w:rsidRDefault="002A35C4" w:rsidP="0043673D">
      <w:pPr>
        <w:spacing w:after="120"/>
      </w:pPr>
      <w:r w:rsidRPr="006B3D66">
        <w:t>Endnote 4—Amendment history</w:t>
      </w:r>
    </w:p>
    <w:p w:rsidR="002A35C4" w:rsidRPr="006B3D66" w:rsidRDefault="002A35C4" w:rsidP="0043673D">
      <w:r w:rsidRPr="006B3D66">
        <w:rPr>
          <w:b/>
        </w:rPr>
        <w:t>Abbreviation key—Endnote 2</w:t>
      </w:r>
    </w:p>
    <w:p w:rsidR="002A35C4" w:rsidRPr="006B3D66" w:rsidRDefault="002A35C4" w:rsidP="0043673D">
      <w:pPr>
        <w:spacing w:after="120"/>
      </w:pPr>
      <w:r w:rsidRPr="006B3D66">
        <w:t>The abbreviation key sets out abbreviations that may be used in the endnotes.</w:t>
      </w:r>
    </w:p>
    <w:p w:rsidR="002A35C4" w:rsidRPr="006B3D66" w:rsidRDefault="002A35C4" w:rsidP="0043673D">
      <w:pPr>
        <w:rPr>
          <w:b/>
        </w:rPr>
      </w:pPr>
      <w:r w:rsidRPr="006B3D66">
        <w:rPr>
          <w:b/>
        </w:rPr>
        <w:t>Legislation history and amendment history—Endnotes 3 and 4</w:t>
      </w:r>
    </w:p>
    <w:p w:rsidR="002A35C4" w:rsidRPr="006B3D66" w:rsidRDefault="002A35C4" w:rsidP="0043673D">
      <w:pPr>
        <w:spacing w:after="120"/>
      </w:pPr>
      <w:r w:rsidRPr="006B3D66">
        <w:t>Amending laws are annotated in the legislation history and amendment history.</w:t>
      </w:r>
    </w:p>
    <w:p w:rsidR="002A35C4" w:rsidRPr="006B3D66" w:rsidRDefault="002A35C4" w:rsidP="0043673D">
      <w:pPr>
        <w:spacing w:after="120"/>
      </w:pPr>
      <w:r w:rsidRPr="006B3D6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A35C4" w:rsidRPr="006B3D66" w:rsidRDefault="002A35C4" w:rsidP="0043673D">
      <w:pPr>
        <w:spacing w:after="120"/>
      </w:pPr>
      <w:r w:rsidRPr="006B3D6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A35C4" w:rsidRPr="006B3D66" w:rsidRDefault="002A35C4" w:rsidP="0043673D">
      <w:pPr>
        <w:rPr>
          <w:b/>
        </w:rPr>
      </w:pPr>
      <w:r w:rsidRPr="006B3D66">
        <w:rPr>
          <w:b/>
        </w:rPr>
        <w:t>Editorial changes</w:t>
      </w:r>
    </w:p>
    <w:p w:rsidR="002A35C4" w:rsidRPr="006B3D66" w:rsidRDefault="002A35C4" w:rsidP="0043673D">
      <w:pPr>
        <w:spacing w:after="120"/>
      </w:pPr>
      <w:r w:rsidRPr="006B3D66">
        <w:t xml:space="preserve">The </w:t>
      </w:r>
      <w:r w:rsidRPr="006B3D66">
        <w:rPr>
          <w:i/>
        </w:rPr>
        <w:t>Legislation Act 2003</w:t>
      </w:r>
      <w:r w:rsidRPr="006B3D6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A35C4" w:rsidRPr="006B3D66" w:rsidRDefault="002A35C4" w:rsidP="0043673D">
      <w:pPr>
        <w:spacing w:after="120"/>
      </w:pPr>
      <w:r w:rsidRPr="006B3D66">
        <w:t xml:space="preserve">If the compilation includes editorial changes, the endnotes include a brief outline of the changes in general terms. Full details of any changes can be obtained from the Office of Parliamentary Counsel. </w:t>
      </w:r>
    </w:p>
    <w:p w:rsidR="002A35C4" w:rsidRPr="006B3D66" w:rsidRDefault="002A35C4" w:rsidP="0043673D">
      <w:pPr>
        <w:keepNext/>
      </w:pPr>
      <w:r w:rsidRPr="006B3D66">
        <w:rPr>
          <w:b/>
        </w:rPr>
        <w:t>Misdescribed amendments</w:t>
      </w:r>
    </w:p>
    <w:p w:rsidR="002A35C4" w:rsidRPr="006B3D66" w:rsidRDefault="002A35C4" w:rsidP="0043673D">
      <w:pPr>
        <w:spacing w:after="120"/>
      </w:pPr>
      <w:r w:rsidRPr="006B3D66">
        <w:t xml:space="preserve">A misdescribed amendment is an amendment that does not accurately describe the amendment to be made. If, despite the misdescription, the amendment can </w:t>
      </w:r>
      <w:r w:rsidRPr="006B3D66">
        <w:lastRenderedPageBreak/>
        <w:t xml:space="preserve">be given effect as intended, the amendment is incorporated into the compiled law and the abbreviation “(md)” added to the details of the amendment included in the amendment history. </w:t>
      </w:r>
    </w:p>
    <w:p w:rsidR="002A35C4" w:rsidRPr="006B3D66" w:rsidRDefault="002A35C4" w:rsidP="0043673D">
      <w:pPr>
        <w:spacing w:before="120"/>
      </w:pPr>
      <w:r w:rsidRPr="006B3D66">
        <w:t>If a misdescribed amendment cannot be given effect as intended, the abbreviation “(md not incorp)” is added to the details of the amendment included in the amendment history.</w:t>
      </w:r>
    </w:p>
    <w:p w:rsidR="00132C21" w:rsidRPr="006B3D66" w:rsidRDefault="00132C21" w:rsidP="00132C21"/>
    <w:p w:rsidR="002A35C4" w:rsidRPr="006B3D66" w:rsidRDefault="002A35C4" w:rsidP="0043673D">
      <w:pPr>
        <w:pStyle w:val="ENotesHeading2"/>
        <w:pageBreakBefore/>
        <w:outlineLvl w:val="9"/>
      </w:pPr>
      <w:bookmarkStart w:id="43" w:name="_Toc518896237"/>
      <w:r w:rsidRPr="006B3D66">
        <w:lastRenderedPageBreak/>
        <w:t>Endnote 2—Abbreviation key</w:t>
      </w:r>
      <w:bookmarkEnd w:id="43"/>
    </w:p>
    <w:p w:rsidR="002A35C4" w:rsidRPr="006B3D66" w:rsidRDefault="002A35C4" w:rsidP="0043673D">
      <w:pPr>
        <w:pStyle w:val="Tabletext"/>
      </w:pPr>
    </w:p>
    <w:tbl>
      <w:tblPr>
        <w:tblW w:w="7939" w:type="dxa"/>
        <w:tblInd w:w="108" w:type="dxa"/>
        <w:tblLayout w:type="fixed"/>
        <w:tblLook w:val="0000" w:firstRow="0" w:lastRow="0" w:firstColumn="0" w:lastColumn="0" w:noHBand="0" w:noVBand="0"/>
      </w:tblPr>
      <w:tblGrid>
        <w:gridCol w:w="4253"/>
        <w:gridCol w:w="3686"/>
      </w:tblGrid>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ad = added or inserted</w:t>
            </w:r>
          </w:p>
        </w:tc>
        <w:tc>
          <w:tcPr>
            <w:tcW w:w="3686" w:type="dxa"/>
            <w:shd w:val="clear" w:color="auto" w:fill="auto"/>
          </w:tcPr>
          <w:p w:rsidR="002A35C4" w:rsidRPr="006B3D66" w:rsidRDefault="002A35C4" w:rsidP="0043673D">
            <w:pPr>
              <w:spacing w:before="60"/>
              <w:ind w:left="34"/>
              <w:rPr>
                <w:sz w:val="20"/>
              </w:rPr>
            </w:pPr>
            <w:r w:rsidRPr="006B3D66">
              <w:rPr>
                <w:sz w:val="20"/>
              </w:rPr>
              <w:t>o = order(s)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am = amended</w:t>
            </w:r>
          </w:p>
        </w:tc>
        <w:tc>
          <w:tcPr>
            <w:tcW w:w="3686" w:type="dxa"/>
            <w:shd w:val="clear" w:color="auto" w:fill="auto"/>
          </w:tcPr>
          <w:p w:rsidR="002A35C4" w:rsidRPr="006B3D66" w:rsidRDefault="002A35C4" w:rsidP="0043673D">
            <w:pPr>
              <w:spacing w:before="60"/>
              <w:ind w:left="34"/>
              <w:rPr>
                <w:sz w:val="20"/>
              </w:rPr>
            </w:pPr>
            <w:r w:rsidRPr="006B3D66">
              <w:rPr>
                <w:sz w:val="20"/>
              </w:rPr>
              <w:t>Ord = Ordinance</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amdt = amendment</w:t>
            </w:r>
          </w:p>
        </w:tc>
        <w:tc>
          <w:tcPr>
            <w:tcW w:w="3686" w:type="dxa"/>
            <w:shd w:val="clear" w:color="auto" w:fill="auto"/>
          </w:tcPr>
          <w:p w:rsidR="002A35C4" w:rsidRPr="006B3D66" w:rsidRDefault="002A35C4" w:rsidP="0043673D">
            <w:pPr>
              <w:spacing w:before="60"/>
              <w:ind w:left="34"/>
              <w:rPr>
                <w:sz w:val="20"/>
              </w:rPr>
            </w:pPr>
            <w:r w:rsidRPr="006B3D66">
              <w:rPr>
                <w:sz w:val="20"/>
              </w:rPr>
              <w:t>orig = original</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c = clause(s)</w:t>
            </w:r>
          </w:p>
        </w:tc>
        <w:tc>
          <w:tcPr>
            <w:tcW w:w="3686" w:type="dxa"/>
            <w:shd w:val="clear" w:color="auto" w:fill="auto"/>
          </w:tcPr>
          <w:p w:rsidR="002A35C4" w:rsidRPr="006B3D66" w:rsidRDefault="002A35C4" w:rsidP="0043673D">
            <w:pPr>
              <w:spacing w:before="60"/>
              <w:ind w:left="34"/>
              <w:rPr>
                <w:sz w:val="20"/>
              </w:rPr>
            </w:pPr>
            <w:r w:rsidRPr="006B3D66">
              <w:rPr>
                <w:sz w:val="20"/>
              </w:rPr>
              <w:t>par = paragraph(s)/subparagraph(s)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C[x] = Compilation No. x</w:t>
            </w:r>
          </w:p>
        </w:tc>
        <w:tc>
          <w:tcPr>
            <w:tcW w:w="3686" w:type="dxa"/>
            <w:shd w:val="clear" w:color="auto" w:fill="auto"/>
          </w:tcPr>
          <w:p w:rsidR="002A35C4" w:rsidRPr="006B3D66" w:rsidRDefault="002A35C4" w:rsidP="0043673D">
            <w:pPr>
              <w:ind w:left="34"/>
              <w:rPr>
                <w:sz w:val="20"/>
              </w:rPr>
            </w:pPr>
            <w:r w:rsidRPr="006B3D66">
              <w:rPr>
                <w:sz w:val="20"/>
              </w:rPr>
              <w:t xml:space="preserve">    /sub</w:t>
            </w:r>
            <w:r w:rsidR="006B3D66">
              <w:rPr>
                <w:sz w:val="20"/>
              </w:rPr>
              <w:noBreakHyphen/>
            </w:r>
            <w:r w:rsidRPr="006B3D66">
              <w:rPr>
                <w:sz w:val="20"/>
              </w:rPr>
              <w:t>subparagraph(s)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Ch = Chapter(s)</w:t>
            </w:r>
          </w:p>
        </w:tc>
        <w:tc>
          <w:tcPr>
            <w:tcW w:w="3686" w:type="dxa"/>
            <w:shd w:val="clear" w:color="auto" w:fill="auto"/>
          </w:tcPr>
          <w:p w:rsidR="002A35C4" w:rsidRPr="006B3D66" w:rsidRDefault="002A35C4" w:rsidP="0043673D">
            <w:pPr>
              <w:spacing w:before="60"/>
              <w:ind w:left="34"/>
              <w:rPr>
                <w:sz w:val="20"/>
              </w:rPr>
            </w:pPr>
            <w:r w:rsidRPr="006B3D66">
              <w:rPr>
                <w:sz w:val="20"/>
              </w:rPr>
              <w:t>pres = present</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def = definition(s)</w:t>
            </w:r>
          </w:p>
        </w:tc>
        <w:tc>
          <w:tcPr>
            <w:tcW w:w="3686" w:type="dxa"/>
            <w:shd w:val="clear" w:color="auto" w:fill="auto"/>
          </w:tcPr>
          <w:p w:rsidR="002A35C4" w:rsidRPr="006B3D66" w:rsidRDefault="002A35C4" w:rsidP="0043673D">
            <w:pPr>
              <w:spacing w:before="60"/>
              <w:ind w:left="34"/>
              <w:rPr>
                <w:sz w:val="20"/>
              </w:rPr>
            </w:pPr>
            <w:r w:rsidRPr="006B3D66">
              <w:rPr>
                <w:sz w:val="20"/>
              </w:rPr>
              <w:t>prev = previous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Dict = Dictionary</w:t>
            </w:r>
          </w:p>
        </w:tc>
        <w:tc>
          <w:tcPr>
            <w:tcW w:w="3686" w:type="dxa"/>
            <w:shd w:val="clear" w:color="auto" w:fill="auto"/>
          </w:tcPr>
          <w:p w:rsidR="002A35C4" w:rsidRPr="006B3D66" w:rsidRDefault="002A35C4" w:rsidP="0043673D">
            <w:pPr>
              <w:spacing w:before="60"/>
              <w:ind w:left="34"/>
              <w:rPr>
                <w:sz w:val="20"/>
              </w:rPr>
            </w:pPr>
            <w:r w:rsidRPr="006B3D66">
              <w:rPr>
                <w:sz w:val="20"/>
              </w:rPr>
              <w:t>(prev…) = previously</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disallowed = disallowed by Parliament</w:t>
            </w:r>
          </w:p>
        </w:tc>
        <w:tc>
          <w:tcPr>
            <w:tcW w:w="3686" w:type="dxa"/>
            <w:shd w:val="clear" w:color="auto" w:fill="auto"/>
          </w:tcPr>
          <w:p w:rsidR="002A35C4" w:rsidRPr="006B3D66" w:rsidRDefault="002A35C4" w:rsidP="0043673D">
            <w:pPr>
              <w:spacing w:before="60"/>
              <w:ind w:left="34"/>
              <w:rPr>
                <w:sz w:val="20"/>
              </w:rPr>
            </w:pPr>
            <w:r w:rsidRPr="006B3D66">
              <w:rPr>
                <w:sz w:val="20"/>
              </w:rPr>
              <w:t>Pt = Part(s)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Div = Division(s)</w:t>
            </w:r>
          </w:p>
        </w:tc>
        <w:tc>
          <w:tcPr>
            <w:tcW w:w="3686" w:type="dxa"/>
            <w:shd w:val="clear" w:color="auto" w:fill="auto"/>
          </w:tcPr>
          <w:p w:rsidR="002A35C4" w:rsidRPr="006B3D66" w:rsidRDefault="002A35C4" w:rsidP="0043673D">
            <w:pPr>
              <w:spacing w:before="60"/>
              <w:ind w:left="34"/>
              <w:rPr>
                <w:sz w:val="20"/>
              </w:rPr>
            </w:pPr>
            <w:r w:rsidRPr="006B3D66">
              <w:rPr>
                <w:sz w:val="20"/>
              </w:rPr>
              <w:t>r = regulation(s)/rule(s)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ed = editorial change</w:t>
            </w:r>
          </w:p>
        </w:tc>
        <w:tc>
          <w:tcPr>
            <w:tcW w:w="3686" w:type="dxa"/>
            <w:shd w:val="clear" w:color="auto" w:fill="auto"/>
          </w:tcPr>
          <w:p w:rsidR="002A35C4" w:rsidRPr="006B3D66" w:rsidRDefault="002A35C4" w:rsidP="0043673D">
            <w:pPr>
              <w:spacing w:before="60"/>
              <w:ind w:left="34"/>
              <w:rPr>
                <w:sz w:val="20"/>
              </w:rPr>
            </w:pPr>
            <w:r w:rsidRPr="006B3D66">
              <w:rPr>
                <w:sz w:val="20"/>
              </w:rPr>
              <w:t>reloc = relocated</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exp = expires/expired or ceases/ceased to have</w:t>
            </w:r>
          </w:p>
        </w:tc>
        <w:tc>
          <w:tcPr>
            <w:tcW w:w="3686" w:type="dxa"/>
            <w:shd w:val="clear" w:color="auto" w:fill="auto"/>
          </w:tcPr>
          <w:p w:rsidR="002A35C4" w:rsidRPr="006B3D66" w:rsidRDefault="002A35C4" w:rsidP="0043673D">
            <w:pPr>
              <w:spacing w:before="60"/>
              <w:ind w:left="34"/>
              <w:rPr>
                <w:sz w:val="20"/>
              </w:rPr>
            </w:pPr>
            <w:r w:rsidRPr="006B3D66">
              <w:rPr>
                <w:sz w:val="20"/>
              </w:rPr>
              <w:t>renum = renumbered</w:t>
            </w:r>
          </w:p>
        </w:tc>
      </w:tr>
      <w:tr w:rsidR="002A35C4" w:rsidRPr="006B3D66" w:rsidTr="0043673D">
        <w:tc>
          <w:tcPr>
            <w:tcW w:w="4253" w:type="dxa"/>
            <w:shd w:val="clear" w:color="auto" w:fill="auto"/>
          </w:tcPr>
          <w:p w:rsidR="002A35C4" w:rsidRPr="006B3D66" w:rsidRDefault="002A35C4" w:rsidP="0043673D">
            <w:pPr>
              <w:ind w:left="34"/>
              <w:rPr>
                <w:sz w:val="20"/>
              </w:rPr>
            </w:pPr>
            <w:r w:rsidRPr="006B3D66">
              <w:rPr>
                <w:sz w:val="20"/>
              </w:rPr>
              <w:t xml:space="preserve">    effect</w:t>
            </w:r>
          </w:p>
        </w:tc>
        <w:tc>
          <w:tcPr>
            <w:tcW w:w="3686" w:type="dxa"/>
            <w:shd w:val="clear" w:color="auto" w:fill="auto"/>
          </w:tcPr>
          <w:p w:rsidR="002A35C4" w:rsidRPr="006B3D66" w:rsidRDefault="002A35C4" w:rsidP="0043673D">
            <w:pPr>
              <w:spacing w:before="60"/>
              <w:ind w:left="34"/>
              <w:rPr>
                <w:sz w:val="20"/>
              </w:rPr>
            </w:pPr>
            <w:r w:rsidRPr="006B3D66">
              <w:rPr>
                <w:sz w:val="20"/>
              </w:rPr>
              <w:t>rep = repealed</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F = Federal Register of Legislation</w:t>
            </w:r>
          </w:p>
        </w:tc>
        <w:tc>
          <w:tcPr>
            <w:tcW w:w="3686" w:type="dxa"/>
            <w:shd w:val="clear" w:color="auto" w:fill="auto"/>
          </w:tcPr>
          <w:p w:rsidR="002A35C4" w:rsidRPr="006B3D66" w:rsidRDefault="002A35C4" w:rsidP="0043673D">
            <w:pPr>
              <w:spacing w:before="60"/>
              <w:ind w:left="34"/>
              <w:rPr>
                <w:sz w:val="20"/>
              </w:rPr>
            </w:pPr>
            <w:r w:rsidRPr="006B3D66">
              <w:rPr>
                <w:sz w:val="20"/>
              </w:rPr>
              <w:t>rs = repealed and substituted</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gaz = gazette</w:t>
            </w:r>
          </w:p>
        </w:tc>
        <w:tc>
          <w:tcPr>
            <w:tcW w:w="3686" w:type="dxa"/>
            <w:shd w:val="clear" w:color="auto" w:fill="auto"/>
          </w:tcPr>
          <w:p w:rsidR="002A35C4" w:rsidRPr="006B3D66" w:rsidRDefault="002A35C4" w:rsidP="0043673D">
            <w:pPr>
              <w:spacing w:before="60"/>
              <w:ind w:left="34"/>
              <w:rPr>
                <w:sz w:val="20"/>
              </w:rPr>
            </w:pPr>
            <w:r w:rsidRPr="006B3D66">
              <w:rPr>
                <w:sz w:val="20"/>
              </w:rPr>
              <w:t>s = section(s)/subsection(s)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 xml:space="preserve">LA = </w:t>
            </w:r>
            <w:r w:rsidRPr="006B3D66">
              <w:rPr>
                <w:i/>
                <w:sz w:val="20"/>
              </w:rPr>
              <w:t>Legislation Act 2003</w:t>
            </w:r>
          </w:p>
        </w:tc>
        <w:tc>
          <w:tcPr>
            <w:tcW w:w="3686" w:type="dxa"/>
            <w:shd w:val="clear" w:color="auto" w:fill="auto"/>
          </w:tcPr>
          <w:p w:rsidR="002A35C4" w:rsidRPr="006B3D66" w:rsidRDefault="002A35C4" w:rsidP="0043673D">
            <w:pPr>
              <w:spacing w:before="60"/>
              <w:ind w:left="34"/>
              <w:rPr>
                <w:sz w:val="20"/>
              </w:rPr>
            </w:pPr>
            <w:r w:rsidRPr="006B3D66">
              <w:rPr>
                <w:sz w:val="20"/>
              </w:rPr>
              <w:t>Sch = Schedule(s)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 xml:space="preserve">LIA = </w:t>
            </w:r>
            <w:r w:rsidRPr="006B3D66">
              <w:rPr>
                <w:i/>
                <w:sz w:val="20"/>
              </w:rPr>
              <w:t>Legislative Instruments Act 2003</w:t>
            </w:r>
          </w:p>
        </w:tc>
        <w:tc>
          <w:tcPr>
            <w:tcW w:w="3686" w:type="dxa"/>
            <w:shd w:val="clear" w:color="auto" w:fill="auto"/>
          </w:tcPr>
          <w:p w:rsidR="002A35C4" w:rsidRPr="006B3D66" w:rsidRDefault="002A35C4" w:rsidP="0043673D">
            <w:pPr>
              <w:spacing w:before="60"/>
              <w:ind w:left="34"/>
              <w:rPr>
                <w:sz w:val="20"/>
              </w:rPr>
            </w:pPr>
            <w:r w:rsidRPr="006B3D66">
              <w:rPr>
                <w:sz w:val="20"/>
              </w:rPr>
              <w:t>Sdiv = Subdivision(s)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(md) = misdescribed amendment can be given</w:t>
            </w:r>
          </w:p>
        </w:tc>
        <w:tc>
          <w:tcPr>
            <w:tcW w:w="3686" w:type="dxa"/>
            <w:shd w:val="clear" w:color="auto" w:fill="auto"/>
          </w:tcPr>
          <w:p w:rsidR="002A35C4" w:rsidRPr="006B3D66" w:rsidRDefault="002A35C4" w:rsidP="0043673D">
            <w:pPr>
              <w:spacing w:before="60"/>
              <w:ind w:left="34"/>
              <w:rPr>
                <w:sz w:val="20"/>
              </w:rPr>
            </w:pPr>
            <w:r w:rsidRPr="006B3D66">
              <w:rPr>
                <w:sz w:val="20"/>
              </w:rPr>
              <w:t>SLI = Select Legislative Instrument</w:t>
            </w:r>
          </w:p>
        </w:tc>
      </w:tr>
      <w:tr w:rsidR="002A35C4" w:rsidRPr="006B3D66" w:rsidTr="0043673D">
        <w:tc>
          <w:tcPr>
            <w:tcW w:w="4253" w:type="dxa"/>
            <w:shd w:val="clear" w:color="auto" w:fill="auto"/>
          </w:tcPr>
          <w:p w:rsidR="002A35C4" w:rsidRPr="006B3D66" w:rsidRDefault="002A35C4" w:rsidP="0043673D">
            <w:pPr>
              <w:ind w:left="34"/>
              <w:rPr>
                <w:sz w:val="20"/>
              </w:rPr>
            </w:pPr>
            <w:r w:rsidRPr="006B3D66">
              <w:rPr>
                <w:sz w:val="20"/>
              </w:rPr>
              <w:t xml:space="preserve">    effect</w:t>
            </w:r>
          </w:p>
        </w:tc>
        <w:tc>
          <w:tcPr>
            <w:tcW w:w="3686" w:type="dxa"/>
            <w:shd w:val="clear" w:color="auto" w:fill="auto"/>
          </w:tcPr>
          <w:p w:rsidR="002A35C4" w:rsidRPr="006B3D66" w:rsidRDefault="002A35C4" w:rsidP="0043673D">
            <w:pPr>
              <w:spacing w:before="60"/>
              <w:ind w:left="34"/>
              <w:rPr>
                <w:sz w:val="20"/>
              </w:rPr>
            </w:pPr>
            <w:r w:rsidRPr="006B3D66">
              <w:rPr>
                <w:sz w:val="20"/>
              </w:rPr>
              <w:t>SR = Statutory Rules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(md not incorp) = misdescribed amendment</w:t>
            </w:r>
          </w:p>
        </w:tc>
        <w:tc>
          <w:tcPr>
            <w:tcW w:w="3686" w:type="dxa"/>
            <w:shd w:val="clear" w:color="auto" w:fill="auto"/>
          </w:tcPr>
          <w:p w:rsidR="002A35C4" w:rsidRPr="006B3D66" w:rsidRDefault="002A35C4" w:rsidP="0043673D">
            <w:pPr>
              <w:spacing w:before="60"/>
              <w:ind w:left="34"/>
              <w:rPr>
                <w:sz w:val="20"/>
              </w:rPr>
            </w:pPr>
            <w:r w:rsidRPr="006B3D66">
              <w:rPr>
                <w:sz w:val="20"/>
              </w:rPr>
              <w:t>Sub</w:t>
            </w:r>
            <w:r w:rsidR="006B3D66">
              <w:rPr>
                <w:sz w:val="20"/>
              </w:rPr>
              <w:noBreakHyphen/>
            </w:r>
            <w:r w:rsidRPr="006B3D66">
              <w:rPr>
                <w:sz w:val="20"/>
              </w:rPr>
              <w:t>Ch = Sub</w:t>
            </w:r>
            <w:r w:rsidR="006B3D66">
              <w:rPr>
                <w:sz w:val="20"/>
              </w:rPr>
              <w:noBreakHyphen/>
            </w:r>
            <w:r w:rsidRPr="006B3D66">
              <w:rPr>
                <w:sz w:val="20"/>
              </w:rPr>
              <w:t>Chapter(s)</w:t>
            </w:r>
          </w:p>
        </w:tc>
      </w:tr>
      <w:tr w:rsidR="002A35C4" w:rsidRPr="006B3D66" w:rsidTr="0043673D">
        <w:tc>
          <w:tcPr>
            <w:tcW w:w="4253" w:type="dxa"/>
            <w:shd w:val="clear" w:color="auto" w:fill="auto"/>
          </w:tcPr>
          <w:p w:rsidR="002A35C4" w:rsidRPr="006B3D66" w:rsidRDefault="002A35C4" w:rsidP="0043673D">
            <w:pPr>
              <w:ind w:left="34"/>
              <w:rPr>
                <w:sz w:val="20"/>
              </w:rPr>
            </w:pPr>
            <w:r w:rsidRPr="006B3D66">
              <w:rPr>
                <w:sz w:val="20"/>
              </w:rPr>
              <w:t xml:space="preserve">    cannot be given effect</w:t>
            </w:r>
          </w:p>
        </w:tc>
        <w:tc>
          <w:tcPr>
            <w:tcW w:w="3686" w:type="dxa"/>
            <w:shd w:val="clear" w:color="auto" w:fill="auto"/>
          </w:tcPr>
          <w:p w:rsidR="002A35C4" w:rsidRPr="006B3D66" w:rsidRDefault="002A35C4" w:rsidP="0043673D">
            <w:pPr>
              <w:spacing w:before="60"/>
              <w:ind w:left="34"/>
              <w:rPr>
                <w:sz w:val="20"/>
              </w:rPr>
            </w:pPr>
            <w:r w:rsidRPr="006B3D66">
              <w:rPr>
                <w:sz w:val="20"/>
              </w:rPr>
              <w:t>SubPt = Subpart(s)</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mod = modified/modification</w:t>
            </w:r>
          </w:p>
        </w:tc>
        <w:tc>
          <w:tcPr>
            <w:tcW w:w="3686" w:type="dxa"/>
            <w:shd w:val="clear" w:color="auto" w:fill="auto"/>
          </w:tcPr>
          <w:p w:rsidR="002A35C4" w:rsidRPr="006B3D66" w:rsidRDefault="002A35C4" w:rsidP="0043673D">
            <w:pPr>
              <w:spacing w:before="60"/>
              <w:ind w:left="34"/>
              <w:rPr>
                <w:sz w:val="20"/>
              </w:rPr>
            </w:pPr>
            <w:r w:rsidRPr="006B3D66">
              <w:rPr>
                <w:sz w:val="20"/>
                <w:u w:val="single"/>
              </w:rPr>
              <w:t>underlining</w:t>
            </w:r>
            <w:r w:rsidRPr="006B3D66">
              <w:rPr>
                <w:sz w:val="20"/>
              </w:rPr>
              <w:t xml:space="preserve"> = whole or part not</w:t>
            </w:r>
          </w:p>
        </w:tc>
      </w:tr>
      <w:tr w:rsidR="002A35C4" w:rsidRPr="006B3D66" w:rsidTr="0043673D">
        <w:tc>
          <w:tcPr>
            <w:tcW w:w="4253" w:type="dxa"/>
            <w:shd w:val="clear" w:color="auto" w:fill="auto"/>
          </w:tcPr>
          <w:p w:rsidR="002A35C4" w:rsidRPr="006B3D66" w:rsidRDefault="002A35C4" w:rsidP="0043673D">
            <w:pPr>
              <w:spacing w:before="60"/>
              <w:ind w:left="34"/>
              <w:rPr>
                <w:sz w:val="20"/>
              </w:rPr>
            </w:pPr>
            <w:r w:rsidRPr="006B3D66">
              <w:rPr>
                <w:sz w:val="20"/>
              </w:rPr>
              <w:t>No. = Number(s)</w:t>
            </w:r>
          </w:p>
        </w:tc>
        <w:tc>
          <w:tcPr>
            <w:tcW w:w="3686" w:type="dxa"/>
            <w:shd w:val="clear" w:color="auto" w:fill="auto"/>
          </w:tcPr>
          <w:p w:rsidR="002A35C4" w:rsidRPr="006B3D66" w:rsidRDefault="002A35C4" w:rsidP="0043673D">
            <w:pPr>
              <w:ind w:left="34"/>
              <w:rPr>
                <w:sz w:val="20"/>
              </w:rPr>
            </w:pPr>
            <w:r w:rsidRPr="006B3D66">
              <w:rPr>
                <w:sz w:val="20"/>
              </w:rPr>
              <w:t xml:space="preserve">    commenced or to be commenced</w:t>
            </w:r>
          </w:p>
        </w:tc>
      </w:tr>
    </w:tbl>
    <w:p w:rsidR="001E0FAC" w:rsidRPr="006B3D66" w:rsidRDefault="001E0FAC" w:rsidP="001E0FAC">
      <w:pPr>
        <w:pStyle w:val="Tabletext"/>
      </w:pPr>
    </w:p>
    <w:p w:rsidR="005B73E9" w:rsidRPr="006B3D66" w:rsidRDefault="005B73E9" w:rsidP="008222BE">
      <w:pPr>
        <w:pStyle w:val="ENotesHeading2"/>
        <w:pageBreakBefore/>
        <w:outlineLvl w:val="9"/>
      </w:pPr>
      <w:bookmarkStart w:id="44" w:name="_Toc518896238"/>
      <w:r w:rsidRPr="006B3D66">
        <w:lastRenderedPageBreak/>
        <w:t>Endnote 3—Legislation history</w:t>
      </w:r>
      <w:bookmarkEnd w:id="44"/>
    </w:p>
    <w:p w:rsidR="005B73E9" w:rsidRPr="006B3D66" w:rsidRDefault="005B73E9" w:rsidP="00E73C6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20"/>
      </w:tblGrid>
      <w:tr w:rsidR="005B73E9" w:rsidRPr="006B3D66" w:rsidTr="00F725C7">
        <w:trPr>
          <w:cantSplit/>
          <w:tblHeader/>
        </w:trPr>
        <w:tc>
          <w:tcPr>
            <w:tcW w:w="1843" w:type="dxa"/>
            <w:tcBorders>
              <w:top w:val="single" w:sz="12" w:space="0" w:color="auto"/>
              <w:bottom w:val="single" w:sz="12" w:space="0" w:color="auto"/>
            </w:tcBorders>
            <w:shd w:val="clear" w:color="auto" w:fill="auto"/>
          </w:tcPr>
          <w:p w:rsidR="005B73E9" w:rsidRPr="006B3D66" w:rsidRDefault="005B73E9" w:rsidP="00E73C62">
            <w:pPr>
              <w:pStyle w:val="ENoteTableHeading"/>
            </w:pPr>
            <w:r w:rsidRPr="006B3D66">
              <w:t>Act</w:t>
            </w:r>
          </w:p>
        </w:tc>
        <w:tc>
          <w:tcPr>
            <w:tcW w:w="992" w:type="dxa"/>
            <w:tcBorders>
              <w:top w:val="single" w:sz="12" w:space="0" w:color="auto"/>
              <w:bottom w:val="single" w:sz="12" w:space="0" w:color="auto"/>
            </w:tcBorders>
            <w:shd w:val="clear" w:color="auto" w:fill="auto"/>
          </w:tcPr>
          <w:p w:rsidR="005B73E9" w:rsidRPr="006B3D66" w:rsidRDefault="005B73E9" w:rsidP="00E73C62">
            <w:pPr>
              <w:pStyle w:val="ENoteTableHeading"/>
            </w:pPr>
            <w:r w:rsidRPr="006B3D66">
              <w:t>Number and year</w:t>
            </w:r>
          </w:p>
        </w:tc>
        <w:tc>
          <w:tcPr>
            <w:tcW w:w="993" w:type="dxa"/>
            <w:tcBorders>
              <w:top w:val="single" w:sz="12" w:space="0" w:color="auto"/>
              <w:bottom w:val="single" w:sz="12" w:space="0" w:color="auto"/>
            </w:tcBorders>
            <w:shd w:val="clear" w:color="auto" w:fill="auto"/>
          </w:tcPr>
          <w:p w:rsidR="005B73E9" w:rsidRPr="006B3D66" w:rsidRDefault="005B73E9" w:rsidP="00E73C62">
            <w:pPr>
              <w:pStyle w:val="ENoteTableHeading"/>
            </w:pPr>
            <w:r w:rsidRPr="006B3D66">
              <w:t>Assent</w:t>
            </w:r>
          </w:p>
        </w:tc>
        <w:tc>
          <w:tcPr>
            <w:tcW w:w="1845" w:type="dxa"/>
            <w:tcBorders>
              <w:top w:val="single" w:sz="12" w:space="0" w:color="auto"/>
              <w:bottom w:val="single" w:sz="12" w:space="0" w:color="auto"/>
            </w:tcBorders>
            <w:shd w:val="clear" w:color="auto" w:fill="auto"/>
          </w:tcPr>
          <w:p w:rsidR="005B73E9" w:rsidRPr="006B3D66" w:rsidRDefault="005B73E9" w:rsidP="00E73C62">
            <w:pPr>
              <w:pStyle w:val="ENoteTableHeading"/>
            </w:pPr>
            <w:r w:rsidRPr="006B3D66">
              <w:t>Commencement</w:t>
            </w:r>
          </w:p>
        </w:tc>
        <w:tc>
          <w:tcPr>
            <w:tcW w:w="1420" w:type="dxa"/>
            <w:tcBorders>
              <w:top w:val="single" w:sz="12" w:space="0" w:color="auto"/>
              <w:bottom w:val="single" w:sz="12" w:space="0" w:color="auto"/>
            </w:tcBorders>
            <w:shd w:val="clear" w:color="auto" w:fill="auto"/>
          </w:tcPr>
          <w:p w:rsidR="005B73E9" w:rsidRPr="006B3D66" w:rsidRDefault="005B73E9" w:rsidP="00E73C62">
            <w:pPr>
              <w:pStyle w:val="ENoteTableHeading"/>
            </w:pPr>
            <w:r w:rsidRPr="006B3D66">
              <w:t>Application, saving and transitional provisions</w:t>
            </w:r>
          </w:p>
        </w:tc>
      </w:tr>
      <w:tr w:rsidR="00CA4F5D" w:rsidRPr="006B3D66" w:rsidTr="00F725C7">
        <w:trPr>
          <w:cantSplit/>
        </w:trPr>
        <w:tc>
          <w:tcPr>
            <w:tcW w:w="1843" w:type="dxa"/>
            <w:tcBorders>
              <w:top w:val="single" w:sz="12" w:space="0" w:color="auto"/>
              <w:bottom w:val="single" w:sz="4" w:space="0" w:color="auto"/>
            </w:tcBorders>
            <w:shd w:val="clear" w:color="auto" w:fill="auto"/>
          </w:tcPr>
          <w:p w:rsidR="00CA4F5D" w:rsidRPr="006B3D66" w:rsidRDefault="00CA4F5D" w:rsidP="001E3C94">
            <w:pPr>
              <w:pStyle w:val="ENoteTableText"/>
            </w:pPr>
            <w:r w:rsidRPr="006B3D66">
              <w:t>Independent National Security Legislation Monitor Act 2010</w:t>
            </w:r>
          </w:p>
        </w:tc>
        <w:tc>
          <w:tcPr>
            <w:tcW w:w="992" w:type="dxa"/>
            <w:tcBorders>
              <w:top w:val="single" w:sz="12" w:space="0" w:color="auto"/>
              <w:bottom w:val="single" w:sz="4" w:space="0" w:color="auto"/>
            </w:tcBorders>
            <w:shd w:val="clear" w:color="auto" w:fill="auto"/>
          </w:tcPr>
          <w:p w:rsidR="00CA4F5D" w:rsidRPr="006B3D66" w:rsidRDefault="00CA4F5D" w:rsidP="001E3C94">
            <w:pPr>
              <w:pStyle w:val="ENoteTableText"/>
            </w:pPr>
            <w:r w:rsidRPr="006B3D66">
              <w:t>32, 2010</w:t>
            </w:r>
          </w:p>
        </w:tc>
        <w:tc>
          <w:tcPr>
            <w:tcW w:w="993" w:type="dxa"/>
            <w:tcBorders>
              <w:top w:val="single" w:sz="12" w:space="0" w:color="auto"/>
              <w:bottom w:val="single" w:sz="4" w:space="0" w:color="auto"/>
            </w:tcBorders>
            <w:shd w:val="clear" w:color="auto" w:fill="auto"/>
          </w:tcPr>
          <w:p w:rsidR="00CA4F5D" w:rsidRPr="006B3D66" w:rsidRDefault="00CA4F5D" w:rsidP="001E3C94">
            <w:pPr>
              <w:pStyle w:val="ENoteTableText"/>
            </w:pPr>
            <w:r w:rsidRPr="006B3D66">
              <w:t>13 Apr 2010</w:t>
            </w:r>
          </w:p>
        </w:tc>
        <w:tc>
          <w:tcPr>
            <w:tcW w:w="1845" w:type="dxa"/>
            <w:tcBorders>
              <w:top w:val="single" w:sz="12" w:space="0" w:color="auto"/>
              <w:bottom w:val="single" w:sz="4" w:space="0" w:color="auto"/>
            </w:tcBorders>
            <w:shd w:val="clear" w:color="auto" w:fill="auto"/>
          </w:tcPr>
          <w:p w:rsidR="00CA4F5D" w:rsidRPr="006B3D66" w:rsidRDefault="00CA4F5D" w:rsidP="001E3C94">
            <w:pPr>
              <w:pStyle w:val="ENoteTableText"/>
            </w:pPr>
            <w:r w:rsidRPr="006B3D66">
              <w:t>14 Apr 2010</w:t>
            </w:r>
            <w:r w:rsidR="00760453" w:rsidRPr="006B3D66">
              <w:t xml:space="preserve"> (s 2)</w:t>
            </w:r>
          </w:p>
        </w:tc>
        <w:tc>
          <w:tcPr>
            <w:tcW w:w="1420" w:type="dxa"/>
            <w:tcBorders>
              <w:top w:val="single" w:sz="12" w:space="0" w:color="auto"/>
              <w:bottom w:val="single" w:sz="4" w:space="0" w:color="auto"/>
            </w:tcBorders>
            <w:shd w:val="clear" w:color="auto" w:fill="auto"/>
          </w:tcPr>
          <w:p w:rsidR="00CA4F5D" w:rsidRPr="006B3D66" w:rsidRDefault="00CA4F5D" w:rsidP="001E3C94">
            <w:pPr>
              <w:pStyle w:val="ENoteTableText"/>
            </w:pPr>
          </w:p>
        </w:tc>
      </w:tr>
      <w:tr w:rsidR="00CA4F5D" w:rsidRPr="006B3D66" w:rsidTr="00F725C7">
        <w:trPr>
          <w:cantSplit/>
        </w:trPr>
        <w:tc>
          <w:tcPr>
            <w:tcW w:w="1843"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t>Statute Law Revision Act 2011</w:t>
            </w:r>
          </w:p>
        </w:tc>
        <w:tc>
          <w:tcPr>
            <w:tcW w:w="992"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t>5, 2011</w:t>
            </w:r>
          </w:p>
        </w:tc>
        <w:tc>
          <w:tcPr>
            <w:tcW w:w="993"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t>22 Mar 2011</w:t>
            </w:r>
          </w:p>
        </w:tc>
        <w:tc>
          <w:tcPr>
            <w:tcW w:w="1845" w:type="dxa"/>
            <w:tcBorders>
              <w:top w:val="single" w:sz="4" w:space="0" w:color="auto"/>
              <w:bottom w:val="single" w:sz="4" w:space="0" w:color="auto"/>
            </w:tcBorders>
            <w:shd w:val="clear" w:color="auto" w:fill="auto"/>
          </w:tcPr>
          <w:p w:rsidR="00CA4F5D" w:rsidRPr="006B3D66" w:rsidRDefault="00CA4F5D" w:rsidP="00760453">
            <w:pPr>
              <w:pStyle w:val="ENoteTableText"/>
            </w:pPr>
            <w:r w:rsidRPr="006B3D66">
              <w:t>Sch 6 (items</w:t>
            </w:r>
            <w:r w:rsidR="006B3D66">
              <w:t> </w:t>
            </w:r>
            <w:r w:rsidRPr="006B3D66">
              <w:t>51–53): 19 Apr 2011</w:t>
            </w:r>
            <w:r w:rsidR="00760453" w:rsidRPr="006B3D66">
              <w:t xml:space="preserve"> (s 2(1) item</w:t>
            </w:r>
            <w:r w:rsidR="006B3D66">
              <w:t> </w:t>
            </w:r>
            <w:r w:rsidR="00760453" w:rsidRPr="006B3D66">
              <w:t>15)</w:t>
            </w:r>
          </w:p>
        </w:tc>
        <w:tc>
          <w:tcPr>
            <w:tcW w:w="1420"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t>—</w:t>
            </w:r>
          </w:p>
        </w:tc>
      </w:tr>
      <w:tr w:rsidR="00CA4F5D" w:rsidRPr="006B3D66" w:rsidTr="00F725C7">
        <w:trPr>
          <w:cantSplit/>
        </w:trPr>
        <w:tc>
          <w:tcPr>
            <w:tcW w:w="1843"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t>Acts Interpretation Amendment Act 2011</w:t>
            </w:r>
          </w:p>
        </w:tc>
        <w:tc>
          <w:tcPr>
            <w:tcW w:w="992"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t>46, 2011</w:t>
            </w:r>
          </w:p>
        </w:tc>
        <w:tc>
          <w:tcPr>
            <w:tcW w:w="993"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t>27</w:t>
            </w:r>
            <w:r w:rsidR="006B3D66">
              <w:t> </w:t>
            </w:r>
            <w:r w:rsidRPr="006B3D66">
              <w:t>June 2011</w:t>
            </w:r>
          </w:p>
        </w:tc>
        <w:tc>
          <w:tcPr>
            <w:tcW w:w="1845" w:type="dxa"/>
            <w:tcBorders>
              <w:top w:val="single" w:sz="4" w:space="0" w:color="auto"/>
              <w:bottom w:val="single" w:sz="4" w:space="0" w:color="auto"/>
            </w:tcBorders>
            <w:shd w:val="clear" w:color="auto" w:fill="auto"/>
          </w:tcPr>
          <w:p w:rsidR="00CA4F5D" w:rsidRPr="006B3D66" w:rsidRDefault="00CA4F5D" w:rsidP="00760453">
            <w:pPr>
              <w:pStyle w:val="ENoteTableText"/>
            </w:pPr>
            <w:r w:rsidRPr="006B3D66">
              <w:t>Sch 2 (items</w:t>
            </w:r>
            <w:r w:rsidR="006B3D66">
              <w:t> </w:t>
            </w:r>
            <w:r w:rsidRPr="006B3D66">
              <w:t>699–701) and Sch 3 (items</w:t>
            </w:r>
            <w:r w:rsidR="006B3D66">
              <w:t> </w:t>
            </w:r>
            <w:r w:rsidRPr="006B3D66">
              <w:t>10, 11): 27 Dec 2011</w:t>
            </w:r>
            <w:r w:rsidR="00760453" w:rsidRPr="006B3D66">
              <w:t xml:space="preserve"> (s 2(1) items</w:t>
            </w:r>
            <w:r w:rsidR="006B3D66">
              <w:t> </w:t>
            </w:r>
            <w:r w:rsidR="00760453" w:rsidRPr="006B3D66">
              <w:t>5, 12)</w:t>
            </w:r>
          </w:p>
        </w:tc>
        <w:tc>
          <w:tcPr>
            <w:tcW w:w="1420" w:type="dxa"/>
            <w:tcBorders>
              <w:top w:val="single" w:sz="4" w:space="0" w:color="auto"/>
              <w:bottom w:val="single" w:sz="4" w:space="0" w:color="auto"/>
            </w:tcBorders>
            <w:shd w:val="clear" w:color="auto" w:fill="auto"/>
          </w:tcPr>
          <w:p w:rsidR="00CA4F5D" w:rsidRPr="006B3D66" w:rsidRDefault="00CA4F5D" w:rsidP="00760453">
            <w:pPr>
              <w:pStyle w:val="ENoteTableText"/>
            </w:pPr>
            <w:r w:rsidRPr="006B3D66">
              <w:t>Sch 3 (items</w:t>
            </w:r>
            <w:r w:rsidR="006B3D66">
              <w:t> </w:t>
            </w:r>
            <w:r w:rsidRPr="006B3D66">
              <w:t>10, 11)</w:t>
            </w:r>
          </w:p>
        </w:tc>
      </w:tr>
      <w:tr w:rsidR="00CA4F5D" w:rsidRPr="006B3D66" w:rsidTr="00F725C7">
        <w:trPr>
          <w:cantSplit/>
        </w:trPr>
        <w:tc>
          <w:tcPr>
            <w:tcW w:w="1843"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rPr>
                <w:szCs w:val="16"/>
              </w:rPr>
              <w:t>National Security Legislation Amendment Act (No.</w:t>
            </w:r>
            <w:r w:rsidR="006B3D66">
              <w:rPr>
                <w:szCs w:val="16"/>
              </w:rPr>
              <w:t> </w:t>
            </w:r>
            <w:r w:rsidRPr="006B3D66">
              <w:rPr>
                <w:szCs w:val="16"/>
              </w:rPr>
              <w:t>1) 2014</w:t>
            </w:r>
          </w:p>
        </w:tc>
        <w:tc>
          <w:tcPr>
            <w:tcW w:w="992"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rPr>
                <w:szCs w:val="16"/>
              </w:rPr>
              <w:t>108, 2014</w:t>
            </w:r>
          </w:p>
        </w:tc>
        <w:tc>
          <w:tcPr>
            <w:tcW w:w="993"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rPr>
                <w:szCs w:val="16"/>
              </w:rPr>
              <w:t>2 Oct 2014</w:t>
            </w:r>
          </w:p>
        </w:tc>
        <w:tc>
          <w:tcPr>
            <w:tcW w:w="1845" w:type="dxa"/>
            <w:tcBorders>
              <w:top w:val="single" w:sz="4" w:space="0" w:color="auto"/>
              <w:bottom w:val="single" w:sz="4" w:space="0" w:color="auto"/>
            </w:tcBorders>
            <w:shd w:val="clear" w:color="auto" w:fill="auto"/>
          </w:tcPr>
          <w:p w:rsidR="00CA4F5D" w:rsidRPr="006B3D66" w:rsidRDefault="00CA4F5D" w:rsidP="00964E53">
            <w:pPr>
              <w:pStyle w:val="ENoteTableText"/>
            </w:pPr>
            <w:r w:rsidRPr="006B3D66">
              <w:rPr>
                <w:szCs w:val="16"/>
              </w:rPr>
              <w:t>Sch 7 (items</w:t>
            </w:r>
            <w:r w:rsidR="006B3D66">
              <w:rPr>
                <w:szCs w:val="16"/>
              </w:rPr>
              <w:t> </w:t>
            </w:r>
            <w:r w:rsidRPr="006B3D66">
              <w:rPr>
                <w:szCs w:val="16"/>
              </w:rPr>
              <w:t>11</w:t>
            </w:r>
            <w:r w:rsidR="00964E53" w:rsidRPr="006B3D66">
              <w:rPr>
                <w:szCs w:val="16"/>
              </w:rPr>
              <w:t>1</w:t>
            </w:r>
            <w:r w:rsidRPr="006B3D66">
              <w:rPr>
                <w:szCs w:val="16"/>
              </w:rPr>
              <w:t>–</w:t>
            </w:r>
            <w:r w:rsidR="00964E53" w:rsidRPr="006B3D66">
              <w:rPr>
                <w:szCs w:val="16"/>
              </w:rPr>
              <w:t>114,</w:t>
            </w:r>
            <w:r w:rsidRPr="006B3D66">
              <w:rPr>
                <w:szCs w:val="16"/>
              </w:rPr>
              <w:t xml:space="preserve"> 144, 145): 3 Oct 2014 (s 2(1) items</w:t>
            </w:r>
            <w:r w:rsidR="006B3D66">
              <w:rPr>
                <w:szCs w:val="16"/>
              </w:rPr>
              <w:t> </w:t>
            </w:r>
            <w:r w:rsidRPr="006B3D66">
              <w:rPr>
                <w:szCs w:val="16"/>
              </w:rPr>
              <w:t>4, 5)</w:t>
            </w:r>
          </w:p>
        </w:tc>
        <w:tc>
          <w:tcPr>
            <w:tcW w:w="1420" w:type="dxa"/>
            <w:tcBorders>
              <w:top w:val="single" w:sz="4" w:space="0" w:color="auto"/>
              <w:bottom w:val="single" w:sz="4" w:space="0" w:color="auto"/>
            </w:tcBorders>
            <w:shd w:val="clear" w:color="auto" w:fill="auto"/>
          </w:tcPr>
          <w:p w:rsidR="00CA4F5D" w:rsidRPr="006B3D66" w:rsidRDefault="00CA4F5D" w:rsidP="001E3C94">
            <w:pPr>
              <w:pStyle w:val="ENoteTableText"/>
            </w:pPr>
            <w:r w:rsidRPr="006B3D66">
              <w:rPr>
                <w:szCs w:val="16"/>
              </w:rPr>
              <w:t>Sch 7 (items</w:t>
            </w:r>
            <w:r w:rsidR="006B3D66">
              <w:rPr>
                <w:szCs w:val="16"/>
              </w:rPr>
              <w:t> </w:t>
            </w:r>
            <w:r w:rsidRPr="006B3D66">
              <w:rPr>
                <w:szCs w:val="16"/>
              </w:rPr>
              <w:t>144, 145)</w:t>
            </w:r>
          </w:p>
        </w:tc>
      </w:tr>
      <w:tr w:rsidR="00930B88" w:rsidRPr="006B3D66" w:rsidTr="00F725C7">
        <w:trPr>
          <w:cantSplit/>
        </w:trPr>
        <w:tc>
          <w:tcPr>
            <w:tcW w:w="1843" w:type="dxa"/>
            <w:tcBorders>
              <w:top w:val="single" w:sz="4" w:space="0" w:color="auto"/>
              <w:bottom w:val="single" w:sz="4" w:space="0" w:color="auto"/>
            </w:tcBorders>
            <w:shd w:val="clear" w:color="auto" w:fill="auto"/>
          </w:tcPr>
          <w:p w:rsidR="00930B88" w:rsidRPr="006B3D66" w:rsidRDefault="00930B88" w:rsidP="007210E2">
            <w:pPr>
              <w:pStyle w:val="ENoteTableText"/>
              <w:rPr>
                <w:szCs w:val="16"/>
              </w:rPr>
            </w:pPr>
            <w:r w:rsidRPr="006B3D66">
              <w:rPr>
                <w:szCs w:val="16"/>
              </w:rPr>
              <w:t>Counter</w:t>
            </w:r>
            <w:r w:rsidR="006B3D66">
              <w:rPr>
                <w:szCs w:val="16"/>
              </w:rPr>
              <w:noBreakHyphen/>
            </w:r>
            <w:r w:rsidRPr="006B3D66">
              <w:rPr>
                <w:szCs w:val="16"/>
              </w:rPr>
              <w:t>Terrorism Legislation Amendment (Foreign Fighters) Act 2014</w:t>
            </w:r>
          </w:p>
        </w:tc>
        <w:tc>
          <w:tcPr>
            <w:tcW w:w="992" w:type="dxa"/>
            <w:tcBorders>
              <w:top w:val="single" w:sz="4" w:space="0" w:color="auto"/>
              <w:bottom w:val="single" w:sz="4" w:space="0" w:color="auto"/>
            </w:tcBorders>
            <w:shd w:val="clear" w:color="auto" w:fill="auto"/>
          </w:tcPr>
          <w:p w:rsidR="00930B88" w:rsidRPr="006B3D66" w:rsidRDefault="00930B88" w:rsidP="001E3C94">
            <w:pPr>
              <w:pStyle w:val="ENoteTableText"/>
              <w:rPr>
                <w:szCs w:val="16"/>
              </w:rPr>
            </w:pPr>
            <w:r w:rsidRPr="006B3D66">
              <w:rPr>
                <w:szCs w:val="16"/>
              </w:rPr>
              <w:t>116, 2014</w:t>
            </w:r>
          </w:p>
        </w:tc>
        <w:tc>
          <w:tcPr>
            <w:tcW w:w="993" w:type="dxa"/>
            <w:tcBorders>
              <w:top w:val="single" w:sz="4" w:space="0" w:color="auto"/>
              <w:bottom w:val="single" w:sz="4" w:space="0" w:color="auto"/>
            </w:tcBorders>
            <w:shd w:val="clear" w:color="auto" w:fill="auto"/>
          </w:tcPr>
          <w:p w:rsidR="00930B88" w:rsidRPr="006B3D66" w:rsidRDefault="00930B88" w:rsidP="001E3C94">
            <w:pPr>
              <w:pStyle w:val="ENoteTableText"/>
              <w:rPr>
                <w:szCs w:val="16"/>
              </w:rPr>
            </w:pPr>
            <w:r w:rsidRPr="006B3D66">
              <w:rPr>
                <w:szCs w:val="16"/>
              </w:rPr>
              <w:t>3 Nov 2014</w:t>
            </w:r>
          </w:p>
        </w:tc>
        <w:tc>
          <w:tcPr>
            <w:tcW w:w="1845" w:type="dxa"/>
            <w:tcBorders>
              <w:top w:val="single" w:sz="4" w:space="0" w:color="auto"/>
              <w:bottom w:val="single" w:sz="4" w:space="0" w:color="auto"/>
            </w:tcBorders>
            <w:shd w:val="clear" w:color="auto" w:fill="auto"/>
          </w:tcPr>
          <w:p w:rsidR="00930B88" w:rsidRPr="006B3D66" w:rsidRDefault="00930B88" w:rsidP="00964E53">
            <w:pPr>
              <w:pStyle w:val="ENoteTableText"/>
              <w:rPr>
                <w:szCs w:val="16"/>
              </w:rPr>
            </w:pPr>
            <w:r w:rsidRPr="006B3D66">
              <w:rPr>
                <w:szCs w:val="16"/>
              </w:rPr>
              <w:t>Sch 1 (item</w:t>
            </w:r>
            <w:r w:rsidR="006B3D66">
              <w:rPr>
                <w:szCs w:val="16"/>
              </w:rPr>
              <w:t> </w:t>
            </w:r>
            <w:r w:rsidRPr="006B3D66">
              <w:rPr>
                <w:szCs w:val="16"/>
              </w:rPr>
              <w:t>131A): 1 Dec 2014 (s 2(1) item</w:t>
            </w:r>
            <w:r w:rsidR="006B3D66">
              <w:rPr>
                <w:szCs w:val="16"/>
              </w:rPr>
              <w:t> </w:t>
            </w:r>
            <w:r w:rsidRPr="006B3D66">
              <w:rPr>
                <w:szCs w:val="16"/>
              </w:rPr>
              <w:t>2)</w:t>
            </w:r>
          </w:p>
        </w:tc>
        <w:tc>
          <w:tcPr>
            <w:tcW w:w="1420" w:type="dxa"/>
            <w:tcBorders>
              <w:top w:val="single" w:sz="4" w:space="0" w:color="auto"/>
              <w:bottom w:val="single" w:sz="4" w:space="0" w:color="auto"/>
            </w:tcBorders>
            <w:shd w:val="clear" w:color="auto" w:fill="auto"/>
          </w:tcPr>
          <w:p w:rsidR="00930B88" w:rsidRPr="006B3D66" w:rsidRDefault="00930B88" w:rsidP="001E3C94">
            <w:pPr>
              <w:pStyle w:val="ENoteTableText"/>
              <w:rPr>
                <w:szCs w:val="16"/>
              </w:rPr>
            </w:pPr>
            <w:r w:rsidRPr="006B3D66">
              <w:rPr>
                <w:szCs w:val="16"/>
              </w:rPr>
              <w:t>—</w:t>
            </w:r>
          </w:p>
        </w:tc>
      </w:tr>
      <w:tr w:rsidR="001E0FAC" w:rsidRPr="006B3D66" w:rsidTr="00F725C7">
        <w:trPr>
          <w:cantSplit/>
        </w:trPr>
        <w:tc>
          <w:tcPr>
            <w:tcW w:w="1843" w:type="dxa"/>
            <w:tcBorders>
              <w:top w:val="single" w:sz="4" w:space="0" w:color="auto"/>
              <w:bottom w:val="nil"/>
            </w:tcBorders>
            <w:shd w:val="clear" w:color="auto" w:fill="auto"/>
          </w:tcPr>
          <w:p w:rsidR="001E0FAC" w:rsidRPr="006B3D66" w:rsidRDefault="001E0FAC" w:rsidP="007210E2">
            <w:pPr>
              <w:pStyle w:val="ENoteTableText"/>
              <w:rPr>
                <w:szCs w:val="16"/>
              </w:rPr>
            </w:pPr>
            <w:r w:rsidRPr="006B3D66">
              <w:rPr>
                <w:szCs w:val="16"/>
              </w:rPr>
              <w:t>Customs and Other Legislation Amendment (Australian Border Force) Act 2015</w:t>
            </w:r>
          </w:p>
        </w:tc>
        <w:tc>
          <w:tcPr>
            <w:tcW w:w="992" w:type="dxa"/>
            <w:tcBorders>
              <w:top w:val="single" w:sz="4" w:space="0" w:color="auto"/>
              <w:bottom w:val="nil"/>
            </w:tcBorders>
            <w:shd w:val="clear" w:color="auto" w:fill="auto"/>
          </w:tcPr>
          <w:p w:rsidR="001E0FAC" w:rsidRPr="006B3D66" w:rsidRDefault="001E0FAC" w:rsidP="001E3C94">
            <w:pPr>
              <w:pStyle w:val="ENoteTableText"/>
              <w:rPr>
                <w:szCs w:val="16"/>
              </w:rPr>
            </w:pPr>
            <w:r w:rsidRPr="006B3D66">
              <w:rPr>
                <w:szCs w:val="16"/>
              </w:rPr>
              <w:t>41, 2015</w:t>
            </w:r>
          </w:p>
        </w:tc>
        <w:tc>
          <w:tcPr>
            <w:tcW w:w="993" w:type="dxa"/>
            <w:tcBorders>
              <w:top w:val="single" w:sz="4" w:space="0" w:color="auto"/>
              <w:bottom w:val="nil"/>
            </w:tcBorders>
            <w:shd w:val="clear" w:color="auto" w:fill="auto"/>
          </w:tcPr>
          <w:p w:rsidR="001E0FAC" w:rsidRPr="006B3D66" w:rsidRDefault="001E0FAC" w:rsidP="001E3C94">
            <w:pPr>
              <w:pStyle w:val="ENoteTableText"/>
              <w:rPr>
                <w:szCs w:val="16"/>
              </w:rPr>
            </w:pPr>
            <w:r w:rsidRPr="006B3D66">
              <w:rPr>
                <w:szCs w:val="16"/>
              </w:rPr>
              <w:t>20</w:t>
            </w:r>
            <w:r w:rsidR="006B3D66">
              <w:rPr>
                <w:szCs w:val="16"/>
              </w:rPr>
              <w:t> </w:t>
            </w:r>
            <w:r w:rsidRPr="006B3D66">
              <w:rPr>
                <w:szCs w:val="16"/>
              </w:rPr>
              <w:t>May 2015</w:t>
            </w:r>
          </w:p>
        </w:tc>
        <w:tc>
          <w:tcPr>
            <w:tcW w:w="1845" w:type="dxa"/>
            <w:tcBorders>
              <w:top w:val="single" w:sz="4" w:space="0" w:color="auto"/>
              <w:bottom w:val="nil"/>
            </w:tcBorders>
            <w:shd w:val="clear" w:color="auto" w:fill="auto"/>
          </w:tcPr>
          <w:p w:rsidR="001E0FAC" w:rsidRPr="006B3D66" w:rsidRDefault="001E0FAC" w:rsidP="006C011C">
            <w:pPr>
              <w:pStyle w:val="ENoteTableText"/>
              <w:rPr>
                <w:szCs w:val="16"/>
              </w:rPr>
            </w:pPr>
            <w:r w:rsidRPr="006B3D66">
              <w:rPr>
                <w:szCs w:val="16"/>
              </w:rPr>
              <w:t>Sch 5 (items</w:t>
            </w:r>
            <w:r w:rsidR="006B3D66">
              <w:rPr>
                <w:szCs w:val="16"/>
              </w:rPr>
              <w:t> </w:t>
            </w:r>
            <w:r w:rsidR="00E633D0" w:rsidRPr="006B3D66">
              <w:rPr>
                <w:szCs w:val="16"/>
              </w:rPr>
              <w:t>89</w:t>
            </w:r>
            <w:r w:rsidRPr="006B3D66">
              <w:rPr>
                <w:szCs w:val="16"/>
              </w:rPr>
              <w:t>–</w:t>
            </w:r>
            <w:r w:rsidR="00E633D0" w:rsidRPr="006B3D66">
              <w:rPr>
                <w:szCs w:val="16"/>
              </w:rPr>
              <w:t>91</w:t>
            </w:r>
            <w:r w:rsidR="001745FF" w:rsidRPr="006B3D66">
              <w:rPr>
                <w:szCs w:val="16"/>
              </w:rPr>
              <w:t>) and Sch 9: 1</w:t>
            </w:r>
            <w:r w:rsidR="006B3D66">
              <w:rPr>
                <w:szCs w:val="16"/>
              </w:rPr>
              <w:t> </w:t>
            </w:r>
            <w:r w:rsidR="001745FF" w:rsidRPr="006B3D66">
              <w:rPr>
                <w:szCs w:val="16"/>
              </w:rPr>
              <w:t>July 2015</w:t>
            </w:r>
            <w:r w:rsidR="00480DF0" w:rsidRPr="006B3D66">
              <w:rPr>
                <w:szCs w:val="16"/>
              </w:rPr>
              <w:t xml:space="preserve"> (s</w:t>
            </w:r>
            <w:r w:rsidR="006C011C" w:rsidRPr="006B3D66">
              <w:rPr>
                <w:szCs w:val="16"/>
              </w:rPr>
              <w:t> </w:t>
            </w:r>
            <w:r w:rsidR="00480DF0" w:rsidRPr="006B3D66">
              <w:rPr>
                <w:szCs w:val="16"/>
              </w:rPr>
              <w:t>2(1) items</w:t>
            </w:r>
            <w:r w:rsidR="006B3D66">
              <w:rPr>
                <w:szCs w:val="16"/>
              </w:rPr>
              <w:t> </w:t>
            </w:r>
            <w:r w:rsidR="00480DF0" w:rsidRPr="006B3D66">
              <w:rPr>
                <w:szCs w:val="16"/>
              </w:rPr>
              <w:t>2, 7)</w:t>
            </w:r>
          </w:p>
        </w:tc>
        <w:tc>
          <w:tcPr>
            <w:tcW w:w="1420" w:type="dxa"/>
            <w:tcBorders>
              <w:top w:val="single" w:sz="4" w:space="0" w:color="auto"/>
              <w:bottom w:val="nil"/>
            </w:tcBorders>
            <w:shd w:val="clear" w:color="auto" w:fill="auto"/>
          </w:tcPr>
          <w:p w:rsidR="001E0FAC" w:rsidRPr="006B3D66" w:rsidRDefault="001745FF" w:rsidP="006C011C">
            <w:pPr>
              <w:pStyle w:val="ENoteTableText"/>
              <w:rPr>
                <w:szCs w:val="16"/>
              </w:rPr>
            </w:pPr>
            <w:r w:rsidRPr="006B3D66">
              <w:rPr>
                <w:szCs w:val="16"/>
              </w:rPr>
              <w:t>Sch 9</w:t>
            </w:r>
          </w:p>
        </w:tc>
      </w:tr>
      <w:tr w:rsidR="00F725C7" w:rsidRPr="006B3D66" w:rsidTr="00F725C7">
        <w:trPr>
          <w:cantSplit/>
        </w:trPr>
        <w:tc>
          <w:tcPr>
            <w:tcW w:w="1843" w:type="dxa"/>
            <w:tcBorders>
              <w:top w:val="nil"/>
              <w:bottom w:val="nil"/>
            </w:tcBorders>
            <w:shd w:val="clear" w:color="auto" w:fill="auto"/>
          </w:tcPr>
          <w:p w:rsidR="00F725C7" w:rsidRPr="006B3D66" w:rsidRDefault="00F725C7" w:rsidP="00494030">
            <w:pPr>
              <w:pStyle w:val="ENoteTTIndentHeading"/>
            </w:pPr>
            <w:r w:rsidRPr="006B3D66">
              <w:t>as amended by</w:t>
            </w:r>
          </w:p>
        </w:tc>
        <w:tc>
          <w:tcPr>
            <w:tcW w:w="992" w:type="dxa"/>
            <w:tcBorders>
              <w:top w:val="nil"/>
              <w:bottom w:val="nil"/>
            </w:tcBorders>
            <w:shd w:val="clear" w:color="auto" w:fill="auto"/>
          </w:tcPr>
          <w:p w:rsidR="00F725C7" w:rsidRPr="006B3D66" w:rsidRDefault="00F725C7" w:rsidP="00494030">
            <w:pPr>
              <w:pStyle w:val="Tabletext"/>
              <w:rPr>
                <w:sz w:val="16"/>
                <w:szCs w:val="16"/>
              </w:rPr>
            </w:pPr>
          </w:p>
        </w:tc>
        <w:tc>
          <w:tcPr>
            <w:tcW w:w="993" w:type="dxa"/>
            <w:tcBorders>
              <w:top w:val="nil"/>
              <w:bottom w:val="nil"/>
            </w:tcBorders>
            <w:shd w:val="clear" w:color="auto" w:fill="auto"/>
          </w:tcPr>
          <w:p w:rsidR="00F725C7" w:rsidRPr="006B3D66" w:rsidRDefault="00F725C7" w:rsidP="00494030">
            <w:pPr>
              <w:pStyle w:val="Tabletext"/>
              <w:rPr>
                <w:sz w:val="16"/>
                <w:szCs w:val="16"/>
              </w:rPr>
            </w:pPr>
          </w:p>
        </w:tc>
        <w:tc>
          <w:tcPr>
            <w:tcW w:w="1845" w:type="dxa"/>
            <w:tcBorders>
              <w:top w:val="nil"/>
              <w:bottom w:val="nil"/>
            </w:tcBorders>
            <w:shd w:val="clear" w:color="auto" w:fill="auto"/>
          </w:tcPr>
          <w:p w:rsidR="00F725C7" w:rsidRPr="006B3D66" w:rsidRDefault="00F725C7" w:rsidP="00494030">
            <w:pPr>
              <w:pStyle w:val="Tabletext"/>
              <w:rPr>
                <w:sz w:val="16"/>
                <w:szCs w:val="16"/>
              </w:rPr>
            </w:pPr>
          </w:p>
        </w:tc>
        <w:tc>
          <w:tcPr>
            <w:tcW w:w="1420" w:type="dxa"/>
            <w:tcBorders>
              <w:top w:val="nil"/>
              <w:bottom w:val="nil"/>
            </w:tcBorders>
            <w:shd w:val="clear" w:color="auto" w:fill="auto"/>
          </w:tcPr>
          <w:p w:rsidR="00F725C7" w:rsidRPr="006B3D66" w:rsidRDefault="00F725C7" w:rsidP="00494030">
            <w:pPr>
              <w:pStyle w:val="Tabletext"/>
              <w:rPr>
                <w:sz w:val="16"/>
                <w:szCs w:val="16"/>
              </w:rPr>
            </w:pPr>
          </w:p>
        </w:tc>
      </w:tr>
      <w:tr w:rsidR="00F725C7" w:rsidRPr="006B3D66" w:rsidTr="008457BA">
        <w:trPr>
          <w:cantSplit/>
        </w:trPr>
        <w:tc>
          <w:tcPr>
            <w:tcW w:w="1843" w:type="dxa"/>
            <w:tcBorders>
              <w:top w:val="nil"/>
              <w:bottom w:val="single" w:sz="4" w:space="0" w:color="auto"/>
            </w:tcBorders>
            <w:shd w:val="clear" w:color="auto" w:fill="auto"/>
          </w:tcPr>
          <w:p w:rsidR="00F725C7" w:rsidRPr="006B3D66" w:rsidRDefault="00F725C7" w:rsidP="00494030">
            <w:pPr>
              <w:pStyle w:val="ENoteTTi"/>
            </w:pPr>
            <w:r w:rsidRPr="006B3D66">
              <w:t>Australian Border Force Amendment (Protected Information) Act 2017</w:t>
            </w:r>
          </w:p>
        </w:tc>
        <w:tc>
          <w:tcPr>
            <w:tcW w:w="992" w:type="dxa"/>
            <w:tcBorders>
              <w:top w:val="nil"/>
              <w:bottom w:val="single" w:sz="4" w:space="0" w:color="auto"/>
            </w:tcBorders>
            <w:shd w:val="clear" w:color="auto" w:fill="auto"/>
          </w:tcPr>
          <w:p w:rsidR="00F725C7" w:rsidRPr="006B3D66" w:rsidRDefault="00F725C7" w:rsidP="00494030">
            <w:pPr>
              <w:pStyle w:val="Tabletext"/>
              <w:rPr>
                <w:sz w:val="16"/>
                <w:szCs w:val="16"/>
              </w:rPr>
            </w:pPr>
            <w:r w:rsidRPr="006B3D66">
              <w:rPr>
                <w:sz w:val="16"/>
                <w:szCs w:val="16"/>
              </w:rPr>
              <w:t>115, 2017</w:t>
            </w:r>
          </w:p>
        </w:tc>
        <w:tc>
          <w:tcPr>
            <w:tcW w:w="993" w:type="dxa"/>
            <w:tcBorders>
              <w:top w:val="nil"/>
              <w:bottom w:val="single" w:sz="4" w:space="0" w:color="auto"/>
            </w:tcBorders>
            <w:shd w:val="clear" w:color="auto" w:fill="auto"/>
          </w:tcPr>
          <w:p w:rsidR="00F725C7" w:rsidRPr="006B3D66" w:rsidRDefault="00F725C7" w:rsidP="00494030">
            <w:pPr>
              <w:pStyle w:val="Tabletext"/>
              <w:rPr>
                <w:sz w:val="16"/>
                <w:szCs w:val="16"/>
              </w:rPr>
            </w:pPr>
            <w:r w:rsidRPr="006B3D66">
              <w:rPr>
                <w:sz w:val="16"/>
                <w:szCs w:val="16"/>
              </w:rPr>
              <w:t>30 Oct 2017</w:t>
            </w:r>
          </w:p>
        </w:tc>
        <w:tc>
          <w:tcPr>
            <w:tcW w:w="1845" w:type="dxa"/>
            <w:tcBorders>
              <w:top w:val="nil"/>
              <w:bottom w:val="single" w:sz="4" w:space="0" w:color="auto"/>
            </w:tcBorders>
            <w:shd w:val="clear" w:color="auto" w:fill="auto"/>
          </w:tcPr>
          <w:p w:rsidR="00F725C7" w:rsidRPr="006B3D66" w:rsidRDefault="00F725C7" w:rsidP="00494030">
            <w:pPr>
              <w:pStyle w:val="Tabletext"/>
              <w:rPr>
                <w:sz w:val="16"/>
                <w:szCs w:val="16"/>
              </w:rPr>
            </w:pPr>
            <w:r w:rsidRPr="006B3D66">
              <w:rPr>
                <w:sz w:val="16"/>
                <w:szCs w:val="16"/>
              </w:rPr>
              <w:t>Sch 1 (item</w:t>
            </w:r>
            <w:r w:rsidR="006B3D66">
              <w:rPr>
                <w:sz w:val="16"/>
                <w:szCs w:val="16"/>
              </w:rPr>
              <w:t> </w:t>
            </w:r>
            <w:r w:rsidRPr="006B3D66">
              <w:rPr>
                <w:sz w:val="16"/>
                <w:szCs w:val="16"/>
              </w:rPr>
              <w:t>26): 1</w:t>
            </w:r>
            <w:r w:rsidR="006B3D66">
              <w:rPr>
                <w:sz w:val="16"/>
                <w:szCs w:val="16"/>
              </w:rPr>
              <w:t> </w:t>
            </w:r>
            <w:r w:rsidRPr="006B3D66">
              <w:rPr>
                <w:sz w:val="16"/>
                <w:szCs w:val="16"/>
              </w:rPr>
              <w:t>July 2015 (s 2(1) item</w:t>
            </w:r>
            <w:r w:rsidR="006B3D66">
              <w:rPr>
                <w:sz w:val="16"/>
                <w:szCs w:val="16"/>
              </w:rPr>
              <w:t> </w:t>
            </w:r>
            <w:r w:rsidRPr="006B3D66">
              <w:rPr>
                <w:sz w:val="16"/>
                <w:szCs w:val="16"/>
              </w:rPr>
              <w:t>2)</w:t>
            </w:r>
          </w:p>
        </w:tc>
        <w:tc>
          <w:tcPr>
            <w:tcW w:w="1420" w:type="dxa"/>
            <w:tcBorders>
              <w:top w:val="nil"/>
              <w:bottom w:val="single" w:sz="4" w:space="0" w:color="auto"/>
            </w:tcBorders>
            <w:shd w:val="clear" w:color="auto" w:fill="auto"/>
          </w:tcPr>
          <w:p w:rsidR="00F725C7" w:rsidRPr="006B3D66" w:rsidRDefault="00F725C7" w:rsidP="00494030">
            <w:pPr>
              <w:pStyle w:val="Tabletext"/>
              <w:rPr>
                <w:sz w:val="16"/>
                <w:szCs w:val="16"/>
              </w:rPr>
            </w:pPr>
            <w:r w:rsidRPr="006B3D66">
              <w:rPr>
                <w:sz w:val="16"/>
                <w:szCs w:val="16"/>
              </w:rPr>
              <w:t>—</w:t>
            </w:r>
          </w:p>
        </w:tc>
      </w:tr>
      <w:tr w:rsidR="00494030" w:rsidRPr="006B3D66" w:rsidTr="00C77A31">
        <w:trPr>
          <w:cantSplit/>
        </w:trPr>
        <w:tc>
          <w:tcPr>
            <w:tcW w:w="1843"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Australian Citizenship Amendment (Allegiance to Australia) Act 2015</w:t>
            </w:r>
          </w:p>
        </w:tc>
        <w:tc>
          <w:tcPr>
            <w:tcW w:w="992"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166, 2015</w:t>
            </w:r>
          </w:p>
        </w:tc>
        <w:tc>
          <w:tcPr>
            <w:tcW w:w="993"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11 Dec 2015</w:t>
            </w:r>
          </w:p>
        </w:tc>
        <w:tc>
          <w:tcPr>
            <w:tcW w:w="1845" w:type="dxa"/>
            <w:tcBorders>
              <w:top w:val="single" w:sz="4" w:space="0" w:color="auto"/>
              <w:bottom w:val="single" w:sz="4" w:space="0" w:color="auto"/>
            </w:tcBorders>
            <w:shd w:val="clear" w:color="auto" w:fill="auto"/>
          </w:tcPr>
          <w:p w:rsidR="00494030" w:rsidRPr="006B3D66" w:rsidRDefault="00494030" w:rsidP="006E2C01">
            <w:pPr>
              <w:pStyle w:val="ENoteTableText"/>
            </w:pPr>
            <w:r w:rsidRPr="006B3D66">
              <w:t>Sch 2 (items</w:t>
            </w:r>
            <w:r w:rsidR="006B3D66">
              <w:t> </w:t>
            </w:r>
            <w:r w:rsidRPr="006B3D66">
              <w:t>2, 9): 12 Dec 2015 (s 2(1) item</w:t>
            </w:r>
            <w:r w:rsidR="006B3D66">
              <w:t> </w:t>
            </w:r>
            <w:r w:rsidRPr="006B3D66">
              <w:t>1)</w:t>
            </w:r>
          </w:p>
        </w:tc>
        <w:tc>
          <w:tcPr>
            <w:tcW w:w="1420" w:type="dxa"/>
            <w:tcBorders>
              <w:top w:val="single" w:sz="4" w:space="0" w:color="auto"/>
              <w:bottom w:val="single" w:sz="4" w:space="0" w:color="auto"/>
            </w:tcBorders>
            <w:shd w:val="clear" w:color="auto" w:fill="auto"/>
          </w:tcPr>
          <w:p w:rsidR="00494030" w:rsidRPr="006B3D66" w:rsidRDefault="00494030" w:rsidP="00A41EC2">
            <w:pPr>
              <w:pStyle w:val="ENoteTableText"/>
              <w:rPr>
                <w:szCs w:val="16"/>
                <w:u w:val="single"/>
              </w:rPr>
            </w:pPr>
            <w:r w:rsidRPr="006B3D66">
              <w:t>Sch 2 (item</w:t>
            </w:r>
            <w:r w:rsidR="006B3D66">
              <w:t> </w:t>
            </w:r>
            <w:r w:rsidRPr="006B3D66">
              <w:t>9)</w:t>
            </w:r>
          </w:p>
        </w:tc>
      </w:tr>
      <w:tr w:rsidR="00494030" w:rsidRPr="006B3D66" w:rsidTr="00C77A31">
        <w:trPr>
          <w:cantSplit/>
        </w:trPr>
        <w:tc>
          <w:tcPr>
            <w:tcW w:w="1843"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lastRenderedPageBreak/>
              <w:t>Criminal Code Amendment (High Risk Terrorist Offenders) Act 2016</w:t>
            </w:r>
          </w:p>
        </w:tc>
        <w:tc>
          <w:tcPr>
            <w:tcW w:w="992"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95, 2016</w:t>
            </w:r>
          </w:p>
        </w:tc>
        <w:tc>
          <w:tcPr>
            <w:tcW w:w="993"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7 Dec 2016</w:t>
            </w:r>
          </w:p>
        </w:tc>
        <w:tc>
          <w:tcPr>
            <w:tcW w:w="1845" w:type="dxa"/>
            <w:tcBorders>
              <w:top w:val="single" w:sz="4" w:space="0" w:color="auto"/>
              <w:bottom w:val="single" w:sz="4" w:space="0" w:color="auto"/>
            </w:tcBorders>
            <w:shd w:val="clear" w:color="auto" w:fill="auto"/>
          </w:tcPr>
          <w:p w:rsidR="00494030" w:rsidRPr="006B3D66" w:rsidRDefault="00494030" w:rsidP="006E2C01">
            <w:pPr>
              <w:pStyle w:val="ENoteTableText"/>
            </w:pPr>
            <w:r w:rsidRPr="006B3D66">
              <w:t>Sch 2 (items</w:t>
            </w:r>
            <w:r w:rsidR="006B3D66">
              <w:t> </w:t>
            </w:r>
            <w:r w:rsidRPr="006B3D66">
              <w:t>1D, 1E): 7</w:t>
            </w:r>
            <w:r w:rsidR="006B3D66">
              <w:t> </w:t>
            </w:r>
            <w:r w:rsidRPr="006B3D66">
              <w:t>June 2017 (s 2(1) item</w:t>
            </w:r>
            <w:r w:rsidR="006B3D66">
              <w:t> </w:t>
            </w:r>
            <w:r w:rsidRPr="006B3D66">
              <w:t>3)</w:t>
            </w:r>
          </w:p>
        </w:tc>
        <w:tc>
          <w:tcPr>
            <w:tcW w:w="1420"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rPr>
                <w:szCs w:val="16"/>
              </w:rPr>
              <w:t>—</w:t>
            </w:r>
          </w:p>
        </w:tc>
      </w:tr>
      <w:tr w:rsidR="00494030" w:rsidRPr="006B3D66" w:rsidTr="00A74EE8">
        <w:trPr>
          <w:cantSplit/>
        </w:trPr>
        <w:tc>
          <w:tcPr>
            <w:tcW w:w="1843"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25, 2018</w:t>
            </w:r>
          </w:p>
        </w:tc>
        <w:tc>
          <w:tcPr>
            <w:tcW w:w="993"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11 Apr 2018</w:t>
            </w:r>
          </w:p>
        </w:tc>
        <w:tc>
          <w:tcPr>
            <w:tcW w:w="1845" w:type="dxa"/>
            <w:tcBorders>
              <w:top w:val="single" w:sz="4" w:space="0" w:color="auto"/>
              <w:bottom w:val="single" w:sz="4" w:space="0" w:color="auto"/>
            </w:tcBorders>
            <w:shd w:val="clear" w:color="auto" w:fill="auto"/>
          </w:tcPr>
          <w:p w:rsidR="00494030" w:rsidRPr="006B3D66" w:rsidRDefault="00494030" w:rsidP="006E2C01">
            <w:pPr>
              <w:pStyle w:val="ENoteTableText"/>
            </w:pPr>
            <w:r w:rsidRPr="006B3D66">
              <w:t>Sch 1 (items</w:t>
            </w:r>
            <w:r w:rsidR="006B3D66">
              <w:t> </w:t>
            </w:r>
            <w:r w:rsidRPr="006B3D66">
              <w:t xml:space="preserve">66–69, 100–108): </w:t>
            </w:r>
            <w:r w:rsidRPr="006B3D66">
              <w:rPr>
                <w:u w:val="single"/>
              </w:rPr>
              <w:t>1</w:t>
            </w:r>
            <w:r w:rsidR="006B3D66">
              <w:rPr>
                <w:u w:val="single"/>
              </w:rPr>
              <w:t> </w:t>
            </w:r>
            <w:r w:rsidRPr="006B3D66">
              <w:rPr>
                <w:u w:val="single"/>
              </w:rPr>
              <w:t>July 2018 (s 2(1) item</w:t>
            </w:r>
            <w:r w:rsidR="006B3D66">
              <w:rPr>
                <w:u w:val="single"/>
              </w:rPr>
              <w:t> </w:t>
            </w:r>
            <w:r w:rsidRPr="006B3D66">
              <w:rPr>
                <w:u w:val="single"/>
              </w:rPr>
              <w:t>2)</w:t>
            </w:r>
          </w:p>
        </w:tc>
        <w:tc>
          <w:tcPr>
            <w:tcW w:w="1420" w:type="dxa"/>
            <w:tcBorders>
              <w:top w:val="single" w:sz="4" w:space="0" w:color="auto"/>
              <w:bottom w:val="single" w:sz="4" w:space="0" w:color="auto"/>
            </w:tcBorders>
            <w:shd w:val="clear" w:color="auto" w:fill="auto"/>
          </w:tcPr>
          <w:p w:rsidR="00494030" w:rsidRPr="006B3D66" w:rsidRDefault="00494030" w:rsidP="00A41EC2">
            <w:pPr>
              <w:pStyle w:val="ENoteTableText"/>
              <w:rPr>
                <w:szCs w:val="16"/>
                <w:u w:val="single"/>
              </w:rPr>
            </w:pPr>
            <w:r w:rsidRPr="006B3D66">
              <w:rPr>
                <w:szCs w:val="16"/>
                <w:u w:val="single"/>
              </w:rPr>
              <w:t>Sch 1 (items</w:t>
            </w:r>
            <w:r w:rsidR="006B3D66">
              <w:rPr>
                <w:szCs w:val="16"/>
                <w:u w:val="single"/>
              </w:rPr>
              <w:t> </w:t>
            </w:r>
            <w:r w:rsidRPr="006B3D66">
              <w:rPr>
                <w:szCs w:val="16"/>
                <w:u w:val="single"/>
              </w:rPr>
              <w:t>100–108)</w:t>
            </w:r>
          </w:p>
        </w:tc>
      </w:tr>
      <w:tr w:rsidR="00494030" w:rsidRPr="006B3D66" w:rsidTr="001563B9">
        <w:trPr>
          <w:cantSplit/>
        </w:trPr>
        <w:tc>
          <w:tcPr>
            <w:tcW w:w="1843"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Home Affairs and Integrity Agencies Legislation Amendment Act 2018</w:t>
            </w:r>
          </w:p>
        </w:tc>
        <w:tc>
          <w:tcPr>
            <w:tcW w:w="992"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31, 2018</w:t>
            </w:r>
          </w:p>
        </w:tc>
        <w:tc>
          <w:tcPr>
            <w:tcW w:w="993" w:type="dxa"/>
            <w:tcBorders>
              <w:top w:val="single" w:sz="4" w:space="0" w:color="auto"/>
              <w:bottom w:val="single" w:sz="4" w:space="0" w:color="auto"/>
            </w:tcBorders>
            <w:shd w:val="clear" w:color="auto" w:fill="auto"/>
          </w:tcPr>
          <w:p w:rsidR="00494030" w:rsidRPr="006B3D66" w:rsidRDefault="00494030" w:rsidP="00A41EC2">
            <w:pPr>
              <w:pStyle w:val="ENoteTableText"/>
            </w:pPr>
            <w:r w:rsidRPr="006B3D66">
              <w:t>9</w:t>
            </w:r>
            <w:r w:rsidR="006B3D66">
              <w:t> </w:t>
            </w:r>
            <w:r w:rsidRPr="006B3D66">
              <w:t>May 2018</w:t>
            </w:r>
          </w:p>
        </w:tc>
        <w:tc>
          <w:tcPr>
            <w:tcW w:w="1845" w:type="dxa"/>
            <w:tcBorders>
              <w:top w:val="single" w:sz="4" w:space="0" w:color="auto"/>
              <w:bottom w:val="single" w:sz="4" w:space="0" w:color="auto"/>
            </w:tcBorders>
            <w:shd w:val="clear" w:color="auto" w:fill="auto"/>
          </w:tcPr>
          <w:p w:rsidR="00494030" w:rsidRPr="006B3D66" w:rsidRDefault="00494030" w:rsidP="006E2C01">
            <w:pPr>
              <w:pStyle w:val="ENoteTableText"/>
            </w:pPr>
            <w:r w:rsidRPr="006B3D66">
              <w:t>Sch 1 (items</w:t>
            </w:r>
            <w:r w:rsidR="006B3D66">
              <w:t> </w:t>
            </w:r>
            <w:r w:rsidRPr="006B3D66">
              <w:t>4–27): 11</w:t>
            </w:r>
            <w:r w:rsidR="006B3D66">
              <w:t> </w:t>
            </w:r>
            <w:r w:rsidRPr="006B3D66">
              <w:t>May 2018 (s 2(1) item</w:t>
            </w:r>
            <w:r w:rsidR="006B3D66">
              <w:t> </w:t>
            </w:r>
            <w:r w:rsidRPr="006B3D66">
              <w:t>2)</w:t>
            </w:r>
          </w:p>
        </w:tc>
        <w:tc>
          <w:tcPr>
            <w:tcW w:w="1420" w:type="dxa"/>
            <w:tcBorders>
              <w:top w:val="single" w:sz="4" w:space="0" w:color="auto"/>
              <w:bottom w:val="single" w:sz="4" w:space="0" w:color="auto"/>
            </w:tcBorders>
            <w:shd w:val="clear" w:color="auto" w:fill="auto"/>
          </w:tcPr>
          <w:p w:rsidR="00494030" w:rsidRPr="006B3D66" w:rsidRDefault="00494030" w:rsidP="00A41EC2">
            <w:pPr>
              <w:pStyle w:val="ENoteTableText"/>
              <w:rPr>
                <w:szCs w:val="16"/>
              </w:rPr>
            </w:pPr>
            <w:r w:rsidRPr="006B3D66">
              <w:rPr>
                <w:szCs w:val="16"/>
              </w:rPr>
              <w:t>Sch 1 (items</w:t>
            </w:r>
            <w:r w:rsidR="006B3D66">
              <w:rPr>
                <w:szCs w:val="16"/>
              </w:rPr>
              <w:t> </w:t>
            </w:r>
            <w:r w:rsidRPr="006B3D66">
              <w:rPr>
                <w:szCs w:val="16"/>
              </w:rPr>
              <w:t>8, 10, 13, 16, 27)</w:t>
            </w:r>
          </w:p>
        </w:tc>
      </w:tr>
      <w:tr w:rsidR="00494030" w:rsidRPr="006B3D66" w:rsidTr="00C77A31">
        <w:trPr>
          <w:cantSplit/>
        </w:trPr>
        <w:tc>
          <w:tcPr>
            <w:tcW w:w="1843" w:type="dxa"/>
            <w:tcBorders>
              <w:top w:val="single" w:sz="4" w:space="0" w:color="auto"/>
              <w:bottom w:val="single" w:sz="12" w:space="0" w:color="auto"/>
            </w:tcBorders>
            <w:shd w:val="clear" w:color="auto" w:fill="auto"/>
          </w:tcPr>
          <w:p w:rsidR="00494030" w:rsidRPr="006B3D66" w:rsidRDefault="00494030" w:rsidP="00A41EC2">
            <w:pPr>
              <w:pStyle w:val="ENoteTableText"/>
            </w:pPr>
            <w:r w:rsidRPr="006B3D66">
              <w:t>National Security Legislation Amendment (Espionage and Foreign Interference) Act 2018</w:t>
            </w:r>
          </w:p>
        </w:tc>
        <w:tc>
          <w:tcPr>
            <w:tcW w:w="992" w:type="dxa"/>
            <w:tcBorders>
              <w:top w:val="single" w:sz="4" w:space="0" w:color="auto"/>
              <w:bottom w:val="single" w:sz="12" w:space="0" w:color="auto"/>
            </w:tcBorders>
            <w:shd w:val="clear" w:color="auto" w:fill="auto"/>
          </w:tcPr>
          <w:p w:rsidR="00494030" w:rsidRPr="006B3D66" w:rsidRDefault="00494030" w:rsidP="00A41EC2">
            <w:pPr>
              <w:pStyle w:val="ENoteTableText"/>
            </w:pPr>
            <w:r w:rsidRPr="006B3D66">
              <w:t>67, 2018</w:t>
            </w:r>
          </w:p>
        </w:tc>
        <w:tc>
          <w:tcPr>
            <w:tcW w:w="993" w:type="dxa"/>
            <w:tcBorders>
              <w:top w:val="single" w:sz="4" w:space="0" w:color="auto"/>
              <w:bottom w:val="single" w:sz="12" w:space="0" w:color="auto"/>
            </w:tcBorders>
            <w:shd w:val="clear" w:color="auto" w:fill="auto"/>
          </w:tcPr>
          <w:p w:rsidR="00494030" w:rsidRPr="006B3D66" w:rsidRDefault="00494030" w:rsidP="00A41EC2">
            <w:pPr>
              <w:pStyle w:val="ENoteTableText"/>
            </w:pPr>
            <w:r w:rsidRPr="006B3D66">
              <w:t>29</w:t>
            </w:r>
            <w:r w:rsidR="006B3D66">
              <w:t> </w:t>
            </w:r>
            <w:r w:rsidRPr="006B3D66">
              <w:t>June 2018</w:t>
            </w:r>
          </w:p>
        </w:tc>
        <w:tc>
          <w:tcPr>
            <w:tcW w:w="1845" w:type="dxa"/>
            <w:tcBorders>
              <w:top w:val="single" w:sz="4" w:space="0" w:color="auto"/>
              <w:bottom w:val="single" w:sz="12" w:space="0" w:color="auto"/>
            </w:tcBorders>
            <w:shd w:val="clear" w:color="auto" w:fill="auto"/>
          </w:tcPr>
          <w:p w:rsidR="00494030" w:rsidRPr="006B3D66" w:rsidRDefault="00494030" w:rsidP="006E2C01">
            <w:pPr>
              <w:pStyle w:val="ENoteTableText"/>
            </w:pPr>
            <w:r w:rsidRPr="006B3D66">
              <w:t>Sch 1 (item</w:t>
            </w:r>
            <w:r w:rsidR="006B3D66">
              <w:t> </w:t>
            </w:r>
            <w:r w:rsidRPr="006B3D66">
              <w:t>51): 30</w:t>
            </w:r>
            <w:r w:rsidR="006B3D66">
              <w:t> </w:t>
            </w:r>
            <w:r w:rsidRPr="006B3D66">
              <w:t>June 2018 (s 2(1) item</w:t>
            </w:r>
            <w:r w:rsidR="006B3D66">
              <w:t> </w:t>
            </w:r>
            <w:r w:rsidRPr="006B3D66">
              <w:t>2)</w:t>
            </w:r>
          </w:p>
        </w:tc>
        <w:tc>
          <w:tcPr>
            <w:tcW w:w="1420" w:type="dxa"/>
            <w:tcBorders>
              <w:top w:val="single" w:sz="4" w:space="0" w:color="auto"/>
              <w:bottom w:val="single" w:sz="12" w:space="0" w:color="auto"/>
            </w:tcBorders>
            <w:shd w:val="clear" w:color="auto" w:fill="auto"/>
          </w:tcPr>
          <w:p w:rsidR="00494030" w:rsidRPr="006B3D66" w:rsidRDefault="00494030" w:rsidP="00A41EC2">
            <w:pPr>
              <w:pStyle w:val="ENoteTableText"/>
              <w:rPr>
                <w:szCs w:val="16"/>
              </w:rPr>
            </w:pPr>
            <w:r w:rsidRPr="006B3D66">
              <w:rPr>
                <w:szCs w:val="16"/>
              </w:rPr>
              <w:t>—</w:t>
            </w:r>
          </w:p>
        </w:tc>
      </w:tr>
    </w:tbl>
    <w:p w:rsidR="005B73E9" w:rsidRPr="006B3D66" w:rsidRDefault="005B73E9" w:rsidP="008222BE">
      <w:pPr>
        <w:pStyle w:val="ENotesHeading2"/>
        <w:pageBreakBefore/>
        <w:outlineLvl w:val="9"/>
      </w:pPr>
      <w:bookmarkStart w:id="45" w:name="_Toc518896239"/>
      <w:r w:rsidRPr="006B3D66">
        <w:lastRenderedPageBreak/>
        <w:t>Endnote 4—Amendment history</w:t>
      </w:r>
      <w:bookmarkEnd w:id="45"/>
    </w:p>
    <w:p w:rsidR="005B73E9" w:rsidRPr="006B3D66" w:rsidRDefault="005B73E9" w:rsidP="00E73C62">
      <w:pPr>
        <w:pStyle w:val="Tabletext"/>
      </w:pPr>
    </w:p>
    <w:tbl>
      <w:tblPr>
        <w:tblW w:w="7082" w:type="dxa"/>
        <w:tblInd w:w="113" w:type="dxa"/>
        <w:tblLayout w:type="fixed"/>
        <w:tblLook w:val="0000" w:firstRow="0" w:lastRow="0" w:firstColumn="0" w:lastColumn="0" w:noHBand="0" w:noVBand="0"/>
      </w:tblPr>
      <w:tblGrid>
        <w:gridCol w:w="2139"/>
        <w:gridCol w:w="4943"/>
      </w:tblGrid>
      <w:tr w:rsidR="005B73E9" w:rsidRPr="006B3D66" w:rsidTr="00E73C62">
        <w:trPr>
          <w:cantSplit/>
          <w:tblHeader/>
        </w:trPr>
        <w:tc>
          <w:tcPr>
            <w:tcW w:w="2139" w:type="dxa"/>
            <w:tcBorders>
              <w:top w:val="single" w:sz="12" w:space="0" w:color="auto"/>
              <w:bottom w:val="single" w:sz="12" w:space="0" w:color="auto"/>
            </w:tcBorders>
            <w:shd w:val="clear" w:color="auto" w:fill="auto"/>
          </w:tcPr>
          <w:p w:rsidR="005B73E9" w:rsidRPr="006B3D66" w:rsidRDefault="005B73E9" w:rsidP="00E73C62">
            <w:pPr>
              <w:pStyle w:val="ENoteTableHeading"/>
              <w:tabs>
                <w:tab w:val="center" w:leader="dot" w:pos="2268"/>
              </w:tabs>
            </w:pPr>
            <w:r w:rsidRPr="006B3D66">
              <w:t>Provision affected</w:t>
            </w:r>
          </w:p>
        </w:tc>
        <w:tc>
          <w:tcPr>
            <w:tcW w:w="4943" w:type="dxa"/>
            <w:tcBorders>
              <w:top w:val="single" w:sz="12" w:space="0" w:color="auto"/>
              <w:bottom w:val="single" w:sz="12" w:space="0" w:color="auto"/>
            </w:tcBorders>
            <w:shd w:val="clear" w:color="auto" w:fill="auto"/>
          </w:tcPr>
          <w:p w:rsidR="005B73E9" w:rsidRPr="006B3D66" w:rsidRDefault="005B73E9" w:rsidP="00E73C62">
            <w:pPr>
              <w:pStyle w:val="ENoteTableHeading"/>
              <w:tabs>
                <w:tab w:val="center" w:leader="dot" w:pos="2268"/>
              </w:tabs>
            </w:pPr>
            <w:r w:rsidRPr="006B3D66">
              <w:t>How affected</w:t>
            </w:r>
          </w:p>
        </w:tc>
      </w:tr>
      <w:tr w:rsidR="00CA4F5D" w:rsidRPr="006B3D66" w:rsidTr="001E3C94">
        <w:trPr>
          <w:cantSplit/>
        </w:trPr>
        <w:tc>
          <w:tcPr>
            <w:tcW w:w="2139" w:type="dxa"/>
            <w:tcBorders>
              <w:top w:val="single" w:sz="12" w:space="0" w:color="auto"/>
            </w:tcBorders>
            <w:shd w:val="clear" w:color="auto" w:fill="auto"/>
          </w:tcPr>
          <w:p w:rsidR="00CA4F5D" w:rsidRPr="006B3D66" w:rsidRDefault="00CA4F5D" w:rsidP="00964E53">
            <w:pPr>
              <w:pStyle w:val="ENoteTableText"/>
            </w:pPr>
            <w:r w:rsidRPr="006B3D66">
              <w:rPr>
                <w:b/>
              </w:rPr>
              <w:t>P</w:t>
            </w:r>
            <w:r w:rsidR="001E0FAC" w:rsidRPr="006B3D66">
              <w:rPr>
                <w:b/>
              </w:rPr>
              <w:t>ar</w:t>
            </w:r>
            <w:r w:rsidRPr="006B3D66">
              <w:rPr>
                <w:b/>
              </w:rPr>
              <w:t>t</w:t>
            </w:r>
            <w:r w:rsidR="006B3D66">
              <w:rPr>
                <w:b/>
              </w:rPr>
              <w:t> </w:t>
            </w:r>
            <w:r w:rsidRPr="006B3D66">
              <w:rPr>
                <w:b/>
              </w:rPr>
              <w:t>1</w:t>
            </w:r>
          </w:p>
        </w:tc>
        <w:tc>
          <w:tcPr>
            <w:tcW w:w="4943" w:type="dxa"/>
            <w:tcBorders>
              <w:top w:val="single" w:sz="12" w:space="0" w:color="auto"/>
            </w:tcBorders>
            <w:shd w:val="clear" w:color="auto" w:fill="auto"/>
          </w:tcPr>
          <w:p w:rsidR="00CA4F5D" w:rsidRPr="006B3D66" w:rsidRDefault="00CA4F5D" w:rsidP="001E3C94">
            <w:pPr>
              <w:pStyle w:val="ENoteTableText"/>
            </w:pPr>
          </w:p>
        </w:tc>
      </w:tr>
      <w:tr w:rsidR="00CA4F5D" w:rsidRPr="006B3D66" w:rsidTr="001E3C94">
        <w:trPr>
          <w:cantSplit/>
        </w:trPr>
        <w:tc>
          <w:tcPr>
            <w:tcW w:w="2139" w:type="dxa"/>
            <w:shd w:val="clear" w:color="auto" w:fill="auto"/>
          </w:tcPr>
          <w:p w:rsidR="00CA4F5D" w:rsidRPr="006B3D66" w:rsidRDefault="00964E53" w:rsidP="00D54BEB">
            <w:pPr>
              <w:pStyle w:val="ENoteTableText"/>
              <w:tabs>
                <w:tab w:val="center" w:leader="dot" w:pos="2268"/>
              </w:tabs>
            </w:pPr>
            <w:r w:rsidRPr="006B3D66">
              <w:t>s</w:t>
            </w:r>
            <w:r w:rsidR="00CA4F5D" w:rsidRPr="006B3D66">
              <w:t xml:space="preserve"> 4</w:t>
            </w:r>
            <w:r w:rsidR="00D54BEB" w:rsidRPr="006B3D66">
              <w:tab/>
            </w:r>
          </w:p>
        </w:tc>
        <w:tc>
          <w:tcPr>
            <w:tcW w:w="4943" w:type="dxa"/>
            <w:shd w:val="clear" w:color="auto" w:fill="auto"/>
          </w:tcPr>
          <w:p w:rsidR="00CA4F5D" w:rsidRPr="006B3D66" w:rsidRDefault="00CA4F5D" w:rsidP="00964E53">
            <w:pPr>
              <w:pStyle w:val="ENoteTableText"/>
            </w:pPr>
            <w:r w:rsidRPr="006B3D66">
              <w:t>am No 5, 2011; No 108, 2014</w:t>
            </w:r>
            <w:r w:rsidR="00742CFC" w:rsidRPr="006B3D66">
              <w:t>; No 41, 2015</w:t>
            </w:r>
            <w:r w:rsidR="00CC21F8" w:rsidRPr="006B3D66">
              <w:t>; No 166, 2015</w:t>
            </w:r>
            <w:r w:rsidR="00C77A31" w:rsidRPr="006B3D66">
              <w:t xml:space="preserve">; </w:t>
            </w:r>
            <w:r w:rsidR="00C77A31" w:rsidRPr="006B3D66">
              <w:rPr>
                <w:u w:val="single"/>
              </w:rPr>
              <w:t>No 25, 2018</w:t>
            </w:r>
          </w:p>
        </w:tc>
      </w:tr>
      <w:tr w:rsidR="00CA4F5D" w:rsidRPr="006B3D66" w:rsidTr="001E3C94">
        <w:trPr>
          <w:cantSplit/>
        </w:trPr>
        <w:tc>
          <w:tcPr>
            <w:tcW w:w="2139" w:type="dxa"/>
            <w:shd w:val="clear" w:color="auto" w:fill="auto"/>
          </w:tcPr>
          <w:p w:rsidR="00CA4F5D" w:rsidRPr="006B3D66" w:rsidRDefault="00964E53" w:rsidP="001E3C94">
            <w:pPr>
              <w:pStyle w:val="ENoteTableText"/>
            </w:pPr>
            <w:r w:rsidRPr="006B3D66">
              <w:rPr>
                <w:b/>
              </w:rPr>
              <w:t>P</w:t>
            </w:r>
            <w:r w:rsidR="001E0FAC" w:rsidRPr="006B3D66">
              <w:rPr>
                <w:b/>
              </w:rPr>
              <w:t>ar</w:t>
            </w:r>
            <w:r w:rsidR="00CA4F5D" w:rsidRPr="006B3D66">
              <w:rPr>
                <w:b/>
              </w:rPr>
              <w:t>t</w:t>
            </w:r>
            <w:r w:rsidR="006B3D66">
              <w:rPr>
                <w:b/>
              </w:rPr>
              <w:t> </w:t>
            </w:r>
            <w:r w:rsidR="00CA4F5D" w:rsidRPr="006B3D66">
              <w:rPr>
                <w:b/>
              </w:rPr>
              <w:t>2</w:t>
            </w:r>
          </w:p>
        </w:tc>
        <w:tc>
          <w:tcPr>
            <w:tcW w:w="4943" w:type="dxa"/>
            <w:shd w:val="clear" w:color="auto" w:fill="auto"/>
          </w:tcPr>
          <w:p w:rsidR="00CA4F5D" w:rsidRPr="006B3D66" w:rsidRDefault="00CA4F5D" w:rsidP="001E3C94">
            <w:pPr>
              <w:pStyle w:val="ENoteTableText"/>
            </w:pPr>
          </w:p>
        </w:tc>
      </w:tr>
      <w:tr w:rsidR="00930B88" w:rsidRPr="006B3D66" w:rsidTr="001E3C94">
        <w:trPr>
          <w:cantSplit/>
        </w:trPr>
        <w:tc>
          <w:tcPr>
            <w:tcW w:w="2139" w:type="dxa"/>
            <w:shd w:val="clear" w:color="auto" w:fill="auto"/>
          </w:tcPr>
          <w:p w:rsidR="00930B88" w:rsidRPr="006B3D66" w:rsidRDefault="00930B88" w:rsidP="001E3C94">
            <w:pPr>
              <w:pStyle w:val="ENoteTableText"/>
              <w:rPr>
                <w:b/>
              </w:rPr>
            </w:pPr>
            <w:r w:rsidRPr="006B3D66">
              <w:rPr>
                <w:b/>
              </w:rPr>
              <w:t>Div</w:t>
            </w:r>
            <w:r w:rsidR="001E0FAC" w:rsidRPr="006B3D66">
              <w:rPr>
                <w:b/>
              </w:rPr>
              <w:t>ision</w:t>
            </w:r>
            <w:r w:rsidR="006B3D66">
              <w:rPr>
                <w:b/>
              </w:rPr>
              <w:t> </w:t>
            </w:r>
            <w:r w:rsidRPr="006B3D66">
              <w:rPr>
                <w:b/>
              </w:rPr>
              <w:t>1</w:t>
            </w:r>
          </w:p>
        </w:tc>
        <w:tc>
          <w:tcPr>
            <w:tcW w:w="4943" w:type="dxa"/>
            <w:shd w:val="clear" w:color="auto" w:fill="auto"/>
          </w:tcPr>
          <w:p w:rsidR="00930B88" w:rsidRPr="006B3D66" w:rsidRDefault="00930B88" w:rsidP="001E3C94">
            <w:pPr>
              <w:pStyle w:val="ENoteTableText"/>
            </w:pPr>
          </w:p>
        </w:tc>
      </w:tr>
      <w:tr w:rsidR="00930B88" w:rsidRPr="006B3D66" w:rsidTr="001E3C94">
        <w:trPr>
          <w:cantSplit/>
        </w:trPr>
        <w:tc>
          <w:tcPr>
            <w:tcW w:w="2139" w:type="dxa"/>
            <w:shd w:val="clear" w:color="auto" w:fill="auto"/>
          </w:tcPr>
          <w:p w:rsidR="00930B88" w:rsidRPr="006B3D66" w:rsidRDefault="00930B88" w:rsidP="00E35D72">
            <w:pPr>
              <w:pStyle w:val="ENoteTableText"/>
              <w:tabs>
                <w:tab w:val="left" w:leader="dot" w:pos="2268"/>
              </w:tabs>
            </w:pPr>
            <w:r w:rsidRPr="006B3D66">
              <w:t>s 6</w:t>
            </w:r>
            <w:r w:rsidRPr="006B3D66">
              <w:tab/>
            </w:r>
          </w:p>
        </w:tc>
        <w:tc>
          <w:tcPr>
            <w:tcW w:w="4943" w:type="dxa"/>
            <w:shd w:val="clear" w:color="auto" w:fill="auto"/>
          </w:tcPr>
          <w:p w:rsidR="00930B88" w:rsidRPr="006B3D66" w:rsidRDefault="00930B88" w:rsidP="001E3C94">
            <w:pPr>
              <w:pStyle w:val="ENoteTableText"/>
            </w:pPr>
            <w:r w:rsidRPr="006B3D66">
              <w:t>am No 116, 2014</w:t>
            </w:r>
            <w:r w:rsidR="003F1713" w:rsidRPr="006B3D66">
              <w:t>; No 95, 2016</w:t>
            </w:r>
            <w:r w:rsidR="0081515D" w:rsidRPr="006B3D66">
              <w:t>; No 31, 2018</w:t>
            </w:r>
            <w:r w:rsidR="00C77A31" w:rsidRPr="006B3D66">
              <w:t>; No 67, 2018</w:t>
            </w:r>
          </w:p>
        </w:tc>
      </w:tr>
      <w:tr w:rsidR="0081515D" w:rsidRPr="006B3D66" w:rsidTr="001E3C94">
        <w:trPr>
          <w:cantSplit/>
        </w:trPr>
        <w:tc>
          <w:tcPr>
            <w:tcW w:w="2139" w:type="dxa"/>
            <w:shd w:val="clear" w:color="auto" w:fill="auto"/>
          </w:tcPr>
          <w:p w:rsidR="0081515D" w:rsidRPr="006B3D66" w:rsidRDefault="0081515D" w:rsidP="00E35D72">
            <w:pPr>
              <w:pStyle w:val="ENoteTableText"/>
              <w:tabs>
                <w:tab w:val="left" w:leader="dot" w:pos="2268"/>
              </w:tabs>
            </w:pPr>
            <w:r w:rsidRPr="006B3D66">
              <w:t>s 7</w:t>
            </w:r>
            <w:r w:rsidRPr="006B3D66">
              <w:tab/>
            </w:r>
          </w:p>
        </w:tc>
        <w:tc>
          <w:tcPr>
            <w:tcW w:w="4943" w:type="dxa"/>
            <w:shd w:val="clear" w:color="auto" w:fill="auto"/>
          </w:tcPr>
          <w:p w:rsidR="0081515D" w:rsidRPr="006B3D66" w:rsidRDefault="000B4844" w:rsidP="001E3C94">
            <w:pPr>
              <w:pStyle w:val="ENoteTableText"/>
            </w:pPr>
            <w:r w:rsidRPr="006B3D66">
              <w:t>rs</w:t>
            </w:r>
            <w:r w:rsidR="0081515D" w:rsidRPr="006B3D66">
              <w:t xml:space="preserve"> No 31, 2018</w:t>
            </w:r>
          </w:p>
        </w:tc>
      </w:tr>
      <w:tr w:rsidR="00CA4F5D" w:rsidRPr="006B3D66" w:rsidTr="006C011C">
        <w:trPr>
          <w:cantSplit/>
        </w:trPr>
        <w:tc>
          <w:tcPr>
            <w:tcW w:w="2139" w:type="dxa"/>
            <w:shd w:val="clear" w:color="auto" w:fill="auto"/>
          </w:tcPr>
          <w:p w:rsidR="00CA4F5D" w:rsidRPr="006B3D66" w:rsidRDefault="00CA4F5D" w:rsidP="00964E53">
            <w:pPr>
              <w:pStyle w:val="ENoteTableText"/>
            </w:pPr>
            <w:r w:rsidRPr="006B3D66">
              <w:rPr>
                <w:b/>
              </w:rPr>
              <w:t>Div</w:t>
            </w:r>
            <w:r w:rsidR="001E0FAC" w:rsidRPr="006B3D66">
              <w:rPr>
                <w:b/>
              </w:rPr>
              <w:t>ision</w:t>
            </w:r>
            <w:r w:rsidR="006B3D66">
              <w:rPr>
                <w:b/>
              </w:rPr>
              <w:t> </w:t>
            </w:r>
            <w:r w:rsidRPr="006B3D66">
              <w:rPr>
                <w:b/>
              </w:rPr>
              <w:t>2</w:t>
            </w:r>
          </w:p>
        </w:tc>
        <w:tc>
          <w:tcPr>
            <w:tcW w:w="4943" w:type="dxa"/>
            <w:shd w:val="clear" w:color="auto" w:fill="auto"/>
          </w:tcPr>
          <w:p w:rsidR="00CA4F5D" w:rsidRPr="006B3D66" w:rsidRDefault="00CA4F5D" w:rsidP="001E3C94">
            <w:pPr>
              <w:pStyle w:val="ENoteTableText"/>
            </w:pPr>
          </w:p>
        </w:tc>
      </w:tr>
      <w:tr w:rsidR="0081515D" w:rsidRPr="006B3D66" w:rsidTr="006C011C">
        <w:trPr>
          <w:cantSplit/>
        </w:trPr>
        <w:tc>
          <w:tcPr>
            <w:tcW w:w="2139" w:type="dxa"/>
            <w:shd w:val="clear" w:color="auto" w:fill="auto"/>
          </w:tcPr>
          <w:p w:rsidR="0081515D" w:rsidRPr="006B3D66" w:rsidRDefault="0081515D" w:rsidP="000B4844">
            <w:pPr>
              <w:pStyle w:val="ENoteTableText"/>
              <w:tabs>
                <w:tab w:val="left" w:leader="dot" w:pos="2268"/>
              </w:tabs>
            </w:pPr>
            <w:r w:rsidRPr="006B3D66">
              <w:t>s 11</w:t>
            </w:r>
            <w:r w:rsidRPr="006B3D66">
              <w:tab/>
            </w:r>
          </w:p>
        </w:tc>
        <w:tc>
          <w:tcPr>
            <w:tcW w:w="4943" w:type="dxa"/>
            <w:shd w:val="clear" w:color="auto" w:fill="auto"/>
          </w:tcPr>
          <w:p w:rsidR="0081515D" w:rsidRPr="006B3D66" w:rsidRDefault="0081515D" w:rsidP="001E3C94">
            <w:pPr>
              <w:pStyle w:val="ENoteTableText"/>
            </w:pPr>
            <w:r w:rsidRPr="006B3D66">
              <w:t>am No 31, 2018</w:t>
            </w:r>
          </w:p>
        </w:tc>
      </w:tr>
      <w:tr w:rsidR="0081515D" w:rsidRPr="006B3D66" w:rsidTr="006C011C">
        <w:trPr>
          <w:cantSplit/>
        </w:trPr>
        <w:tc>
          <w:tcPr>
            <w:tcW w:w="2139" w:type="dxa"/>
            <w:shd w:val="clear" w:color="auto" w:fill="auto"/>
          </w:tcPr>
          <w:p w:rsidR="0081515D" w:rsidRPr="006B3D66" w:rsidRDefault="0081515D" w:rsidP="0081515D">
            <w:pPr>
              <w:pStyle w:val="ENoteTableText"/>
              <w:tabs>
                <w:tab w:val="left" w:leader="dot" w:pos="2268"/>
              </w:tabs>
            </w:pPr>
            <w:r w:rsidRPr="006B3D66">
              <w:t>s 14</w:t>
            </w:r>
            <w:r w:rsidRPr="006B3D66">
              <w:tab/>
            </w:r>
          </w:p>
        </w:tc>
        <w:tc>
          <w:tcPr>
            <w:tcW w:w="4943" w:type="dxa"/>
            <w:shd w:val="clear" w:color="auto" w:fill="auto"/>
          </w:tcPr>
          <w:p w:rsidR="0081515D" w:rsidRPr="006B3D66" w:rsidRDefault="0081515D" w:rsidP="001E3C94">
            <w:pPr>
              <w:pStyle w:val="ENoteTableText"/>
            </w:pPr>
            <w:r w:rsidRPr="006B3D66">
              <w:t>am No 31, 2018</w:t>
            </w:r>
          </w:p>
        </w:tc>
      </w:tr>
      <w:tr w:rsidR="0081515D" w:rsidRPr="006B3D66" w:rsidTr="006C011C">
        <w:trPr>
          <w:cantSplit/>
        </w:trPr>
        <w:tc>
          <w:tcPr>
            <w:tcW w:w="2139" w:type="dxa"/>
            <w:shd w:val="clear" w:color="auto" w:fill="auto"/>
          </w:tcPr>
          <w:p w:rsidR="0081515D" w:rsidRPr="006B3D66" w:rsidRDefault="0081515D" w:rsidP="0081515D">
            <w:pPr>
              <w:pStyle w:val="ENoteTableText"/>
              <w:tabs>
                <w:tab w:val="left" w:leader="dot" w:pos="2268"/>
              </w:tabs>
            </w:pPr>
            <w:r w:rsidRPr="006B3D66">
              <w:t>s 15</w:t>
            </w:r>
            <w:r w:rsidRPr="006B3D66">
              <w:tab/>
            </w:r>
          </w:p>
        </w:tc>
        <w:tc>
          <w:tcPr>
            <w:tcW w:w="4943" w:type="dxa"/>
            <w:shd w:val="clear" w:color="auto" w:fill="auto"/>
          </w:tcPr>
          <w:p w:rsidR="0081515D" w:rsidRPr="006B3D66" w:rsidRDefault="0081515D" w:rsidP="001E3C94">
            <w:pPr>
              <w:pStyle w:val="ENoteTableText"/>
            </w:pPr>
            <w:r w:rsidRPr="006B3D66">
              <w:t>am No 31, 2018</w:t>
            </w:r>
          </w:p>
        </w:tc>
      </w:tr>
      <w:tr w:rsidR="0081515D" w:rsidRPr="006B3D66" w:rsidTr="006C011C">
        <w:trPr>
          <w:cantSplit/>
        </w:trPr>
        <w:tc>
          <w:tcPr>
            <w:tcW w:w="2139" w:type="dxa"/>
            <w:shd w:val="clear" w:color="auto" w:fill="auto"/>
          </w:tcPr>
          <w:p w:rsidR="0081515D" w:rsidRPr="006B3D66" w:rsidRDefault="0081515D" w:rsidP="0081515D">
            <w:pPr>
              <w:pStyle w:val="ENoteTableText"/>
              <w:tabs>
                <w:tab w:val="left" w:leader="dot" w:pos="2268"/>
              </w:tabs>
            </w:pPr>
            <w:r w:rsidRPr="006B3D66">
              <w:t>s 16</w:t>
            </w:r>
            <w:r w:rsidRPr="006B3D66">
              <w:tab/>
            </w:r>
          </w:p>
        </w:tc>
        <w:tc>
          <w:tcPr>
            <w:tcW w:w="4943" w:type="dxa"/>
            <w:shd w:val="clear" w:color="auto" w:fill="auto"/>
          </w:tcPr>
          <w:p w:rsidR="0081515D" w:rsidRPr="006B3D66" w:rsidRDefault="0081515D" w:rsidP="001E3C94">
            <w:pPr>
              <w:pStyle w:val="ENoteTableText"/>
            </w:pPr>
            <w:r w:rsidRPr="006B3D66">
              <w:t>am No 31, 2018</w:t>
            </w:r>
          </w:p>
        </w:tc>
      </w:tr>
      <w:tr w:rsidR="0081515D" w:rsidRPr="006B3D66" w:rsidTr="006C011C">
        <w:trPr>
          <w:cantSplit/>
        </w:trPr>
        <w:tc>
          <w:tcPr>
            <w:tcW w:w="2139" w:type="dxa"/>
            <w:shd w:val="clear" w:color="auto" w:fill="auto"/>
          </w:tcPr>
          <w:p w:rsidR="0081515D" w:rsidRPr="006B3D66" w:rsidRDefault="0081515D" w:rsidP="0081515D">
            <w:pPr>
              <w:pStyle w:val="ENoteTableText"/>
              <w:tabs>
                <w:tab w:val="left" w:leader="dot" w:pos="2268"/>
              </w:tabs>
            </w:pPr>
            <w:r w:rsidRPr="006B3D66">
              <w:t>s 19</w:t>
            </w:r>
            <w:r w:rsidRPr="006B3D66">
              <w:tab/>
            </w:r>
          </w:p>
        </w:tc>
        <w:tc>
          <w:tcPr>
            <w:tcW w:w="4943" w:type="dxa"/>
            <w:shd w:val="clear" w:color="auto" w:fill="auto"/>
          </w:tcPr>
          <w:p w:rsidR="0081515D" w:rsidRPr="006B3D66" w:rsidRDefault="0081515D" w:rsidP="001E3C94">
            <w:pPr>
              <w:pStyle w:val="ENoteTableText"/>
            </w:pPr>
            <w:r w:rsidRPr="006B3D66">
              <w:t>am No 31, 2018</w:t>
            </w:r>
          </w:p>
        </w:tc>
      </w:tr>
      <w:tr w:rsidR="00CA4F5D" w:rsidRPr="006B3D66" w:rsidTr="000B4844">
        <w:trPr>
          <w:cantSplit/>
        </w:trPr>
        <w:tc>
          <w:tcPr>
            <w:tcW w:w="2139" w:type="dxa"/>
            <w:shd w:val="clear" w:color="auto" w:fill="auto"/>
          </w:tcPr>
          <w:p w:rsidR="00CA4F5D" w:rsidRPr="006B3D66" w:rsidRDefault="00CA4F5D" w:rsidP="00D54BEB">
            <w:pPr>
              <w:pStyle w:val="ENoteTableText"/>
              <w:tabs>
                <w:tab w:val="center" w:leader="dot" w:pos="2268"/>
              </w:tabs>
            </w:pPr>
            <w:r w:rsidRPr="006B3D66">
              <w:t>s 20</w:t>
            </w:r>
            <w:r w:rsidR="00D54BEB" w:rsidRPr="006B3D66">
              <w:tab/>
            </w:r>
          </w:p>
        </w:tc>
        <w:tc>
          <w:tcPr>
            <w:tcW w:w="4943" w:type="dxa"/>
            <w:shd w:val="clear" w:color="auto" w:fill="auto"/>
          </w:tcPr>
          <w:p w:rsidR="00CA4F5D" w:rsidRPr="006B3D66" w:rsidRDefault="00CA4F5D" w:rsidP="00964E53">
            <w:pPr>
              <w:pStyle w:val="ENoteTableText"/>
            </w:pPr>
            <w:r w:rsidRPr="006B3D66">
              <w:t>am No 46, 2011</w:t>
            </w:r>
            <w:r w:rsidR="0081515D" w:rsidRPr="006B3D66">
              <w:t>; No 31, 2018</w:t>
            </w:r>
          </w:p>
        </w:tc>
      </w:tr>
      <w:tr w:rsidR="0081515D" w:rsidRPr="006B3D66" w:rsidTr="000B4844">
        <w:trPr>
          <w:cantSplit/>
        </w:trPr>
        <w:tc>
          <w:tcPr>
            <w:tcW w:w="2139" w:type="dxa"/>
            <w:shd w:val="clear" w:color="auto" w:fill="auto"/>
          </w:tcPr>
          <w:p w:rsidR="0081515D" w:rsidRPr="006B3D66" w:rsidRDefault="0081515D" w:rsidP="00D54BEB">
            <w:pPr>
              <w:pStyle w:val="ENoteTableText"/>
              <w:tabs>
                <w:tab w:val="center" w:leader="dot" w:pos="2268"/>
              </w:tabs>
              <w:rPr>
                <w:b/>
              </w:rPr>
            </w:pPr>
            <w:r w:rsidRPr="006B3D66">
              <w:rPr>
                <w:b/>
              </w:rPr>
              <w:t>Part</w:t>
            </w:r>
            <w:r w:rsidR="006B3D66">
              <w:rPr>
                <w:b/>
              </w:rPr>
              <w:t> </w:t>
            </w:r>
            <w:r w:rsidRPr="006B3D66">
              <w:rPr>
                <w:b/>
              </w:rPr>
              <w:t>4</w:t>
            </w:r>
          </w:p>
        </w:tc>
        <w:tc>
          <w:tcPr>
            <w:tcW w:w="4943" w:type="dxa"/>
            <w:shd w:val="clear" w:color="auto" w:fill="auto"/>
          </w:tcPr>
          <w:p w:rsidR="0081515D" w:rsidRPr="006B3D66" w:rsidRDefault="0081515D" w:rsidP="00964E53">
            <w:pPr>
              <w:pStyle w:val="ENoteTableText"/>
            </w:pPr>
          </w:p>
        </w:tc>
      </w:tr>
      <w:tr w:rsidR="0081515D" w:rsidRPr="006B3D66" w:rsidTr="000B4844">
        <w:trPr>
          <w:cantSplit/>
        </w:trPr>
        <w:tc>
          <w:tcPr>
            <w:tcW w:w="2139" w:type="dxa"/>
            <w:shd w:val="clear" w:color="auto" w:fill="auto"/>
          </w:tcPr>
          <w:p w:rsidR="0081515D" w:rsidRPr="006B3D66" w:rsidRDefault="0081515D" w:rsidP="00D54BEB">
            <w:pPr>
              <w:pStyle w:val="ENoteTableText"/>
              <w:tabs>
                <w:tab w:val="center" w:leader="dot" w:pos="2268"/>
              </w:tabs>
            </w:pPr>
            <w:r w:rsidRPr="006B3D66">
              <w:t>s 29</w:t>
            </w:r>
            <w:r w:rsidRPr="006B3D66">
              <w:tab/>
            </w:r>
          </w:p>
        </w:tc>
        <w:tc>
          <w:tcPr>
            <w:tcW w:w="4943" w:type="dxa"/>
            <w:shd w:val="clear" w:color="auto" w:fill="auto"/>
          </w:tcPr>
          <w:p w:rsidR="0081515D" w:rsidRPr="006B3D66" w:rsidRDefault="0081515D" w:rsidP="00964E53">
            <w:pPr>
              <w:pStyle w:val="ENoteTableText"/>
            </w:pPr>
            <w:r w:rsidRPr="006B3D66">
              <w:t>am No 31, 2018</w:t>
            </w:r>
          </w:p>
        </w:tc>
      </w:tr>
      <w:tr w:rsidR="0081515D" w:rsidRPr="006B3D66" w:rsidTr="006C011C">
        <w:trPr>
          <w:cantSplit/>
        </w:trPr>
        <w:tc>
          <w:tcPr>
            <w:tcW w:w="2139" w:type="dxa"/>
            <w:tcBorders>
              <w:bottom w:val="single" w:sz="12" w:space="0" w:color="auto"/>
            </w:tcBorders>
            <w:shd w:val="clear" w:color="auto" w:fill="auto"/>
          </w:tcPr>
          <w:p w:rsidR="0081515D" w:rsidRPr="006B3D66" w:rsidRDefault="0081515D" w:rsidP="00D54BEB">
            <w:pPr>
              <w:pStyle w:val="ENoteTableText"/>
              <w:tabs>
                <w:tab w:val="center" w:leader="dot" w:pos="2268"/>
              </w:tabs>
            </w:pPr>
            <w:r w:rsidRPr="006B3D66">
              <w:t>s 30</w:t>
            </w:r>
            <w:r w:rsidRPr="006B3D66">
              <w:tab/>
            </w:r>
          </w:p>
        </w:tc>
        <w:tc>
          <w:tcPr>
            <w:tcW w:w="4943" w:type="dxa"/>
            <w:tcBorders>
              <w:bottom w:val="single" w:sz="12" w:space="0" w:color="auto"/>
            </w:tcBorders>
            <w:shd w:val="clear" w:color="auto" w:fill="auto"/>
          </w:tcPr>
          <w:p w:rsidR="0081515D" w:rsidRPr="006B3D66" w:rsidRDefault="0081515D" w:rsidP="00964E53">
            <w:pPr>
              <w:pStyle w:val="ENoteTableText"/>
            </w:pPr>
            <w:r w:rsidRPr="006B3D66">
              <w:t>am No 31, 2018</w:t>
            </w:r>
          </w:p>
        </w:tc>
      </w:tr>
    </w:tbl>
    <w:p w:rsidR="00760453" w:rsidRPr="006B3D66" w:rsidRDefault="00760453" w:rsidP="001E3C94">
      <w:pPr>
        <w:sectPr w:rsidR="00760453" w:rsidRPr="006B3D66" w:rsidSect="00D87245">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272EC3" w:rsidRPr="006B3D66" w:rsidRDefault="00272EC3" w:rsidP="00717D35"/>
    <w:sectPr w:rsidR="00272EC3" w:rsidRPr="006B3D66" w:rsidSect="00D87245">
      <w:headerReference w:type="even" r:id="rId33"/>
      <w:headerReference w:type="default" r:id="rId34"/>
      <w:footerReference w:type="even" r:id="rId35"/>
      <w:footerReference w:type="default" r:id="rId36"/>
      <w:footerReference w:type="first" r:id="rId37"/>
      <w:type w:val="continuous"/>
      <w:pgSz w:w="11907" w:h="1683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030" w:rsidRDefault="00494030">
      <w:pPr>
        <w:spacing w:line="240" w:lineRule="auto"/>
      </w:pPr>
      <w:r>
        <w:separator/>
      </w:r>
    </w:p>
  </w:endnote>
  <w:endnote w:type="continuationSeparator" w:id="0">
    <w:p w:rsidR="00494030" w:rsidRDefault="004940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Default="0049403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B3B51" w:rsidRDefault="00494030" w:rsidP="001E0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4030" w:rsidRPr="007B3B51" w:rsidTr="001E0FAC">
      <w:tc>
        <w:tcPr>
          <w:tcW w:w="1247" w:type="dxa"/>
        </w:tcPr>
        <w:p w:rsidR="00494030" w:rsidRPr="007B3B51" w:rsidRDefault="00494030" w:rsidP="001E0FAC">
          <w:pPr>
            <w:rPr>
              <w:i/>
              <w:sz w:val="16"/>
              <w:szCs w:val="16"/>
            </w:rPr>
          </w:pPr>
        </w:p>
      </w:tc>
      <w:tc>
        <w:tcPr>
          <w:tcW w:w="5387" w:type="dxa"/>
          <w:gridSpan w:val="3"/>
        </w:tcPr>
        <w:p w:rsidR="00494030" w:rsidRPr="007B3B51" w:rsidRDefault="00494030" w:rsidP="001E0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7245">
            <w:rPr>
              <w:i/>
              <w:noProof/>
              <w:sz w:val="16"/>
              <w:szCs w:val="16"/>
            </w:rPr>
            <w:t>Independent National Security Legislation Monitor Act 2010</w:t>
          </w:r>
          <w:r w:rsidRPr="007B3B51">
            <w:rPr>
              <w:i/>
              <w:sz w:val="16"/>
              <w:szCs w:val="16"/>
            </w:rPr>
            <w:fldChar w:fldCharType="end"/>
          </w:r>
        </w:p>
      </w:tc>
      <w:tc>
        <w:tcPr>
          <w:tcW w:w="669" w:type="dxa"/>
        </w:tcPr>
        <w:p w:rsidR="00494030" w:rsidRPr="007B3B51" w:rsidRDefault="00494030" w:rsidP="001E0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7245">
            <w:rPr>
              <w:i/>
              <w:noProof/>
              <w:sz w:val="16"/>
              <w:szCs w:val="16"/>
            </w:rPr>
            <w:t>27</w:t>
          </w:r>
          <w:r w:rsidRPr="007B3B51">
            <w:rPr>
              <w:i/>
              <w:sz w:val="16"/>
              <w:szCs w:val="16"/>
            </w:rPr>
            <w:fldChar w:fldCharType="end"/>
          </w:r>
        </w:p>
      </w:tc>
    </w:tr>
    <w:tr w:rsidR="00494030" w:rsidRPr="00130F37" w:rsidTr="001E0FAC">
      <w:tc>
        <w:tcPr>
          <w:tcW w:w="2190" w:type="dxa"/>
          <w:gridSpan w:val="2"/>
        </w:tcPr>
        <w:p w:rsidR="00494030" w:rsidRPr="00130F37" w:rsidRDefault="00494030" w:rsidP="001E0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B3D66">
            <w:rPr>
              <w:sz w:val="16"/>
              <w:szCs w:val="16"/>
            </w:rPr>
            <w:t>10</w:t>
          </w:r>
          <w:r w:rsidRPr="00130F37">
            <w:rPr>
              <w:sz w:val="16"/>
              <w:szCs w:val="16"/>
            </w:rPr>
            <w:fldChar w:fldCharType="end"/>
          </w:r>
        </w:p>
      </w:tc>
      <w:tc>
        <w:tcPr>
          <w:tcW w:w="2920" w:type="dxa"/>
        </w:tcPr>
        <w:p w:rsidR="00494030" w:rsidRPr="00130F37" w:rsidRDefault="00494030" w:rsidP="001E0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B3D66">
            <w:rPr>
              <w:sz w:val="16"/>
              <w:szCs w:val="16"/>
            </w:rPr>
            <w:t>30/6/18</w:t>
          </w:r>
          <w:r w:rsidRPr="00130F37">
            <w:rPr>
              <w:sz w:val="16"/>
              <w:szCs w:val="16"/>
            </w:rPr>
            <w:fldChar w:fldCharType="end"/>
          </w:r>
        </w:p>
      </w:tc>
      <w:tc>
        <w:tcPr>
          <w:tcW w:w="2193" w:type="dxa"/>
          <w:gridSpan w:val="2"/>
        </w:tcPr>
        <w:p w:rsidR="00494030" w:rsidRPr="00130F37" w:rsidRDefault="00494030" w:rsidP="001E0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B3D66">
            <w:rPr>
              <w:sz w:val="16"/>
              <w:szCs w:val="16"/>
            </w:rPr>
            <w:instrText>9/07/2018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B3D66">
            <w:rPr>
              <w:sz w:val="16"/>
              <w:szCs w:val="16"/>
            </w:rPr>
            <w:instrText>9/7/18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B3D66">
            <w:rPr>
              <w:noProof/>
              <w:sz w:val="16"/>
              <w:szCs w:val="16"/>
            </w:rPr>
            <w:t>9/7/18</w:t>
          </w:r>
          <w:r w:rsidRPr="00130F37">
            <w:rPr>
              <w:sz w:val="16"/>
              <w:szCs w:val="16"/>
            </w:rPr>
            <w:fldChar w:fldCharType="end"/>
          </w:r>
        </w:p>
      </w:tc>
    </w:tr>
  </w:tbl>
  <w:p w:rsidR="00494030" w:rsidRPr="001E0FAC" w:rsidRDefault="00494030" w:rsidP="001E0FA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Default="00494030" w:rsidP="007604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94030" w:rsidTr="000975DC">
      <w:tc>
        <w:tcPr>
          <w:tcW w:w="1247" w:type="dxa"/>
        </w:tcPr>
        <w:p w:rsidR="00494030" w:rsidRDefault="00494030" w:rsidP="001E3C94">
          <w:pPr>
            <w:rPr>
              <w:sz w:val="18"/>
            </w:rPr>
          </w:pPr>
        </w:p>
      </w:tc>
      <w:tc>
        <w:tcPr>
          <w:tcW w:w="5387" w:type="dxa"/>
        </w:tcPr>
        <w:p w:rsidR="00494030" w:rsidRDefault="00494030" w:rsidP="001E3C9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3D66">
            <w:rPr>
              <w:i/>
              <w:sz w:val="18"/>
            </w:rPr>
            <w:t>Independent National Security Legislation Monitor Act 2010</w:t>
          </w:r>
          <w:r w:rsidRPr="007A1328">
            <w:rPr>
              <w:i/>
              <w:sz w:val="18"/>
            </w:rPr>
            <w:fldChar w:fldCharType="end"/>
          </w:r>
        </w:p>
      </w:tc>
      <w:tc>
        <w:tcPr>
          <w:tcW w:w="669" w:type="dxa"/>
        </w:tcPr>
        <w:p w:rsidR="00494030" w:rsidRDefault="00494030" w:rsidP="001E3C9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05D3F">
            <w:rPr>
              <w:i/>
              <w:noProof/>
              <w:sz w:val="18"/>
            </w:rPr>
            <w:t>31</w:t>
          </w:r>
          <w:r w:rsidRPr="007A1328">
            <w:rPr>
              <w:i/>
              <w:sz w:val="18"/>
            </w:rPr>
            <w:fldChar w:fldCharType="end"/>
          </w:r>
        </w:p>
      </w:tc>
    </w:tr>
  </w:tbl>
  <w:p w:rsidR="00494030" w:rsidRPr="0078369C" w:rsidRDefault="00494030" w:rsidP="00760453">
    <w:pPr>
      <w:pStyle w:val="Footer"/>
    </w:pPr>
  </w:p>
  <w:p w:rsidR="00494030" w:rsidRPr="00760453" w:rsidRDefault="00494030" w:rsidP="0076045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B3B51" w:rsidRDefault="00494030" w:rsidP="001E0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4030" w:rsidRPr="007B3B51" w:rsidTr="001E0FAC">
      <w:tc>
        <w:tcPr>
          <w:tcW w:w="1247" w:type="dxa"/>
        </w:tcPr>
        <w:p w:rsidR="00494030" w:rsidRPr="007B3B51" w:rsidRDefault="00494030" w:rsidP="001E0FA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5D3F">
            <w:rPr>
              <w:i/>
              <w:noProof/>
              <w:sz w:val="16"/>
              <w:szCs w:val="16"/>
            </w:rPr>
            <w:t>31</w:t>
          </w:r>
          <w:r w:rsidRPr="007B3B51">
            <w:rPr>
              <w:i/>
              <w:sz w:val="16"/>
              <w:szCs w:val="16"/>
            </w:rPr>
            <w:fldChar w:fldCharType="end"/>
          </w:r>
        </w:p>
      </w:tc>
      <w:tc>
        <w:tcPr>
          <w:tcW w:w="5387" w:type="dxa"/>
          <w:gridSpan w:val="3"/>
        </w:tcPr>
        <w:p w:rsidR="00494030" w:rsidRPr="007B3B51" w:rsidRDefault="00494030" w:rsidP="001E0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B3D66">
            <w:rPr>
              <w:i/>
              <w:noProof/>
              <w:sz w:val="16"/>
              <w:szCs w:val="16"/>
            </w:rPr>
            <w:t>Independent National Security Legislation Monitor Act 2010</w:t>
          </w:r>
          <w:r w:rsidRPr="007B3B51">
            <w:rPr>
              <w:i/>
              <w:sz w:val="16"/>
              <w:szCs w:val="16"/>
            </w:rPr>
            <w:fldChar w:fldCharType="end"/>
          </w:r>
        </w:p>
      </w:tc>
      <w:tc>
        <w:tcPr>
          <w:tcW w:w="669" w:type="dxa"/>
        </w:tcPr>
        <w:p w:rsidR="00494030" w:rsidRPr="007B3B51" w:rsidRDefault="00494030" w:rsidP="001E0FAC">
          <w:pPr>
            <w:jc w:val="right"/>
            <w:rPr>
              <w:sz w:val="16"/>
              <w:szCs w:val="16"/>
            </w:rPr>
          </w:pPr>
        </w:p>
      </w:tc>
    </w:tr>
    <w:tr w:rsidR="00494030" w:rsidRPr="0055472E" w:rsidTr="001E0FAC">
      <w:tc>
        <w:tcPr>
          <w:tcW w:w="2190" w:type="dxa"/>
          <w:gridSpan w:val="2"/>
        </w:tcPr>
        <w:p w:rsidR="00494030" w:rsidRPr="0055472E" w:rsidRDefault="00494030" w:rsidP="001E0FA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B3D66">
            <w:rPr>
              <w:sz w:val="16"/>
              <w:szCs w:val="16"/>
            </w:rPr>
            <w:t>10</w:t>
          </w:r>
          <w:r w:rsidRPr="0055472E">
            <w:rPr>
              <w:sz w:val="16"/>
              <w:szCs w:val="16"/>
            </w:rPr>
            <w:fldChar w:fldCharType="end"/>
          </w:r>
        </w:p>
      </w:tc>
      <w:tc>
        <w:tcPr>
          <w:tcW w:w="2920" w:type="dxa"/>
        </w:tcPr>
        <w:p w:rsidR="00494030" w:rsidRPr="0055472E" w:rsidRDefault="00494030" w:rsidP="001E0FA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B3D66">
            <w:rPr>
              <w:sz w:val="16"/>
              <w:szCs w:val="16"/>
            </w:rPr>
            <w:t>30/6/18</w:t>
          </w:r>
          <w:r w:rsidRPr="0055472E">
            <w:rPr>
              <w:sz w:val="16"/>
              <w:szCs w:val="16"/>
            </w:rPr>
            <w:fldChar w:fldCharType="end"/>
          </w:r>
        </w:p>
      </w:tc>
      <w:tc>
        <w:tcPr>
          <w:tcW w:w="2193" w:type="dxa"/>
          <w:gridSpan w:val="2"/>
        </w:tcPr>
        <w:p w:rsidR="00494030" w:rsidRPr="0055472E" w:rsidRDefault="00494030" w:rsidP="001E0FA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B3D66">
            <w:rPr>
              <w:sz w:val="16"/>
              <w:szCs w:val="16"/>
            </w:rPr>
            <w:instrText>9/07/2018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B3D66">
            <w:rPr>
              <w:sz w:val="16"/>
              <w:szCs w:val="16"/>
            </w:rPr>
            <w:instrText>9/7/18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B3D66">
            <w:rPr>
              <w:noProof/>
              <w:sz w:val="16"/>
              <w:szCs w:val="16"/>
            </w:rPr>
            <w:t>9/7/18</w:t>
          </w:r>
          <w:r w:rsidRPr="0055472E">
            <w:rPr>
              <w:sz w:val="16"/>
              <w:szCs w:val="16"/>
            </w:rPr>
            <w:fldChar w:fldCharType="end"/>
          </w:r>
        </w:p>
      </w:tc>
    </w:tr>
  </w:tbl>
  <w:p w:rsidR="00494030" w:rsidRPr="001E0FAC" w:rsidRDefault="00494030" w:rsidP="001E0FA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B3B51" w:rsidRDefault="00494030" w:rsidP="001E0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4030" w:rsidRPr="007B3B51" w:rsidTr="001E0FAC">
      <w:tc>
        <w:tcPr>
          <w:tcW w:w="1247" w:type="dxa"/>
        </w:tcPr>
        <w:p w:rsidR="00494030" w:rsidRPr="007B3B51" w:rsidRDefault="00494030" w:rsidP="001E0FAC">
          <w:pPr>
            <w:rPr>
              <w:i/>
              <w:sz w:val="16"/>
              <w:szCs w:val="16"/>
            </w:rPr>
          </w:pPr>
        </w:p>
      </w:tc>
      <w:tc>
        <w:tcPr>
          <w:tcW w:w="5387" w:type="dxa"/>
          <w:gridSpan w:val="3"/>
        </w:tcPr>
        <w:p w:rsidR="00494030" w:rsidRPr="007B3B51" w:rsidRDefault="00494030" w:rsidP="001E0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B3D66">
            <w:rPr>
              <w:i/>
              <w:noProof/>
              <w:sz w:val="16"/>
              <w:szCs w:val="16"/>
            </w:rPr>
            <w:t>Independent National Security Legislation Monitor Act 2010</w:t>
          </w:r>
          <w:r w:rsidRPr="007B3B51">
            <w:rPr>
              <w:i/>
              <w:sz w:val="16"/>
              <w:szCs w:val="16"/>
            </w:rPr>
            <w:fldChar w:fldCharType="end"/>
          </w:r>
        </w:p>
      </w:tc>
      <w:tc>
        <w:tcPr>
          <w:tcW w:w="669" w:type="dxa"/>
        </w:tcPr>
        <w:p w:rsidR="00494030" w:rsidRPr="007B3B51" w:rsidRDefault="00494030" w:rsidP="001E0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5D3F">
            <w:rPr>
              <w:i/>
              <w:noProof/>
              <w:sz w:val="16"/>
              <w:szCs w:val="16"/>
            </w:rPr>
            <w:t>31</w:t>
          </w:r>
          <w:r w:rsidRPr="007B3B51">
            <w:rPr>
              <w:i/>
              <w:sz w:val="16"/>
              <w:szCs w:val="16"/>
            </w:rPr>
            <w:fldChar w:fldCharType="end"/>
          </w:r>
        </w:p>
      </w:tc>
    </w:tr>
    <w:tr w:rsidR="00494030" w:rsidRPr="00130F37" w:rsidTr="001E0FAC">
      <w:tc>
        <w:tcPr>
          <w:tcW w:w="2190" w:type="dxa"/>
          <w:gridSpan w:val="2"/>
        </w:tcPr>
        <w:p w:rsidR="00494030" w:rsidRPr="00130F37" w:rsidRDefault="00494030" w:rsidP="001E0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B3D66">
            <w:rPr>
              <w:sz w:val="16"/>
              <w:szCs w:val="16"/>
            </w:rPr>
            <w:t>10</w:t>
          </w:r>
          <w:r w:rsidRPr="00130F37">
            <w:rPr>
              <w:sz w:val="16"/>
              <w:szCs w:val="16"/>
            </w:rPr>
            <w:fldChar w:fldCharType="end"/>
          </w:r>
        </w:p>
      </w:tc>
      <w:tc>
        <w:tcPr>
          <w:tcW w:w="2920" w:type="dxa"/>
        </w:tcPr>
        <w:p w:rsidR="00494030" w:rsidRPr="00130F37" w:rsidRDefault="00494030" w:rsidP="001E0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B3D66">
            <w:rPr>
              <w:sz w:val="16"/>
              <w:szCs w:val="16"/>
            </w:rPr>
            <w:t>30/6/18</w:t>
          </w:r>
          <w:r w:rsidRPr="00130F37">
            <w:rPr>
              <w:sz w:val="16"/>
              <w:szCs w:val="16"/>
            </w:rPr>
            <w:fldChar w:fldCharType="end"/>
          </w:r>
        </w:p>
      </w:tc>
      <w:tc>
        <w:tcPr>
          <w:tcW w:w="2193" w:type="dxa"/>
          <w:gridSpan w:val="2"/>
        </w:tcPr>
        <w:p w:rsidR="00494030" w:rsidRPr="00130F37" w:rsidRDefault="00494030" w:rsidP="001E0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B3D66">
            <w:rPr>
              <w:sz w:val="16"/>
              <w:szCs w:val="16"/>
            </w:rPr>
            <w:instrText>9/07/2018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B3D66">
            <w:rPr>
              <w:sz w:val="16"/>
              <w:szCs w:val="16"/>
            </w:rPr>
            <w:instrText>9/7/18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B3D66">
            <w:rPr>
              <w:noProof/>
              <w:sz w:val="16"/>
              <w:szCs w:val="16"/>
            </w:rPr>
            <w:t>9/7/18</w:t>
          </w:r>
          <w:r w:rsidRPr="00130F37">
            <w:rPr>
              <w:sz w:val="16"/>
              <w:szCs w:val="16"/>
            </w:rPr>
            <w:fldChar w:fldCharType="end"/>
          </w:r>
        </w:p>
      </w:tc>
    </w:tr>
  </w:tbl>
  <w:p w:rsidR="00494030" w:rsidRPr="001E0FAC" w:rsidRDefault="00494030" w:rsidP="001E0FA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A1328" w:rsidRDefault="00494030" w:rsidP="00C877E3">
    <w:pPr>
      <w:pBdr>
        <w:top w:val="single" w:sz="6" w:space="1" w:color="auto"/>
      </w:pBdr>
      <w:spacing w:before="120"/>
      <w:rPr>
        <w:sz w:val="18"/>
      </w:rPr>
    </w:pPr>
  </w:p>
  <w:p w:rsidR="00494030" w:rsidRPr="007A1328" w:rsidRDefault="00494030" w:rsidP="00C877E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B3D66">
      <w:rPr>
        <w:i/>
        <w:noProof/>
        <w:sz w:val="18"/>
      </w:rPr>
      <w:t>Independent National Security Legislation Monitor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B3D6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05D3F">
      <w:rPr>
        <w:i/>
        <w:noProof/>
        <w:sz w:val="18"/>
      </w:rPr>
      <w:t>31</w:t>
    </w:r>
    <w:r w:rsidRPr="007A1328">
      <w:rPr>
        <w:i/>
        <w:sz w:val="18"/>
      </w:rPr>
      <w:fldChar w:fldCharType="end"/>
    </w:r>
  </w:p>
  <w:p w:rsidR="00494030" w:rsidRPr="007A1328" w:rsidRDefault="00494030" w:rsidP="00C877E3">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Default="00494030" w:rsidP="0043673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ED79B6" w:rsidRDefault="00494030" w:rsidP="0043673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B3B51" w:rsidRDefault="00494030" w:rsidP="001E0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4030" w:rsidRPr="007B3B51" w:rsidTr="001E0FAC">
      <w:tc>
        <w:tcPr>
          <w:tcW w:w="1247" w:type="dxa"/>
        </w:tcPr>
        <w:p w:rsidR="00494030" w:rsidRPr="007B3B51" w:rsidRDefault="00494030" w:rsidP="001E0FA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7245">
            <w:rPr>
              <w:i/>
              <w:noProof/>
              <w:sz w:val="16"/>
              <w:szCs w:val="16"/>
            </w:rPr>
            <w:t>ii</w:t>
          </w:r>
          <w:r w:rsidRPr="007B3B51">
            <w:rPr>
              <w:i/>
              <w:sz w:val="16"/>
              <w:szCs w:val="16"/>
            </w:rPr>
            <w:fldChar w:fldCharType="end"/>
          </w:r>
        </w:p>
      </w:tc>
      <w:tc>
        <w:tcPr>
          <w:tcW w:w="5387" w:type="dxa"/>
          <w:gridSpan w:val="3"/>
        </w:tcPr>
        <w:p w:rsidR="00494030" w:rsidRPr="007B3B51" w:rsidRDefault="00494030" w:rsidP="001E0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7245">
            <w:rPr>
              <w:i/>
              <w:noProof/>
              <w:sz w:val="16"/>
              <w:szCs w:val="16"/>
            </w:rPr>
            <w:t>Independent National Security Legislation Monitor Act 2010</w:t>
          </w:r>
          <w:r w:rsidRPr="007B3B51">
            <w:rPr>
              <w:i/>
              <w:sz w:val="16"/>
              <w:szCs w:val="16"/>
            </w:rPr>
            <w:fldChar w:fldCharType="end"/>
          </w:r>
        </w:p>
      </w:tc>
      <w:tc>
        <w:tcPr>
          <w:tcW w:w="669" w:type="dxa"/>
        </w:tcPr>
        <w:p w:rsidR="00494030" w:rsidRPr="007B3B51" w:rsidRDefault="00494030" w:rsidP="001E0FAC">
          <w:pPr>
            <w:jc w:val="right"/>
            <w:rPr>
              <w:sz w:val="16"/>
              <w:szCs w:val="16"/>
            </w:rPr>
          </w:pPr>
        </w:p>
      </w:tc>
    </w:tr>
    <w:tr w:rsidR="00494030" w:rsidRPr="0055472E" w:rsidTr="001E0FAC">
      <w:tc>
        <w:tcPr>
          <w:tcW w:w="2190" w:type="dxa"/>
          <w:gridSpan w:val="2"/>
        </w:tcPr>
        <w:p w:rsidR="00494030" w:rsidRPr="0055472E" w:rsidRDefault="00494030" w:rsidP="001E0FA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B3D66">
            <w:rPr>
              <w:sz w:val="16"/>
              <w:szCs w:val="16"/>
            </w:rPr>
            <w:t>10</w:t>
          </w:r>
          <w:r w:rsidRPr="0055472E">
            <w:rPr>
              <w:sz w:val="16"/>
              <w:szCs w:val="16"/>
            </w:rPr>
            <w:fldChar w:fldCharType="end"/>
          </w:r>
        </w:p>
      </w:tc>
      <w:tc>
        <w:tcPr>
          <w:tcW w:w="2920" w:type="dxa"/>
        </w:tcPr>
        <w:p w:rsidR="00494030" w:rsidRPr="0055472E" w:rsidRDefault="00494030" w:rsidP="001E0FA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B3D66">
            <w:rPr>
              <w:sz w:val="16"/>
              <w:szCs w:val="16"/>
            </w:rPr>
            <w:t>30/6/18</w:t>
          </w:r>
          <w:r w:rsidRPr="0055472E">
            <w:rPr>
              <w:sz w:val="16"/>
              <w:szCs w:val="16"/>
            </w:rPr>
            <w:fldChar w:fldCharType="end"/>
          </w:r>
        </w:p>
      </w:tc>
      <w:tc>
        <w:tcPr>
          <w:tcW w:w="2193" w:type="dxa"/>
          <w:gridSpan w:val="2"/>
        </w:tcPr>
        <w:p w:rsidR="00494030" w:rsidRPr="0055472E" w:rsidRDefault="00494030" w:rsidP="001E0FA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B3D66">
            <w:rPr>
              <w:sz w:val="16"/>
              <w:szCs w:val="16"/>
            </w:rPr>
            <w:instrText>9/07/2018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B3D66">
            <w:rPr>
              <w:sz w:val="16"/>
              <w:szCs w:val="16"/>
            </w:rPr>
            <w:instrText>9/7/18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B3D66">
            <w:rPr>
              <w:noProof/>
              <w:sz w:val="16"/>
              <w:szCs w:val="16"/>
            </w:rPr>
            <w:t>9/7/18</w:t>
          </w:r>
          <w:r w:rsidRPr="0055472E">
            <w:rPr>
              <w:sz w:val="16"/>
              <w:szCs w:val="16"/>
            </w:rPr>
            <w:fldChar w:fldCharType="end"/>
          </w:r>
        </w:p>
      </w:tc>
    </w:tr>
  </w:tbl>
  <w:p w:rsidR="00494030" w:rsidRPr="001E0FAC" w:rsidRDefault="00494030" w:rsidP="001E0F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B3B51" w:rsidRDefault="00494030" w:rsidP="001E0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4030" w:rsidRPr="007B3B51" w:rsidTr="001E0FAC">
      <w:tc>
        <w:tcPr>
          <w:tcW w:w="1247" w:type="dxa"/>
        </w:tcPr>
        <w:p w:rsidR="00494030" w:rsidRPr="007B3B51" w:rsidRDefault="00494030" w:rsidP="001E0FAC">
          <w:pPr>
            <w:rPr>
              <w:i/>
              <w:sz w:val="16"/>
              <w:szCs w:val="16"/>
            </w:rPr>
          </w:pPr>
        </w:p>
      </w:tc>
      <w:tc>
        <w:tcPr>
          <w:tcW w:w="5387" w:type="dxa"/>
          <w:gridSpan w:val="3"/>
        </w:tcPr>
        <w:p w:rsidR="00494030" w:rsidRPr="007B3B51" w:rsidRDefault="00494030" w:rsidP="001E0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7245">
            <w:rPr>
              <w:i/>
              <w:noProof/>
              <w:sz w:val="16"/>
              <w:szCs w:val="16"/>
            </w:rPr>
            <w:t>Independent National Security Legislation Monitor Act 2010</w:t>
          </w:r>
          <w:r w:rsidRPr="007B3B51">
            <w:rPr>
              <w:i/>
              <w:sz w:val="16"/>
              <w:szCs w:val="16"/>
            </w:rPr>
            <w:fldChar w:fldCharType="end"/>
          </w:r>
        </w:p>
      </w:tc>
      <w:tc>
        <w:tcPr>
          <w:tcW w:w="669" w:type="dxa"/>
        </w:tcPr>
        <w:p w:rsidR="00494030" w:rsidRPr="007B3B51" w:rsidRDefault="00494030" w:rsidP="001E0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7245">
            <w:rPr>
              <w:i/>
              <w:noProof/>
              <w:sz w:val="16"/>
              <w:szCs w:val="16"/>
            </w:rPr>
            <w:t>i</w:t>
          </w:r>
          <w:r w:rsidRPr="007B3B51">
            <w:rPr>
              <w:i/>
              <w:sz w:val="16"/>
              <w:szCs w:val="16"/>
            </w:rPr>
            <w:fldChar w:fldCharType="end"/>
          </w:r>
        </w:p>
      </w:tc>
    </w:tr>
    <w:tr w:rsidR="00494030" w:rsidRPr="00130F37" w:rsidTr="001E0FAC">
      <w:tc>
        <w:tcPr>
          <w:tcW w:w="2190" w:type="dxa"/>
          <w:gridSpan w:val="2"/>
        </w:tcPr>
        <w:p w:rsidR="00494030" w:rsidRPr="00130F37" w:rsidRDefault="00494030" w:rsidP="001E0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B3D66">
            <w:rPr>
              <w:sz w:val="16"/>
              <w:szCs w:val="16"/>
            </w:rPr>
            <w:t>10</w:t>
          </w:r>
          <w:r w:rsidRPr="00130F37">
            <w:rPr>
              <w:sz w:val="16"/>
              <w:szCs w:val="16"/>
            </w:rPr>
            <w:fldChar w:fldCharType="end"/>
          </w:r>
        </w:p>
      </w:tc>
      <w:tc>
        <w:tcPr>
          <w:tcW w:w="2920" w:type="dxa"/>
        </w:tcPr>
        <w:p w:rsidR="00494030" w:rsidRPr="00130F37" w:rsidRDefault="00494030" w:rsidP="001E0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B3D66">
            <w:rPr>
              <w:sz w:val="16"/>
              <w:szCs w:val="16"/>
            </w:rPr>
            <w:t>30/6/18</w:t>
          </w:r>
          <w:r w:rsidRPr="00130F37">
            <w:rPr>
              <w:sz w:val="16"/>
              <w:szCs w:val="16"/>
            </w:rPr>
            <w:fldChar w:fldCharType="end"/>
          </w:r>
        </w:p>
      </w:tc>
      <w:tc>
        <w:tcPr>
          <w:tcW w:w="2193" w:type="dxa"/>
          <w:gridSpan w:val="2"/>
        </w:tcPr>
        <w:p w:rsidR="00494030" w:rsidRPr="00130F37" w:rsidRDefault="00494030" w:rsidP="001E0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B3D66">
            <w:rPr>
              <w:sz w:val="16"/>
              <w:szCs w:val="16"/>
            </w:rPr>
            <w:instrText>9/07/2018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B3D66">
            <w:rPr>
              <w:sz w:val="16"/>
              <w:szCs w:val="16"/>
            </w:rPr>
            <w:instrText>9/7/18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B3D66">
            <w:rPr>
              <w:noProof/>
              <w:sz w:val="16"/>
              <w:szCs w:val="16"/>
            </w:rPr>
            <w:t>9/7/18</w:t>
          </w:r>
          <w:r w:rsidRPr="00130F37">
            <w:rPr>
              <w:sz w:val="16"/>
              <w:szCs w:val="16"/>
            </w:rPr>
            <w:fldChar w:fldCharType="end"/>
          </w:r>
        </w:p>
      </w:tc>
    </w:tr>
  </w:tbl>
  <w:p w:rsidR="00494030" w:rsidRPr="001E0FAC" w:rsidRDefault="00494030" w:rsidP="001E0F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B3B51" w:rsidRDefault="00494030" w:rsidP="001E0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4030" w:rsidRPr="007B3B51" w:rsidTr="001E0FAC">
      <w:tc>
        <w:tcPr>
          <w:tcW w:w="1247" w:type="dxa"/>
        </w:tcPr>
        <w:p w:rsidR="00494030" w:rsidRPr="007B3B51" w:rsidRDefault="00494030" w:rsidP="001E0FA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7245">
            <w:rPr>
              <w:i/>
              <w:noProof/>
              <w:sz w:val="16"/>
              <w:szCs w:val="16"/>
            </w:rPr>
            <w:t>6</w:t>
          </w:r>
          <w:r w:rsidRPr="007B3B51">
            <w:rPr>
              <w:i/>
              <w:sz w:val="16"/>
              <w:szCs w:val="16"/>
            </w:rPr>
            <w:fldChar w:fldCharType="end"/>
          </w:r>
        </w:p>
      </w:tc>
      <w:tc>
        <w:tcPr>
          <w:tcW w:w="5387" w:type="dxa"/>
          <w:gridSpan w:val="3"/>
        </w:tcPr>
        <w:p w:rsidR="00494030" w:rsidRPr="007B3B51" w:rsidRDefault="00494030" w:rsidP="001E0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7245">
            <w:rPr>
              <w:i/>
              <w:noProof/>
              <w:sz w:val="16"/>
              <w:szCs w:val="16"/>
            </w:rPr>
            <w:t>Independent National Security Legislation Monitor Act 2010</w:t>
          </w:r>
          <w:r w:rsidRPr="007B3B51">
            <w:rPr>
              <w:i/>
              <w:sz w:val="16"/>
              <w:szCs w:val="16"/>
            </w:rPr>
            <w:fldChar w:fldCharType="end"/>
          </w:r>
        </w:p>
      </w:tc>
      <w:tc>
        <w:tcPr>
          <w:tcW w:w="669" w:type="dxa"/>
        </w:tcPr>
        <w:p w:rsidR="00494030" w:rsidRPr="007B3B51" w:rsidRDefault="00494030" w:rsidP="001E0FAC">
          <w:pPr>
            <w:jc w:val="right"/>
            <w:rPr>
              <w:sz w:val="16"/>
              <w:szCs w:val="16"/>
            </w:rPr>
          </w:pPr>
        </w:p>
      </w:tc>
    </w:tr>
    <w:tr w:rsidR="00494030" w:rsidRPr="0055472E" w:rsidTr="001E0FAC">
      <w:tc>
        <w:tcPr>
          <w:tcW w:w="2190" w:type="dxa"/>
          <w:gridSpan w:val="2"/>
        </w:tcPr>
        <w:p w:rsidR="00494030" w:rsidRPr="0055472E" w:rsidRDefault="00494030" w:rsidP="001E0FA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B3D66">
            <w:rPr>
              <w:sz w:val="16"/>
              <w:szCs w:val="16"/>
            </w:rPr>
            <w:t>10</w:t>
          </w:r>
          <w:r w:rsidRPr="0055472E">
            <w:rPr>
              <w:sz w:val="16"/>
              <w:szCs w:val="16"/>
            </w:rPr>
            <w:fldChar w:fldCharType="end"/>
          </w:r>
        </w:p>
      </w:tc>
      <w:tc>
        <w:tcPr>
          <w:tcW w:w="2920" w:type="dxa"/>
        </w:tcPr>
        <w:p w:rsidR="00494030" w:rsidRPr="0055472E" w:rsidRDefault="00494030" w:rsidP="001E0FA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B3D66">
            <w:rPr>
              <w:sz w:val="16"/>
              <w:szCs w:val="16"/>
            </w:rPr>
            <w:t>30/6/18</w:t>
          </w:r>
          <w:r w:rsidRPr="0055472E">
            <w:rPr>
              <w:sz w:val="16"/>
              <w:szCs w:val="16"/>
            </w:rPr>
            <w:fldChar w:fldCharType="end"/>
          </w:r>
        </w:p>
      </w:tc>
      <w:tc>
        <w:tcPr>
          <w:tcW w:w="2193" w:type="dxa"/>
          <w:gridSpan w:val="2"/>
        </w:tcPr>
        <w:p w:rsidR="00494030" w:rsidRPr="0055472E" w:rsidRDefault="00494030" w:rsidP="001E0FA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B3D66">
            <w:rPr>
              <w:sz w:val="16"/>
              <w:szCs w:val="16"/>
            </w:rPr>
            <w:instrText>9/07/2018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B3D66">
            <w:rPr>
              <w:sz w:val="16"/>
              <w:szCs w:val="16"/>
            </w:rPr>
            <w:instrText>9/7/18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B3D66">
            <w:rPr>
              <w:noProof/>
              <w:sz w:val="16"/>
              <w:szCs w:val="16"/>
            </w:rPr>
            <w:t>9/7/18</w:t>
          </w:r>
          <w:r w:rsidRPr="0055472E">
            <w:rPr>
              <w:sz w:val="16"/>
              <w:szCs w:val="16"/>
            </w:rPr>
            <w:fldChar w:fldCharType="end"/>
          </w:r>
        </w:p>
      </w:tc>
    </w:tr>
  </w:tbl>
  <w:p w:rsidR="00494030" w:rsidRPr="001E0FAC" w:rsidRDefault="00494030" w:rsidP="001E0F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B3B51" w:rsidRDefault="00494030" w:rsidP="001E0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4030" w:rsidRPr="007B3B51" w:rsidTr="001E0FAC">
      <w:tc>
        <w:tcPr>
          <w:tcW w:w="1247" w:type="dxa"/>
        </w:tcPr>
        <w:p w:rsidR="00494030" w:rsidRPr="007B3B51" w:rsidRDefault="00494030" w:rsidP="001E0FAC">
          <w:pPr>
            <w:rPr>
              <w:i/>
              <w:sz w:val="16"/>
              <w:szCs w:val="16"/>
            </w:rPr>
          </w:pPr>
        </w:p>
      </w:tc>
      <w:tc>
        <w:tcPr>
          <w:tcW w:w="5387" w:type="dxa"/>
          <w:gridSpan w:val="3"/>
        </w:tcPr>
        <w:p w:rsidR="00494030" w:rsidRPr="007B3B51" w:rsidRDefault="00494030" w:rsidP="001E0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7245">
            <w:rPr>
              <w:i/>
              <w:noProof/>
              <w:sz w:val="16"/>
              <w:szCs w:val="16"/>
            </w:rPr>
            <w:t>Independent National Security Legislation Monitor Act 2010</w:t>
          </w:r>
          <w:r w:rsidRPr="007B3B51">
            <w:rPr>
              <w:i/>
              <w:sz w:val="16"/>
              <w:szCs w:val="16"/>
            </w:rPr>
            <w:fldChar w:fldCharType="end"/>
          </w:r>
        </w:p>
      </w:tc>
      <w:tc>
        <w:tcPr>
          <w:tcW w:w="669" w:type="dxa"/>
        </w:tcPr>
        <w:p w:rsidR="00494030" w:rsidRPr="007B3B51" w:rsidRDefault="00494030" w:rsidP="001E0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7245">
            <w:rPr>
              <w:i/>
              <w:noProof/>
              <w:sz w:val="16"/>
              <w:szCs w:val="16"/>
            </w:rPr>
            <w:t>1</w:t>
          </w:r>
          <w:r w:rsidRPr="007B3B51">
            <w:rPr>
              <w:i/>
              <w:sz w:val="16"/>
              <w:szCs w:val="16"/>
            </w:rPr>
            <w:fldChar w:fldCharType="end"/>
          </w:r>
        </w:p>
      </w:tc>
    </w:tr>
    <w:tr w:rsidR="00494030" w:rsidRPr="00130F37" w:rsidTr="001E0FAC">
      <w:tc>
        <w:tcPr>
          <w:tcW w:w="2190" w:type="dxa"/>
          <w:gridSpan w:val="2"/>
        </w:tcPr>
        <w:p w:rsidR="00494030" w:rsidRPr="00130F37" w:rsidRDefault="00494030" w:rsidP="001E0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B3D66">
            <w:rPr>
              <w:sz w:val="16"/>
              <w:szCs w:val="16"/>
            </w:rPr>
            <w:t>10</w:t>
          </w:r>
          <w:r w:rsidRPr="00130F37">
            <w:rPr>
              <w:sz w:val="16"/>
              <w:szCs w:val="16"/>
            </w:rPr>
            <w:fldChar w:fldCharType="end"/>
          </w:r>
        </w:p>
      </w:tc>
      <w:tc>
        <w:tcPr>
          <w:tcW w:w="2920" w:type="dxa"/>
        </w:tcPr>
        <w:p w:rsidR="00494030" w:rsidRPr="00130F37" w:rsidRDefault="00494030" w:rsidP="001E0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B3D66">
            <w:rPr>
              <w:sz w:val="16"/>
              <w:szCs w:val="16"/>
            </w:rPr>
            <w:t>30/6/18</w:t>
          </w:r>
          <w:r w:rsidRPr="00130F37">
            <w:rPr>
              <w:sz w:val="16"/>
              <w:szCs w:val="16"/>
            </w:rPr>
            <w:fldChar w:fldCharType="end"/>
          </w:r>
        </w:p>
      </w:tc>
      <w:tc>
        <w:tcPr>
          <w:tcW w:w="2193" w:type="dxa"/>
          <w:gridSpan w:val="2"/>
        </w:tcPr>
        <w:p w:rsidR="00494030" w:rsidRPr="00130F37" w:rsidRDefault="00494030" w:rsidP="001E0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B3D66">
            <w:rPr>
              <w:sz w:val="16"/>
              <w:szCs w:val="16"/>
            </w:rPr>
            <w:instrText>9/07/2018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B3D66">
            <w:rPr>
              <w:sz w:val="16"/>
              <w:szCs w:val="16"/>
            </w:rPr>
            <w:instrText>9/7/18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B3D66">
            <w:rPr>
              <w:noProof/>
              <w:sz w:val="16"/>
              <w:szCs w:val="16"/>
            </w:rPr>
            <w:t>9/7/18</w:t>
          </w:r>
          <w:r w:rsidRPr="00130F37">
            <w:rPr>
              <w:sz w:val="16"/>
              <w:szCs w:val="16"/>
            </w:rPr>
            <w:fldChar w:fldCharType="end"/>
          </w:r>
        </w:p>
      </w:tc>
    </w:tr>
  </w:tbl>
  <w:p w:rsidR="00494030" w:rsidRPr="001E0FAC" w:rsidRDefault="00494030" w:rsidP="001E0F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A1328" w:rsidRDefault="00494030" w:rsidP="001E3C94">
    <w:pPr>
      <w:pBdr>
        <w:top w:val="single" w:sz="6" w:space="1" w:color="auto"/>
      </w:pBdr>
      <w:spacing w:before="120"/>
      <w:rPr>
        <w:sz w:val="18"/>
      </w:rPr>
    </w:pPr>
  </w:p>
  <w:p w:rsidR="00494030" w:rsidRPr="007A1328" w:rsidRDefault="00494030" w:rsidP="001E3C9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B3D66">
      <w:rPr>
        <w:i/>
        <w:noProof/>
        <w:sz w:val="18"/>
      </w:rPr>
      <w:t>Independent National Security Legislation Monitor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B3D6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05D3F">
      <w:rPr>
        <w:i/>
        <w:noProof/>
        <w:sz w:val="18"/>
      </w:rPr>
      <w:t>31</w:t>
    </w:r>
    <w:r w:rsidRPr="007A1328">
      <w:rPr>
        <w:i/>
        <w:sz w:val="18"/>
      </w:rPr>
      <w:fldChar w:fldCharType="end"/>
    </w:r>
  </w:p>
  <w:p w:rsidR="00494030" w:rsidRPr="007A1328" w:rsidRDefault="00494030" w:rsidP="001E3C9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B3B51" w:rsidRDefault="00494030" w:rsidP="001E0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4030" w:rsidRPr="007B3B51" w:rsidTr="001E0FAC">
      <w:tc>
        <w:tcPr>
          <w:tcW w:w="1247" w:type="dxa"/>
        </w:tcPr>
        <w:p w:rsidR="00494030" w:rsidRPr="007B3B51" w:rsidRDefault="00494030" w:rsidP="001E0FA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7245">
            <w:rPr>
              <w:i/>
              <w:noProof/>
              <w:sz w:val="16"/>
              <w:szCs w:val="16"/>
            </w:rPr>
            <w:t>26</w:t>
          </w:r>
          <w:r w:rsidRPr="007B3B51">
            <w:rPr>
              <w:i/>
              <w:sz w:val="16"/>
              <w:szCs w:val="16"/>
            </w:rPr>
            <w:fldChar w:fldCharType="end"/>
          </w:r>
        </w:p>
      </w:tc>
      <w:tc>
        <w:tcPr>
          <w:tcW w:w="5387" w:type="dxa"/>
          <w:gridSpan w:val="3"/>
        </w:tcPr>
        <w:p w:rsidR="00494030" w:rsidRPr="007B3B51" w:rsidRDefault="00494030" w:rsidP="001E0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7245">
            <w:rPr>
              <w:i/>
              <w:noProof/>
              <w:sz w:val="16"/>
              <w:szCs w:val="16"/>
            </w:rPr>
            <w:t>Independent National Security Legislation Monitor Act 2010</w:t>
          </w:r>
          <w:r w:rsidRPr="007B3B51">
            <w:rPr>
              <w:i/>
              <w:sz w:val="16"/>
              <w:szCs w:val="16"/>
            </w:rPr>
            <w:fldChar w:fldCharType="end"/>
          </w:r>
        </w:p>
      </w:tc>
      <w:tc>
        <w:tcPr>
          <w:tcW w:w="669" w:type="dxa"/>
        </w:tcPr>
        <w:p w:rsidR="00494030" w:rsidRPr="007B3B51" w:rsidRDefault="00494030" w:rsidP="001E0FAC">
          <w:pPr>
            <w:jc w:val="right"/>
            <w:rPr>
              <w:sz w:val="16"/>
              <w:szCs w:val="16"/>
            </w:rPr>
          </w:pPr>
        </w:p>
      </w:tc>
    </w:tr>
    <w:tr w:rsidR="00494030" w:rsidRPr="0055472E" w:rsidTr="001E0FAC">
      <w:tc>
        <w:tcPr>
          <w:tcW w:w="2190" w:type="dxa"/>
          <w:gridSpan w:val="2"/>
        </w:tcPr>
        <w:p w:rsidR="00494030" w:rsidRPr="0055472E" w:rsidRDefault="00494030" w:rsidP="001E0FA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B3D66">
            <w:rPr>
              <w:sz w:val="16"/>
              <w:szCs w:val="16"/>
            </w:rPr>
            <w:t>10</w:t>
          </w:r>
          <w:r w:rsidRPr="0055472E">
            <w:rPr>
              <w:sz w:val="16"/>
              <w:szCs w:val="16"/>
            </w:rPr>
            <w:fldChar w:fldCharType="end"/>
          </w:r>
        </w:p>
      </w:tc>
      <w:tc>
        <w:tcPr>
          <w:tcW w:w="2920" w:type="dxa"/>
        </w:tcPr>
        <w:p w:rsidR="00494030" w:rsidRPr="0055472E" w:rsidRDefault="00494030" w:rsidP="001E0FA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B3D66">
            <w:rPr>
              <w:sz w:val="16"/>
              <w:szCs w:val="16"/>
            </w:rPr>
            <w:t>30/6/18</w:t>
          </w:r>
          <w:r w:rsidRPr="0055472E">
            <w:rPr>
              <w:sz w:val="16"/>
              <w:szCs w:val="16"/>
            </w:rPr>
            <w:fldChar w:fldCharType="end"/>
          </w:r>
        </w:p>
      </w:tc>
      <w:tc>
        <w:tcPr>
          <w:tcW w:w="2193" w:type="dxa"/>
          <w:gridSpan w:val="2"/>
        </w:tcPr>
        <w:p w:rsidR="00494030" w:rsidRPr="0055472E" w:rsidRDefault="00494030" w:rsidP="001E0FA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B3D66">
            <w:rPr>
              <w:sz w:val="16"/>
              <w:szCs w:val="16"/>
            </w:rPr>
            <w:instrText>9/07/2018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B3D66">
            <w:rPr>
              <w:sz w:val="16"/>
              <w:szCs w:val="16"/>
            </w:rPr>
            <w:instrText>9/7/18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B3D66">
            <w:rPr>
              <w:noProof/>
              <w:sz w:val="16"/>
              <w:szCs w:val="16"/>
            </w:rPr>
            <w:t>9/7/18</w:t>
          </w:r>
          <w:r w:rsidRPr="0055472E">
            <w:rPr>
              <w:sz w:val="16"/>
              <w:szCs w:val="16"/>
            </w:rPr>
            <w:fldChar w:fldCharType="end"/>
          </w:r>
        </w:p>
      </w:tc>
    </w:tr>
  </w:tbl>
  <w:p w:rsidR="00494030" w:rsidRPr="001E0FAC" w:rsidRDefault="00494030" w:rsidP="001E0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030" w:rsidRDefault="00494030">
      <w:pPr>
        <w:spacing w:line="240" w:lineRule="auto"/>
      </w:pPr>
      <w:r>
        <w:separator/>
      </w:r>
    </w:p>
  </w:footnote>
  <w:footnote w:type="continuationSeparator" w:id="0">
    <w:p w:rsidR="00494030" w:rsidRDefault="004940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Default="00494030" w:rsidP="0043673D">
    <w:pPr>
      <w:pStyle w:val="Header"/>
      <w:pBdr>
        <w:bottom w:val="single" w:sz="6" w:space="1" w:color="auto"/>
      </w:pBdr>
    </w:pPr>
  </w:p>
  <w:p w:rsidR="00494030" w:rsidRDefault="00494030" w:rsidP="0043673D">
    <w:pPr>
      <w:pStyle w:val="Header"/>
      <w:pBdr>
        <w:bottom w:val="single" w:sz="6" w:space="1" w:color="auto"/>
      </w:pBdr>
    </w:pPr>
  </w:p>
  <w:p w:rsidR="00494030" w:rsidRPr="001E77D2" w:rsidRDefault="00494030" w:rsidP="0043673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E528B" w:rsidRDefault="00494030" w:rsidP="001E3C94">
    <w:pPr>
      <w:rPr>
        <w:sz w:val="26"/>
        <w:szCs w:val="26"/>
      </w:rPr>
    </w:pPr>
  </w:p>
  <w:p w:rsidR="00494030" w:rsidRPr="00750516" w:rsidRDefault="00494030" w:rsidP="001E3C94">
    <w:pPr>
      <w:rPr>
        <w:b/>
        <w:sz w:val="20"/>
      </w:rPr>
    </w:pPr>
    <w:r w:rsidRPr="00750516">
      <w:rPr>
        <w:b/>
        <w:sz w:val="20"/>
      </w:rPr>
      <w:t>Endnotes</w:t>
    </w:r>
  </w:p>
  <w:p w:rsidR="00494030" w:rsidRPr="007A1328" w:rsidRDefault="00494030" w:rsidP="001E3C94">
    <w:pPr>
      <w:rPr>
        <w:sz w:val="20"/>
      </w:rPr>
    </w:pPr>
  </w:p>
  <w:p w:rsidR="00494030" w:rsidRPr="007A1328" w:rsidRDefault="00494030" w:rsidP="001E3C94">
    <w:pPr>
      <w:rPr>
        <w:b/>
        <w:sz w:val="24"/>
      </w:rPr>
    </w:pPr>
  </w:p>
  <w:p w:rsidR="00494030" w:rsidRPr="007E528B" w:rsidRDefault="00494030" w:rsidP="0076045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D87245">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E528B" w:rsidRDefault="00494030" w:rsidP="001E3C94">
    <w:pPr>
      <w:jc w:val="right"/>
      <w:rPr>
        <w:sz w:val="26"/>
        <w:szCs w:val="26"/>
      </w:rPr>
    </w:pPr>
  </w:p>
  <w:p w:rsidR="00494030" w:rsidRPr="00750516" w:rsidRDefault="00494030" w:rsidP="001E3C94">
    <w:pPr>
      <w:jc w:val="right"/>
      <w:rPr>
        <w:b/>
        <w:sz w:val="20"/>
      </w:rPr>
    </w:pPr>
    <w:r w:rsidRPr="00750516">
      <w:rPr>
        <w:b/>
        <w:sz w:val="20"/>
      </w:rPr>
      <w:t>Endnotes</w:t>
    </w:r>
  </w:p>
  <w:p w:rsidR="00494030" w:rsidRPr="007A1328" w:rsidRDefault="00494030" w:rsidP="001E3C94">
    <w:pPr>
      <w:jc w:val="right"/>
      <w:rPr>
        <w:sz w:val="20"/>
      </w:rPr>
    </w:pPr>
  </w:p>
  <w:p w:rsidR="00494030" w:rsidRPr="007A1328" w:rsidRDefault="00494030" w:rsidP="001E3C94">
    <w:pPr>
      <w:jc w:val="right"/>
      <w:rPr>
        <w:b/>
        <w:sz w:val="24"/>
      </w:rPr>
    </w:pPr>
  </w:p>
  <w:p w:rsidR="00494030" w:rsidRPr="007E528B" w:rsidRDefault="00494030" w:rsidP="0076045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D87245">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E528B" w:rsidRDefault="00494030" w:rsidP="00E73C62">
    <w:pPr>
      <w:rPr>
        <w:sz w:val="26"/>
        <w:szCs w:val="26"/>
      </w:rPr>
    </w:pPr>
  </w:p>
  <w:p w:rsidR="00494030" w:rsidRPr="00750516" w:rsidRDefault="00494030" w:rsidP="00E73C62">
    <w:pPr>
      <w:rPr>
        <w:b/>
        <w:sz w:val="20"/>
      </w:rPr>
    </w:pPr>
    <w:r w:rsidRPr="00750516">
      <w:rPr>
        <w:b/>
        <w:sz w:val="20"/>
      </w:rPr>
      <w:t>Endnotes</w:t>
    </w:r>
  </w:p>
  <w:p w:rsidR="00494030" w:rsidRPr="007A1328" w:rsidRDefault="00494030" w:rsidP="00E73C62">
    <w:pPr>
      <w:rPr>
        <w:sz w:val="20"/>
      </w:rPr>
    </w:pPr>
  </w:p>
  <w:p w:rsidR="00494030" w:rsidRPr="007A1328" w:rsidRDefault="00494030" w:rsidP="00E73C62">
    <w:pPr>
      <w:rPr>
        <w:b/>
        <w:sz w:val="24"/>
      </w:rPr>
    </w:pPr>
  </w:p>
  <w:p w:rsidR="00494030" w:rsidRPr="007E528B" w:rsidRDefault="00494030" w:rsidP="00E73C6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B3D66">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E528B" w:rsidRDefault="00494030" w:rsidP="00E73C62">
    <w:pPr>
      <w:jc w:val="right"/>
      <w:rPr>
        <w:sz w:val="26"/>
        <w:szCs w:val="26"/>
      </w:rPr>
    </w:pPr>
  </w:p>
  <w:p w:rsidR="00494030" w:rsidRPr="00750516" w:rsidRDefault="00494030" w:rsidP="00E73C62">
    <w:pPr>
      <w:jc w:val="right"/>
      <w:rPr>
        <w:b/>
        <w:sz w:val="20"/>
      </w:rPr>
    </w:pPr>
    <w:r w:rsidRPr="00750516">
      <w:rPr>
        <w:b/>
        <w:sz w:val="20"/>
      </w:rPr>
      <w:t>Endnotes</w:t>
    </w:r>
  </w:p>
  <w:p w:rsidR="00494030" w:rsidRPr="007A1328" w:rsidRDefault="00494030" w:rsidP="00E73C62">
    <w:pPr>
      <w:jc w:val="right"/>
      <w:rPr>
        <w:sz w:val="20"/>
      </w:rPr>
    </w:pPr>
  </w:p>
  <w:p w:rsidR="00494030" w:rsidRPr="007A1328" w:rsidRDefault="00494030" w:rsidP="00E73C62">
    <w:pPr>
      <w:jc w:val="right"/>
      <w:rPr>
        <w:b/>
        <w:sz w:val="24"/>
      </w:rPr>
    </w:pPr>
  </w:p>
  <w:p w:rsidR="00494030" w:rsidRPr="007E528B" w:rsidRDefault="00494030" w:rsidP="00E73C6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B3D66">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Default="00494030" w:rsidP="0043673D">
    <w:pPr>
      <w:pStyle w:val="Header"/>
      <w:pBdr>
        <w:bottom w:val="single" w:sz="4" w:space="1" w:color="auto"/>
      </w:pBdr>
    </w:pPr>
  </w:p>
  <w:p w:rsidR="00494030" w:rsidRDefault="00494030" w:rsidP="0043673D">
    <w:pPr>
      <w:pStyle w:val="Header"/>
      <w:pBdr>
        <w:bottom w:val="single" w:sz="4" w:space="1" w:color="auto"/>
      </w:pBdr>
    </w:pPr>
  </w:p>
  <w:p w:rsidR="00494030" w:rsidRPr="001E77D2" w:rsidRDefault="00494030" w:rsidP="0043673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5F1388" w:rsidRDefault="00494030" w:rsidP="0043673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ED79B6" w:rsidRDefault="00494030" w:rsidP="001E3C9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ED79B6" w:rsidRDefault="00494030" w:rsidP="001E3C9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ED79B6" w:rsidRDefault="00494030" w:rsidP="001E3C9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Default="00494030" w:rsidP="001E3C9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94030" w:rsidRDefault="00494030" w:rsidP="001E3C94">
    <w:pPr>
      <w:rPr>
        <w:sz w:val="20"/>
      </w:rPr>
    </w:pPr>
    <w:r w:rsidRPr="007A1328">
      <w:rPr>
        <w:b/>
        <w:sz w:val="20"/>
      </w:rPr>
      <w:fldChar w:fldCharType="begin"/>
    </w:r>
    <w:r w:rsidRPr="007A1328">
      <w:rPr>
        <w:b/>
        <w:sz w:val="20"/>
      </w:rPr>
      <w:instrText xml:space="preserve"> STYLEREF CharPartNo </w:instrText>
    </w:r>
    <w:r w:rsidR="006B3D66">
      <w:rPr>
        <w:b/>
        <w:sz w:val="20"/>
      </w:rPr>
      <w:fldChar w:fldCharType="separate"/>
    </w:r>
    <w:r w:rsidR="00D87245">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B3D66">
      <w:rPr>
        <w:sz w:val="20"/>
      </w:rPr>
      <w:fldChar w:fldCharType="separate"/>
    </w:r>
    <w:r w:rsidR="00D87245">
      <w:rPr>
        <w:noProof/>
        <w:sz w:val="20"/>
      </w:rPr>
      <w:t>Independent National Security Legislation Monitor</w:t>
    </w:r>
    <w:r>
      <w:rPr>
        <w:sz w:val="20"/>
      </w:rPr>
      <w:fldChar w:fldCharType="end"/>
    </w:r>
  </w:p>
  <w:p w:rsidR="00494030" w:rsidRPr="007A1328" w:rsidRDefault="00494030" w:rsidP="001E3C94">
    <w:pPr>
      <w:rPr>
        <w:sz w:val="20"/>
      </w:rPr>
    </w:pPr>
    <w:r>
      <w:rPr>
        <w:b/>
        <w:sz w:val="20"/>
      </w:rPr>
      <w:fldChar w:fldCharType="begin"/>
    </w:r>
    <w:r>
      <w:rPr>
        <w:b/>
        <w:sz w:val="20"/>
      </w:rPr>
      <w:instrText xml:space="preserve"> STYLEREF CharDivNo </w:instrText>
    </w:r>
    <w:r w:rsidR="00E01CB2">
      <w:rPr>
        <w:b/>
        <w:sz w:val="20"/>
      </w:rPr>
      <w:fldChar w:fldCharType="separate"/>
    </w:r>
    <w:r w:rsidR="00D87245">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E01CB2">
      <w:rPr>
        <w:sz w:val="20"/>
      </w:rPr>
      <w:fldChar w:fldCharType="separate"/>
    </w:r>
    <w:r w:rsidR="00D87245">
      <w:rPr>
        <w:noProof/>
        <w:sz w:val="20"/>
      </w:rPr>
      <w:t>Establishment, functions and powers of Independent National Security Legislation Monitor</w:t>
    </w:r>
    <w:r>
      <w:rPr>
        <w:sz w:val="20"/>
      </w:rPr>
      <w:fldChar w:fldCharType="end"/>
    </w:r>
  </w:p>
  <w:p w:rsidR="00494030" w:rsidRPr="007A1328" w:rsidRDefault="00494030" w:rsidP="001E3C94">
    <w:pPr>
      <w:rPr>
        <w:b/>
        <w:sz w:val="24"/>
      </w:rPr>
    </w:pPr>
  </w:p>
  <w:p w:rsidR="00494030" w:rsidRPr="007A1328" w:rsidRDefault="00494030" w:rsidP="0076045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87245">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A1328" w:rsidRDefault="00494030" w:rsidP="001E3C9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94030" w:rsidRPr="007A1328" w:rsidRDefault="00494030" w:rsidP="001E3C94">
    <w:pPr>
      <w:jc w:val="right"/>
      <w:rPr>
        <w:sz w:val="20"/>
      </w:rPr>
    </w:pPr>
    <w:r w:rsidRPr="007A1328">
      <w:rPr>
        <w:sz w:val="20"/>
      </w:rPr>
      <w:fldChar w:fldCharType="begin"/>
    </w:r>
    <w:r w:rsidRPr="007A1328">
      <w:rPr>
        <w:sz w:val="20"/>
      </w:rPr>
      <w:instrText xml:space="preserve"> STYLEREF CharPartText </w:instrText>
    </w:r>
    <w:r w:rsidR="006B3D66">
      <w:rPr>
        <w:sz w:val="20"/>
      </w:rPr>
      <w:fldChar w:fldCharType="separate"/>
    </w:r>
    <w:r w:rsidR="00D8724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B3D66">
      <w:rPr>
        <w:b/>
        <w:sz w:val="20"/>
      </w:rPr>
      <w:fldChar w:fldCharType="separate"/>
    </w:r>
    <w:r w:rsidR="00D87245">
      <w:rPr>
        <w:b/>
        <w:noProof/>
        <w:sz w:val="20"/>
      </w:rPr>
      <w:t>Part 1</w:t>
    </w:r>
    <w:r>
      <w:rPr>
        <w:b/>
        <w:sz w:val="20"/>
      </w:rPr>
      <w:fldChar w:fldCharType="end"/>
    </w:r>
  </w:p>
  <w:p w:rsidR="00494030" w:rsidRPr="007A1328" w:rsidRDefault="00494030" w:rsidP="001E3C9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94030" w:rsidRPr="007A1328" w:rsidRDefault="00494030" w:rsidP="001E3C94">
    <w:pPr>
      <w:jc w:val="right"/>
      <w:rPr>
        <w:b/>
        <w:sz w:val="24"/>
      </w:rPr>
    </w:pPr>
  </w:p>
  <w:p w:rsidR="00494030" w:rsidRPr="007A1328" w:rsidRDefault="00494030" w:rsidP="00760453">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87245">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30" w:rsidRPr="007A1328" w:rsidRDefault="00494030" w:rsidP="001E3C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8682BA6"/>
    <w:multiLevelType w:val="hybridMultilevel"/>
    <w:tmpl w:val="769CC252"/>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D3F6A4C"/>
    <w:multiLevelType w:val="hybridMultilevel"/>
    <w:tmpl w:val="4DEA7764"/>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E544C9C"/>
    <w:multiLevelType w:val="hybridMultilevel"/>
    <w:tmpl w:val="71867D7A"/>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37A2B29"/>
    <w:multiLevelType w:val="multilevel"/>
    <w:tmpl w:val="0C090023"/>
    <w:numStyleLink w:val="ArticleSection"/>
  </w:abstractNum>
  <w:abstractNum w:abstractNumId="18">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3A82E0B"/>
    <w:multiLevelType w:val="multilevel"/>
    <w:tmpl w:val="0C090023"/>
    <w:numStyleLink w:val="ArticleSection"/>
  </w:abstractNum>
  <w:abstractNum w:abstractNumId="20">
    <w:nsid w:val="384207FF"/>
    <w:multiLevelType w:val="hybridMultilevel"/>
    <w:tmpl w:val="ECC871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F073718"/>
    <w:multiLevelType w:val="hybridMultilevel"/>
    <w:tmpl w:val="C3065656"/>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6364BE3"/>
    <w:multiLevelType w:val="hybridMultilevel"/>
    <w:tmpl w:val="2C94A2CC"/>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9557C25"/>
    <w:multiLevelType w:val="hybridMultilevel"/>
    <w:tmpl w:val="B32E5F32"/>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B6408F8"/>
    <w:multiLevelType w:val="hybridMultilevel"/>
    <w:tmpl w:val="A2A07358"/>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AD658D0"/>
    <w:multiLevelType w:val="hybridMultilevel"/>
    <w:tmpl w:val="C038DCD6"/>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CD27AC4"/>
    <w:multiLevelType w:val="hybridMultilevel"/>
    <w:tmpl w:val="0BD65A56"/>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E5455E3"/>
    <w:multiLevelType w:val="multilevel"/>
    <w:tmpl w:val="0C09001D"/>
    <w:numStyleLink w:val="1ai"/>
  </w:abstractNum>
  <w:abstractNum w:abstractNumId="36">
    <w:nsid w:val="6E906B59"/>
    <w:multiLevelType w:val="hybridMultilevel"/>
    <w:tmpl w:val="F6C236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76586134"/>
    <w:multiLevelType w:val="hybridMultilevel"/>
    <w:tmpl w:val="B81C9AA8"/>
    <w:lvl w:ilvl="0" w:tplc="4DE4A6A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F460351"/>
    <w:multiLevelType w:val="multilevel"/>
    <w:tmpl w:val="92FAEDEA"/>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38"/>
  </w:num>
  <w:num w:numId="14">
    <w:abstractNumId w:val="33"/>
  </w:num>
  <w:num w:numId="15">
    <w:abstractNumId w:val="37"/>
  </w:num>
  <w:num w:numId="16">
    <w:abstractNumId w:val="26"/>
  </w:num>
  <w:num w:numId="17">
    <w:abstractNumId w:val="27"/>
  </w:num>
  <w:num w:numId="18">
    <w:abstractNumId w:val="24"/>
  </w:num>
  <w:num w:numId="19">
    <w:abstractNumId w:val="13"/>
  </w:num>
  <w:num w:numId="20">
    <w:abstractNumId w:val="11"/>
  </w:num>
  <w:num w:numId="21">
    <w:abstractNumId w:val="23"/>
  </w:num>
  <w:num w:numId="22">
    <w:abstractNumId w:val="34"/>
  </w:num>
  <w:num w:numId="23">
    <w:abstractNumId w:val="12"/>
  </w:num>
  <w:num w:numId="24">
    <w:abstractNumId w:val="20"/>
  </w:num>
  <w:num w:numId="25">
    <w:abstractNumId w:val="36"/>
  </w:num>
  <w:num w:numId="26">
    <w:abstractNumId w:val="30"/>
  </w:num>
  <w:num w:numId="27">
    <w:abstractNumId w:val="14"/>
  </w:num>
  <w:num w:numId="28">
    <w:abstractNumId w:val="18"/>
  </w:num>
  <w:num w:numId="29">
    <w:abstractNumId w:val="22"/>
  </w:num>
  <w:num w:numId="30">
    <w:abstractNumId w:val="35"/>
  </w:num>
  <w:num w:numId="31">
    <w:abstractNumId w:val="17"/>
  </w:num>
  <w:num w:numId="32">
    <w:abstractNumId w:val="31"/>
  </w:num>
  <w:num w:numId="33">
    <w:abstractNumId w:val="19"/>
  </w:num>
  <w:num w:numId="34">
    <w:abstractNumId w:val="29"/>
  </w:num>
  <w:num w:numId="35">
    <w:abstractNumId w:val="25"/>
  </w:num>
  <w:num w:numId="36">
    <w:abstractNumId w:val="32"/>
  </w:num>
  <w:num w:numId="37">
    <w:abstractNumId w:val="15"/>
  </w:num>
  <w:num w:numId="38">
    <w:abstractNumId w:val="2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CF"/>
    <w:rsid w:val="000279EB"/>
    <w:rsid w:val="00085D7D"/>
    <w:rsid w:val="000975DC"/>
    <w:rsid w:val="000B42AF"/>
    <w:rsid w:val="000B4844"/>
    <w:rsid w:val="000F44B2"/>
    <w:rsid w:val="001129EA"/>
    <w:rsid w:val="00115955"/>
    <w:rsid w:val="00132C21"/>
    <w:rsid w:val="0013337A"/>
    <w:rsid w:val="00136335"/>
    <w:rsid w:val="00150001"/>
    <w:rsid w:val="001563B9"/>
    <w:rsid w:val="001745FF"/>
    <w:rsid w:val="00176D59"/>
    <w:rsid w:val="00183BD9"/>
    <w:rsid w:val="00196191"/>
    <w:rsid w:val="001A0418"/>
    <w:rsid w:val="001A6B4A"/>
    <w:rsid w:val="001D608E"/>
    <w:rsid w:val="001E03EB"/>
    <w:rsid w:val="001E0FAC"/>
    <w:rsid w:val="001E1943"/>
    <w:rsid w:val="001E3C94"/>
    <w:rsid w:val="001F4756"/>
    <w:rsid w:val="001F6A12"/>
    <w:rsid w:val="00210C01"/>
    <w:rsid w:val="0026062E"/>
    <w:rsid w:val="00272EC3"/>
    <w:rsid w:val="0029017C"/>
    <w:rsid w:val="002A2055"/>
    <w:rsid w:val="002A29E7"/>
    <w:rsid w:val="002A35C4"/>
    <w:rsid w:val="002A68E5"/>
    <w:rsid w:val="002C1643"/>
    <w:rsid w:val="002D0231"/>
    <w:rsid w:val="002D4773"/>
    <w:rsid w:val="002D7F34"/>
    <w:rsid w:val="002E3728"/>
    <w:rsid w:val="002E6D7A"/>
    <w:rsid w:val="002F5B1A"/>
    <w:rsid w:val="00355BA8"/>
    <w:rsid w:val="0036423E"/>
    <w:rsid w:val="003672F2"/>
    <w:rsid w:val="00370C2B"/>
    <w:rsid w:val="00380E95"/>
    <w:rsid w:val="003815EC"/>
    <w:rsid w:val="00384F59"/>
    <w:rsid w:val="00385134"/>
    <w:rsid w:val="00392AAD"/>
    <w:rsid w:val="00394C98"/>
    <w:rsid w:val="00394D0A"/>
    <w:rsid w:val="003A4BD9"/>
    <w:rsid w:val="003C0371"/>
    <w:rsid w:val="003C20E1"/>
    <w:rsid w:val="003D5C85"/>
    <w:rsid w:val="003F1713"/>
    <w:rsid w:val="0042445F"/>
    <w:rsid w:val="004338BB"/>
    <w:rsid w:val="0043673D"/>
    <w:rsid w:val="00443064"/>
    <w:rsid w:val="00444A9D"/>
    <w:rsid w:val="00452233"/>
    <w:rsid w:val="00452617"/>
    <w:rsid w:val="00460904"/>
    <w:rsid w:val="00480DF0"/>
    <w:rsid w:val="00484D41"/>
    <w:rsid w:val="00494030"/>
    <w:rsid w:val="004A308C"/>
    <w:rsid w:val="004B43D4"/>
    <w:rsid w:val="004B5D5C"/>
    <w:rsid w:val="004B79B0"/>
    <w:rsid w:val="004F6F9B"/>
    <w:rsid w:val="005066FC"/>
    <w:rsid w:val="005138BC"/>
    <w:rsid w:val="00522F61"/>
    <w:rsid w:val="00526631"/>
    <w:rsid w:val="00551544"/>
    <w:rsid w:val="00566F59"/>
    <w:rsid w:val="00567B38"/>
    <w:rsid w:val="00575EF8"/>
    <w:rsid w:val="005B672C"/>
    <w:rsid w:val="005B70EE"/>
    <w:rsid w:val="005B73E9"/>
    <w:rsid w:val="005D1102"/>
    <w:rsid w:val="005D1E84"/>
    <w:rsid w:val="005F4D4C"/>
    <w:rsid w:val="00603077"/>
    <w:rsid w:val="006048A3"/>
    <w:rsid w:val="00607F38"/>
    <w:rsid w:val="0062311A"/>
    <w:rsid w:val="00642699"/>
    <w:rsid w:val="00652BCF"/>
    <w:rsid w:val="0067055B"/>
    <w:rsid w:val="00682FC6"/>
    <w:rsid w:val="00695060"/>
    <w:rsid w:val="006A1EF6"/>
    <w:rsid w:val="006A4DD8"/>
    <w:rsid w:val="006B3D66"/>
    <w:rsid w:val="006C011C"/>
    <w:rsid w:val="006D1A39"/>
    <w:rsid w:val="006D1D0B"/>
    <w:rsid w:val="006E2C01"/>
    <w:rsid w:val="006F1FC1"/>
    <w:rsid w:val="006F42E6"/>
    <w:rsid w:val="006F6ECE"/>
    <w:rsid w:val="00705D3F"/>
    <w:rsid w:val="00717D35"/>
    <w:rsid w:val="007210E2"/>
    <w:rsid w:val="0073216B"/>
    <w:rsid w:val="00742CFC"/>
    <w:rsid w:val="00760453"/>
    <w:rsid w:val="007648F7"/>
    <w:rsid w:val="00794628"/>
    <w:rsid w:val="007B0793"/>
    <w:rsid w:val="007B2820"/>
    <w:rsid w:val="007C02FB"/>
    <w:rsid w:val="007C62E0"/>
    <w:rsid w:val="007E505F"/>
    <w:rsid w:val="007F526B"/>
    <w:rsid w:val="008067E6"/>
    <w:rsid w:val="008109D7"/>
    <w:rsid w:val="00811327"/>
    <w:rsid w:val="0081515D"/>
    <w:rsid w:val="008222BE"/>
    <w:rsid w:val="008457BA"/>
    <w:rsid w:val="00852D68"/>
    <w:rsid w:val="00861DA7"/>
    <w:rsid w:val="00871FB2"/>
    <w:rsid w:val="0088035A"/>
    <w:rsid w:val="0089558C"/>
    <w:rsid w:val="0089575C"/>
    <w:rsid w:val="00896054"/>
    <w:rsid w:val="008A2D52"/>
    <w:rsid w:val="008C0964"/>
    <w:rsid w:val="008C1B45"/>
    <w:rsid w:val="008E2E15"/>
    <w:rsid w:val="008F5EC3"/>
    <w:rsid w:val="00907A13"/>
    <w:rsid w:val="00930B88"/>
    <w:rsid w:val="00937135"/>
    <w:rsid w:val="00942F64"/>
    <w:rsid w:val="00964E53"/>
    <w:rsid w:val="00995A57"/>
    <w:rsid w:val="00997CFA"/>
    <w:rsid w:val="009B3C6F"/>
    <w:rsid w:val="009C54CC"/>
    <w:rsid w:val="009E56C8"/>
    <w:rsid w:val="009F0CE7"/>
    <w:rsid w:val="009F5D5B"/>
    <w:rsid w:val="00A12225"/>
    <w:rsid w:val="00A16503"/>
    <w:rsid w:val="00A178C9"/>
    <w:rsid w:val="00A41EC2"/>
    <w:rsid w:val="00A51A77"/>
    <w:rsid w:val="00A64831"/>
    <w:rsid w:val="00A65D98"/>
    <w:rsid w:val="00A74EE8"/>
    <w:rsid w:val="00A86002"/>
    <w:rsid w:val="00A86DBF"/>
    <w:rsid w:val="00A95C27"/>
    <w:rsid w:val="00AA1AF0"/>
    <w:rsid w:val="00AB307C"/>
    <w:rsid w:val="00AC06BA"/>
    <w:rsid w:val="00AC2A64"/>
    <w:rsid w:val="00AD769C"/>
    <w:rsid w:val="00B04DCA"/>
    <w:rsid w:val="00B05F2E"/>
    <w:rsid w:val="00B12E0B"/>
    <w:rsid w:val="00B171F3"/>
    <w:rsid w:val="00B26551"/>
    <w:rsid w:val="00B56D2A"/>
    <w:rsid w:val="00B62184"/>
    <w:rsid w:val="00B67E50"/>
    <w:rsid w:val="00B7258D"/>
    <w:rsid w:val="00B75A4B"/>
    <w:rsid w:val="00B864AB"/>
    <w:rsid w:val="00B94377"/>
    <w:rsid w:val="00BA4AB4"/>
    <w:rsid w:val="00BC1BFE"/>
    <w:rsid w:val="00BD1395"/>
    <w:rsid w:val="00C035F4"/>
    <w:rsid w:val="00C23007"/>
    <w:rsid w:val="00C30849"/>
    <w:rsid w:val="00C36D7F"/>
    <w:rsid w:val="00C41FF1"/>
    <w:rsid w:val="00C4280E"/>
    <w:rsid w:val="00C67112"/>
    <w:rsid w:val="00C67AE6"/>
    <w:rsid w:val="00C67BFB"/>
    <w:rsid w:val="00C77A31"/>
    <w:rsid w:val="00C877E3"/>
    <w:rsid w:val="00C97C8C"/>
    <w:rsid w:val="00CA4F5D"/>
    <w:rsid w:val="00CC1292"/>
    <w:rsid w:val="00CC21F8"/>
    <w:rsid w:val="00CF25C8"/>
    <w:rsid w:val="00D033A1"/>
    <w:rsid w:val="00D0727A"/>
    <w:rsid w:val="00D10297"/>
    <w:rsid w:val="00D3481C"/>
    <w:rsid w:val="00D43DFA"/>
    <w:rsid w:val="00D51955"/>
    <w:rsid w:val="00D54BEB"/>
    <w:rsid w:val="00D774CC"/>
    <w:rsid w:val="00D81A7B"/>
    <w:rsid w:val="00D87245"/>
    <w:rsid w:val="00DA1609"/>
    <w:rsid w:val="00DA3AA8"/>
    <w:rsid w:val="00DC2551"/>
    <w:rsid w:val="00DC6780"/>
    <w:rsid w:val="00DC6A1D"/>
    <w:rsid w:val="00DF5940"/>
    <w:rsid w:val="00E01CB2"/>
    <w:rsid w:val="00E35D72"/>
    <w:rsid w:val="00E6096B"/>
    <w:rsid w:val="00E60B86"/>
    <w:rsid w:val="00E61CD9"/>
    <w:rsid w:val="00E633D0"/>
    <w:rsid w:val="00E73C62"/>
    <w:rsid w:val="00E73ED5"/>
    <w:rsid w:val="00E77DA1"/>
    <w:rsid w:val="00E87894"/>
    <w:rsid w:val="00EC5BD3"/>
    <w:rsid w:val="00EC74F0"/>
    <w:rsid w:val="00F16AD8"/>
    <w:rsid w:val="00F224FD"/>
    <w:rsid w:val="00F24E70"/>
    <w:rsid w:val="00F30131"/>
    <w:rsid w:val="00F47B8B"/>
    <w:rsid w:val="00F6706D"/>
    <w:rsid w:val="00F725C7"/>
    <w:rsid w:val="00F859B3"/>
    <w:rsid w:val="00F96D0D"/>
    <w:rsid w:val="00FC31EA"/>
    <w:rsid w:val="00FD6C3D"/>
    <w:rsid w:val="00FE7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3D66"/>
    <w:pPr>
      <w:spacing w:line="260" w:lineRule="atLeast"/>
    </w:pPr>
    <w:rPr>
      <w:rFonts w:eastAsiaTheme="minorHAnsi" w:cstheme="minorBidi"/>
      <w:sz w:val="22"/>
      <w:lang w:eastAsia="en-US"/>
    </w:rPr>
  </w:style>
  <w:style w:type="paragraph" w:styleId="Heading1">
    <w:name w:val="heading 1"/>
    <w:next w:val="Heading2"/>
    <w:autoRedefine/>
    <w:qFormat/>
    <w:rsid w:val="008A2D52"/>
    <w:pPr>
      <w:keepNext/>
      <w:keepLines/>
      <w:ind w:left="1134" w:hanging="1134"/>
      <w:outlineLvl w:val="0"/>
    </w:pPr>
    <w:rPr>
      <w:b/>
      <w:bCs/>
      <w:kern w:val="28"/>
      <w:sz w:val="36"/>
      <w:szCs w:val="32"/>
    </w:rPr>
  </w:style>
  <w:style w:type="paragraph" w:styleId="Heading2">
    <w:name w:val="heading 2"/>
    <w:basedOn w:val="Heading1"/>
    <w:next w:val="Heading3"/>
    <w:autoRedefine/>
    <w:qFormat/>
    <w:rsid w:val="008A2D52"/>
    <w:pPr>
      <w:spacing w:before="280"/>
      <w:outlineLvl w:val="1"/>
    </w:pPr>
    <w:rPr>
      <w:bCs w:val="0"/>
      <w:iCs/>
      <w:sz w:val="32"/>
      <w:szCs w:val="28"/>
    </w:rPr>
  </w:style>
  <w:style w:type="paragraph" w:styleId="Heading3">
    <w:name w:val="heading 3"/>
    <w:basedOn w:val="Heading1"/>
    <w:next w:val="Heading4"/>
    <w:autoRedefine/>
    <w:qFormat/>
    <w:rsid w:val="008A2D52"/>
    <w:pPr>
      <w:spacing w:before="240"/>
      <w:outlineLvl w:val="2"/>
    </w:pPr>
    <w:rPr>
      <w:bCs w:val="0"/>
      <w:sz w:val="28"/>
      <w:szCs w:val="26"/>
    </w:rPr>
  </w:style>
  <w:style w:type="paragraph" w:styleId="Heading4">
    <w:name w:val="heading 4"/>
    <w:basedOn w:val="Heading1"/>
    <w:next w:val="Heading5"/>
    <w:autoRedefine/>
    <w:qFormat/>
    <w:rsid w:val="008A2D52"/>
    <w:pPr>
      <w:spacing w:before="220"/>
      <w:outlineLvl w:val="3"/>
    </w:pPr>
    <w:rPr>
      <w:bCs w:val="0"/>
      <w:sz w:val="26"/>
      <w:szCs w:val="28"/>
    </w:rPr>
  </w:style>
  <w:style w:type="paragraph" w:styleId="Heading5">
    <w:name w:val="heading 5"/>
    <w:basedOn w:val="Heading1"/>
    <w:next w:val="subsection"/>
    <w:autoRedefine/>
    <w:qFormat/>
    <w:rsid w:val="008A2D52"/>
    <w:pPr>
      <w:spacing w:before="280"/>
      <w:outlineLvl w:val="4"/>
    </w:pPr>
    <w:rPr>
      <w:bCs w:val="0"/>
      <w:iCs/>
      <w:sz w:val="24"/>
      <w:szCs w:val="26"/>
    </w:rPr>
  </w:style>
  <w:style w:type="paragraph" w:styleId="Heading6">
    <w:name w:val="heading 6"/>
    <w:basedOn w:val="Heading1"/>
    <w:next w:val="Heading7"/>
    <w:autoRedefine/>
    <w:qFormat/>
    <w:rsid w:val="008A2D52"/>
    <w:pPr>
      <w:outlineLvl w:val="5"/>
    </w:pPr>
    <w:rPr>
      <w:rFonts w:ascii="Arial" w:hAnsi="Arial" w:cs="Arial"/>
      <w:bCs w:val="0"/>
      <w:sz w:val="32"/>
      <w:szCs w:val="22"/>
    </w:rPr>
  </w:style>
  <w:style w:type="paragraph" w:styleId="Heading7">
    <w:name w:val="heading 7"/>
    <w:basedOn w:val="Heading6"/>
    <w:next w:val="Normal"/>
    <w:autoRedefine/>
    <w:qFormat/>
    <w:rsid w:val="008A2D52"/>
    <w:pPr>
      <w:spacing w:before="280"/>
      <w:outlineLvl w:val="6"/>
    </w:pPr>
    <w:rPr>
      <w:sz w:val="28"/>
    </w:rPr>
  </w:style>
  <w:style w:type="paragraph" w:styleId="Heading8">
    <w:name w:val="heading 8"/>
    <w:basedOn w:val="Heading6"/>
    <w:next w:val="Normal"/>
    <w:autoRedefine/>
    <w:qFormat/>
    <w:rsid w:val="008A2D52"/>
    <w:pPr>
      <w:spacing w:before="240"/>
      <w:outlineLvl w:val="7"/>
    </w:pPr>
    <w:rPr>
      <w:iCs/>
      <w:sz w:val="26"/>
    </w:rPr>
  </w:style>
  <w:style w:type="paragraph" w:styleId="Heading9">
    <w:name w:val="heading 9"/>
    <w:basedOn w:val="Heading1"/>
    <w:next w:val="Normal"/>
    <w:autoRedefine/>
    <w:qFormat/>
    <w:rsid w:val="008A2D52"/>
    <w:pPr>
      <w:keepNext w:val="0"/>
      <w:spacing w:before="280"/>
      <w:outlineLvl w:val="8"/>
    </w:pPr>
    <w:rPr>
      <w:i/>
      <w:sz w:val="28"/>
      <w:szCs w:val="22"/>
    </w:rPr>
  </w:style>
  <w:style w:type="character" w:default="1" w:styleId="DefaultParagraphFont">
    <w:name w:val="Default Paragraph Font"/>
    <w:uiPriority w:val="1"/>
    <w:unhideWhenUsed/>
    <w:rsid w:val="006B3D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3D66"/>
  </w:style>
  <w:style w:type="paragraph" w:customStyle="1" w:styleId="Actno">
    <w:name w:val="Actno"/>
    <w:basedOn w:val="ShortT"/>
    <w:next w:val="Normal"/>
    <w:link w:val="ActnoChar"/>
    <w:qFormat/>
    <w:rsid w:val="006B3D66"/>
  </w:style>
  <w:style w:type="paragraph" w:customStyle="1" w:styleId="BoxHeadBold">
    <w:name w:val="BoxHeadBold"/>
    <w:aliases w:val="bhb"/>
    <w:basedOn w:val="BoxText"/>
    <w:next w:val="BoxText"/>
    <w:qFormat/>
    <w:rsid w:val="006B3D66"/>
    <w:rPr>
      <w:b/>
    </w:rPr>
  </w:style>
  <w:style w:type="paragraph" w:customStyle="1" w:styleId="BoxList">
    <w:name w:val="BoxList"/>
    <w:aliases w:val="bl"/>
    <w:basedOn w:val="BoxText"/>
    <w:qFormat/>
    <w:rsid w:val="006B3D66"/>
    <w:pPr>
      <w:ind w:left="1559" w:hanging="425"/>
    </w:pPr>
  </w:style>
  <w:style w:type="paragraph" w:customStyle="1" w:styleId="BoxPara">
    <w:name w:val="BoxPara"/>
    <w:aliases w:val="bp"/>
    <w:basedOn w:val="BoxText"/>
    <w:qFormat/>
    <w:rsid w:val="006B3D66"/>
    <w:pPr>
      <w:tabs>
        <w:tab w:val="right" w:pos="2268"/>
      </w:tabs>
      <w:ind w:left="2552" w:hanging="1418"/>
    </w:pPr>
  </w:style>
  <w:style w:type="paragraph" w:customStyle="1" w:styleId="BoxText">
    <w:name w:val="BoxText"/>
    <w:aliases w:val="bt"/>
    <w:basedOn w:val="OPCParaBase"/>
    <w:qFormat/>
    <w:rsid w:val="006B3D66"/>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6B3D66"/>
  </w:style>
  <w:style w:type="character" w:customStyle="1" w:styleId="CharAmPartText">
    <w:name w:val="CharAmPartText"/>
    <w:basedOn w:val="OPCCharBase"/>
    <w:uiPriority w:val="1"/>
    <w:qFormat/>
    <w:rsid w:val="006B3D66"/>
  </w:style>
  <w:style w:type="character" w:customStyle="1" w:styleId="CharAmSchNo">
    <w:name w:val="CharAmSchNo"/>
    <w:basedOn w:val="OPCCharBase"/>
    <w:uiPriority w:val="1"/>
    <w:qFormat/>
    <w:rsid w:val="006B3D66"/>
  </w:style>
  <w:style w:type="character" w:customStyle="1" w:styleId="CharAmSchText">
    <w:name w:val="CharAmSchText"/>
    <w:basedOn w:val="OPCCharBase"/>
    <w:uiPriority w:val="1"/>
    <w:qFormat/>
    <w:rsid w:val="006B3D66"/>
  </w:style>
  <w:style w:type="character" w:customStyle="1" w:styleId="CharBoldItalic">
    <w:name w:val="CharBoldItalic"/>
    <w:basedOn w:val="OPCCharBase"/>
    <w:uiPriority w:val="1"/>
    <w:qFormat/>
    <w:rsid w:val="006B3D66"/>
    <w:rPr>
      <w:b/>
      <w:i/>
    </w:rPr>
  </w:style>
  <w:style w:type="character" w:customStyle="1" w:styleId="CharChapNo">
    <w:name w:val="CharChapNo"/>
    <w:basedOn w:val="OPCCharBase"/>
    <w:qFormat/>
    <w:rsid w:val="006B3D66"/>
  </w:style>
  <w:style w:type="character" w:customStyle="1" w:styleId="CharChapText">
    <w:name w:val="CharChapText"/>
    <w:basedOn w:val="OPCCharBase"/>
    <w:qFormat/>
    <w:rsid w:val="006B3D66"/>
  </w:style>
  <w:style w:type="character" w:customStyle="1" w:styleId="CharDivNo">
    <w:name w:val="CharDivNo"/>
    <w:basedOn w:val="OPCCharBase"/>
    <w:qFormat/>
    <w:rsid w:val="006B3D66"/>
  </w:style>
  <w:style w:type="character" w:customStyle="1" w:styleId="CharDivText">
    <w:name w:val="CharDivText"/>
    <w:basedOn w:val="OPCCharBase"/>
    <w:qFormat/>
    <w:rsid w:val="006B3D66"/>
  </w:style>
  <w:style w:type="character" w:customStyle="1" w:styleId="CharItalic">
    <w:name w:val="CharItalic"/>
    <w:basedOn w:val="OPCCharBase"/>
    <w:uiPriority w:val="1"/>
    <w:qFormat/>
    <w:rsid w:val="006B3D66"/>
    <w:rPr>
      <w:i/>
    </w:rPr>
  </w:style>
  <w:style w:type="character" w:customStyle="1" w:styleId="CharPartNo">
    <w:name w:val="CharPartNo"/>
    <w:basedOn w:val="OPCCharBase"/>
    <w:qFormat/>
    <w:rsid w:val="006B3D66"/>
  </w:style>
  <w:style w:type="character" w:customStyle="1" w:styleId="CharPartText">
    <w:name w:val="CharPartText"/>
    <w:basedOn w:val="OPCCharBase"/>
    <w:qFormat/>
    <w:rsid w:val="006B3D66"/>
  </w:style>
  <w:style w:type="character" w:customStyle="1" w:styleId="CharSectno">
    <w:name w:val="CharSectno"/>
    <w:basedOn w:val="OPCCharBase"/>
    <w:qFormat/>
    <w:rsid w:val="006B3D66"/>
  </w:style>
  <w:style w:type="character" w:customStyle="1" w:styleId="CharSubdNo">
    <w:name w:val="CharSubdNo"/>
    <w:basedOn w:val="OPCCharBase"/>
    <w:uiPriority w:val="1"/>
    <w:qFormat/>
    <w:rsid w:val="006B3D66"/>
  </w:style>
  <w:style w:type="character" w:customStyle="1" w:styleId="CharSubdText">
    <w:name w:val="CharSubdText"/>
    <w:basedOn w:val="OPCCharBase"/>
    <w:uiPriority w:val="1"/>
    <w:qFormat/>
    <w:rsid w:val="006B3D66"/>
  </w:style>
  <w:style w:type="paragraph" w:customStyle="1" w:styleId="Blocks">
    <w:name w:val="Blocks"/>
    <w:aliases w:val="bb"/>
    <w:basedOn w:val="OPCParaBase"/>
    <w:qFormat/>
    <w:rsid w:val="006B3D66"/>
    <w:pPr>
      <w:spacing w:line="240" w:lineRule="auto"/>
    </w:pPr>
    <w:rPr>
      <w:sz w:val="24"/>
    </w:rPr>
  </w:style>
  <w:style w:type="paragraph" w:customStyle="1" w:styleId="BoxHeadItalic">
    <w:name w:val="BoxHeadItalic"/>
    <w:aliases w:val="bhi"/>
    <w:basedOn w:val="BoxText"/>
    <w:next w:val="BoxStep"/>
    <w:qFormat/>
    <w:rsid w:val="006B3D66"/>
    <w:rPr>
      <w:i/>
    </w:rPr>
  </w:style>
  <w:style w:type="paragraph" w:customStyle="1" w:styleId="BoxNote">
    <w:name w:val="BoxNote"/>
    <w:aliases w:val="bn"/>
    <w:basedOn w:val="BoxText"/>
    <w:qFormat/>
    <w:rsid w:val="006B3D66"/>
    <w:pPr>
      <w:tabs>
        <w:tab w:val="left" w:pos="1985"/>
      </w:tabs>
      <w:spacing w:before="122" w:line="198" w:lineRule="exact"/>
      <w:ind w:left="2948" w:hanging="1814"/>
    </w:pPr>
    <w:rPr>
      <w:sz w:val="18"/>
    </w:rPr>
  </w:style>
  <w:style w:type="paragraph" w:customStyle="1" w:styleId="BoxStep">
    <w:name w:val="BoxStep"/>
    <w:aliases w:val="bs"/>
    <w:basedOn w:val="BoxText"/>
    <w:qFormat/>
    <w:rsid w:val="006B3D66"/>
    <w:pPr>
      <w:ind w:left="1985" w:hanging="851"/>
    </w:pPr>
  </w:style>
  <w:style w:type="paragraph" w:customStyle="1" w:styleId="Definition">
    <w:name w:val="Definition"/>
    <w:aliases w:val="dd"/>
    <w:basedOn w:val="OPCParaBase"/>
    <w:rsid w:val="006B3D66"/>
    <w:pPr>
      <w:spacing w:before="180" w:line="240" w:lineRule="auto"/>
      <w:ind w:left="1134"/>
    </w:pPr>
  </w:style>
  <w:style w:type="paragraph" w:customStyle="1" w:styleId="House">
    <w:name w:val="House"/>
    <w:basedOn w:val="OPCParaBase"/>
    <w:rsid w:val="006B3D66"/>
    <w:pPr>
      <w:spacing w:line="240" w:lineRule="auto"/>
    </w:pPr>
    <w:rPr>
      <w:sz w:val="28"/>
    </w:rPr>
  </w:style>
  <w:style w:type="paragraph" w:customStyle="1" w:styleId="paragraph">
    <w:name w:val="paragraph"/>
    <w:aliases w:val="a"/>
    <w:basedOn w:val="OPCParaBase"/>
    <w:link w:val="paragraphChar"/>
    <w:rsid w:val="006B3D66"/>
    <w:pPr>
      <w:tabs>
        <w:tab w:val="right" w:pos="1531"/>
      </w:tabs>
      <w:spacing w:before="40" w:line="240" w:lineRule="auto"/>
      <w:ind w:left="1644" w:hanging="1644"/>
    </w:pPr>
  </w:style>
  <w:style w:type="paragraph" w:customStyle="1" w:styleId="paragraphsub">
    <w:name w:val="paragraph(sub)"/>
    <w:aliases w:val="aa"/>
    <w:basedOn w:val="OPCParaBase"/>
    <w:rsid w:val="006B3D66"/>
    <w:pPr>
      <w:tabs>
        <w:tab w:val="right" w:pos="1985"/>
      </w:tabs>
      <w:spacing w:before="40" w:line="240" w:lineRule="auto"/>
      <w:ind w:left="2098" w:hanging="2098"/>
    </w:pPr>
  </w:style>
  <w:style w:type="paragraph" w:customStyle="1" w:styleId="Formula">
    <w:name w:val="Formula"/>
    <w:basedOn w:val="OPCParaBase"/>
    <w:rsid w:val="006B3D66"/>
    <w:pPr>
      <w:spacing w:line="240" w:lineRule="auto"/>
      <w:ind w:left="1134"/>
    </w:pPr>
    <w:rPr>
      <w:sz w:val="20"/>
    </w:rPr>
  </w:style>
  <w:style w:type="paragraph" w:customStyle="1" w:styleId="paragraphsub-sub">
    <w:name w:val="paragraph(sub-sub)"/>
    <w:aliases w:val="aaa"/>
    <w:basedOn w:val="OPCParaBase"/>
    <w:rsid w:val="006B3D66"/>
    <w:pPr>
      <w:tabs>
        <w:tab w:val="right" w:pos="2722"/>
      </w:tabs>
      <w:spacing w:before="40" w:line="240" w:lineRule="auto"/>
      <w:ind w:left="2835" w:hanging="2835"/>
    </w:pPr>
  </w:style>
  <w:style w:type="paragraph" w:customStyle="1" w:styleId="Item">
    <w:name w:val="Item"/>
    <w:aliases w:val="i"/>
    <w:basedOn w:val="OPCParaBase"/>
    <w:next w:val="ItemHead"/>
    <w:rsid w:val="006B3D66"/>
    <w:pPr>
      <w:keepLines/>
      <w:spacing w:before="80" w:line="240" w:lineRule="auto"/>
      <w:ind w:left="709"/>
    </w:pPr>
  </w:style>
  <w:style w:type="paragraph" w:customStyle="1" w:styleId="ItemHead">
    <w:name w:val="ItemHead"/>
    <w:aliases w:val="ih"/>
    <w:basedOn w:val="OPCParaBase"/>
    <w:next w:val="Item"/>
    <w:link w:val="ItemHeadChar"/>
    <w:rsid w:val="006B3D66"/>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6B3D66"/>
    <w:pPr>
      <w:spacing w:before="240" w:line="240" w:lineRule="auto"/>
      <w:ind w:left="284" w:hanging="284"/>
    </w:pPr>
    <w:rPr>
      <w:i/>
      <w:sz w:val="24"/>
    </w:rPr>
  </w:style>
  <w:style w:type="paragraph" w:customStyle="1" w:styleId="notepara">
    <w:name w:val="note(para)"/>
    <w:aliases w:val="na"/>
    <w:basedOn w:val="OPCParaBase"/>
    <w:rsid w:val="006B3D66"/>
    <w:pPr>
      <w:spacing w:before="40" w:line="198" w:lineRule="exact"/>
      <w:ind w:left="2354" w:hanging="369"/>
    </w:pPr>
    <w:rPr>
      <w:sz w:val="18"/>
    </w:rPr>
  </w:style>
  <w:style w:type="paragraph" w:customStyle="1" w:styleId="LongT">
    <w:name w:val="LongT"/>
    <w:basedOn w:val="OPCParaBase"/>
    <w:rsid w:val="006B3D66"/>
    <w:pPr>
      <w:spacing w:line="240" w:lineRule="auto"/>
    </w:pPr>
    <w:rPr>
      <w:b/>
      <w:sz w:val="32"/>
    </w:rPr>
  </w:style>
  <w:style w:type="paragraph" w:customStyle="1" w:styleId="notemargin">
    <w:name w:val="note(margin)"/>
    <w:aliases w:val="nm"/>
    <w:basedOn w:val="OPCParaBase"/>
    <w:rsid w:val="006B3D66"/>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6B3D66"/>
    <w:pPr>
      <w:spacing w:line="240" w:lineRule="auto"/>
      <w:jc w:val="right"/>
    </w:pPr>
    <w:rPr>
      <w:rFonts w:ascii="Arial" w:hAnsi="Arial"/>
      <w:b/>
      <w:i/>
    </w:rPr>
  </w:style>
  <w:style w:type="paragraph" w:customStyle="1" w:styleId="Page1">
    <w:name w:val="Page1"/>
    <w:basedOn w:val="OPCParaBase"/>
    <w:rsid w:val="006B3D66"/>
    <w:pPr>
      <w:spacing w:before="5600" w:line="240" w:lineRule="auto"/>
    </w:pPr>
    <w:rPr>
      <w:b/>
      <w:sz w:val="32"/>
    </w:rPr>
  </w:style>
  <w:style w:type="paragraph" w:customStyle="1" w:styleId="Penalty">
    <w:name w:val="Penalty"/>
    <w:basedOn w:val="OPCParaBase"/>
    <w:rsid w:val="006B3D66"/>
    <w:pPr>
      <w:tabs>
        <w:tab w:val="left" w:pos="2977"/>
      </w:tabs>
      <w:spacing w:before="180" w:line="240" w:lineRule="auto"/>
      <w:ind w:left="1985" w:hanging="851"/>
    </w:pPr>
  </w:style>
  <w:style w:type="paragraph" w:customStyle="1" w:styleId="Portfolio">
    <w:name w:val="Portfolio"/>
    <w:basedOn w:val="OPCParaBase"/>
    <w:rsid w:val="006B3D66"/>
    <w:pPr>
      <w:spacing w:line="240" w:lineRule="auto"/>
    </w:pPr>
    <w:rPr>
      <w:i/>
      <w:sz w:val="20"/>
    </w:rPr>
  </w:style>
  <w:style w:type="paragraph" w:customStyle="1" w:styleId="Reading">
    <w:name w:val="Reading"/>
    <w:basedOn w:val="OPCParaBase"/>
    <w:rsid w:val="006B3D66"/>
    <w:pPr>
      <w:spacing w:line="240" w:lineRule="auto"/>
    </w:pPr>
    <w:rPr>
      <w:i/>
      <w:sz w:val="20"/>
    </w:rPr>
  </w:style>
  <w:style w:type="paragraph" w:customStyle="1" w:styleId="ShortT">
    <w:name w:val="ShortT"/>
    <w:basedOn w:val="OPCParaBase"/>
    <w:next w:val="Normal"/>
    <w:link w:val="ShortTChar"/>
    <w:qFormat/>
    <w:rsid w:val="006B3D66"/>
    <w:pPr>
      <w:spacing w:line="240" w:lineRule="auto"/>
    </w:pPr>
    <w:rPr>
      <w:b/>
      <w:sz w:val="40"/>
    </w:rPr>
  </w:style>
  <w:style w:type="paragraph" w:customStyle="1" w:styleId="Sponsor">
    <w:name w:val="Sponsor"/>
    <w:basedOn w:val="OPCParaBase"/>
    <w:rsid w:val="006B3D66"/>
    <w:pPr>
      <w:spacing w:line="240" w:lineRule="auto"/>
    </w:pPr>
    <w:rPr>
      <w:i/>
    </w:rPr>
  </w:style>
  <w:style w:type="paragraph" w:customStyle="1" w:styleId="Subitem">
    <w:name w:val="Subitem"/>
    <w:aliases w:val="iss"/>
    <w:basedOn w:val="OPCParaBase"/>
    <w:rsid w:val="006B3D66"/>
    <w:pPr>
      <w:spacing w:before="180" w:line="240" w:lineRule="auto"/>
      <w:ind w:left="709" w:hanging="709"/>
    </w:pPr>
  </w:style>
  <w:style w:type="paragraph" w:customStyle="1" w:styleId="subsection">
    <w:name w:val="subsection"/>
    <w:aliases w:val="ss"/>
    <w:basedOn w:val="OPCParaBase"/>
    <w:link w:val="subsectionChar"/>
    <w:rsid w:val="006B3D66"/>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6B3D66"/>
    <w:pPr>
      <w:keepNext/>
      <w:keepLines/>
      <w:spacing w:before="240" w:line="240" w:lineRule="auto"/>
      <w:ind w:left="1134"/>
    </w:pPr>
    <w:rPr>
      <w:i/>
    </w:rPr>
  </w:style>
  <w:style w:type="paragraph" w:customStyle="1" w:styleId="Tablea">
    <w:name w:val="Table(a)"/>
    <w:aliases w:val="ta"/>
    <w:basedOn w:val="OPCParaBase"/>
    <w:rsid w:val="006B3D66"/>
    <w:pPr>
      <w:spacing w:before="60" w:line="240" w:lineRule="auto"/>
      <w:ind w:left="284" w:hanging="284"/>
    </w:pPr>
    <w:rPr>
      <w:sz w:val="20"/>
    </w:rPr>
  </w:style>
  <w:style w:type="paragraph" w:customStyle="1" w:styleId="Tablei">
    <w:name w:val="Table(i)"/>
    <w:aliases w:val="taa"/>
    <w:basedOn w:val="OPCParaBase"/>
    <w:rsid w:val="006B3D66"/>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6B3D66"/>
    <w:pPr>
      <w:spacing w:before="122" w:line="198" w:lineRule="exact"/>
      <w:ind w:left="1985" w:hanging="851"/>
      <w:jc w:val="right"/>
    </w:pPr>
    <w:rPr>
      <w:sz w:val="18"/>
    </w:rPr>
  </w:style>
  <w:style w:type="paragraph" w:customStyle="1" w:styleId="notetext">
    <w:name w:val="note(text)"/>
    <w:aliases w:val="n"/>
    <w:basedOn w:val="OPCParaBase"/>
    <w:rsid w:val="006B3D66"/>
    <w:pPr>
      <w:spacing w:before="122" w:line="240" w:lineRule="auto"/>
      <w:ind w:left="1985" w:hanging="851"/>
    </w:pPr>
    <w:rPr>
      <w:sz w:val="18"/>
    </w:rPr>
  </w:style>
  <w:style w:type="paragraph" w:customStyle="1" w:styleId="PageBreak">
    <w:name w:val="PageBreak"/>
    <w:aliases w:val="pb"/>
    <w:basedOn w:val="OPCParaBase"/>
    <w:rsid w:val="006B3D66"/>
    <w:pPr>
      <w:spacing w:line="240" w:lineRule="auto"/>
    </w:pPr>
    <w:rPr>
      <w:sz w:val="20"/>
    </w:rPr>
  </w:style>
  <w:style w:type="paragraph" w:customStyle="1" w:styleId="ParlAmend">
    <w:name w:val="ParlAmend"/>
    <w:aliases w:val="pp"/>
    <w:basedOn w:val="OPCParaBase"/>
    <w:rsid w:val="006B3D66"/>
    <w:pPr>
      <w:spacing w:before="240" w:line="240" w:lineRule="atLeast"/>
      <w:ind w:hanging="567"/>
    </w:pPr>
    <w:rPr>
      <w:sz w:val="24"/>
    </w:rPr>
  </w:style>
  <w:style w:type="paragraph" w:customStyle="1" w:styleId="Preamble">
    <w:name w:val="Preamble"/>
    <w:basedOn w:val="OPCParaBase"/>
    <w:next w:val="Normal"/>
    <w:rsid w:val="006B3D66"/>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6B3D66"/>
    <w:pPr>
      <w:spacing w:line="240" w:lineRule="auto"/>
    </w:pPr>
    <w:rPr>
      <w:sz w:val="28"/>
    </w:rPr>
  </w:style>
  <w:style w:type="paragraph" w:customStyle="1" w:styleId="SubitemHead">
    <w:name w:val="SubitemHead"/>
    <w:aliases w:val="issh"/>
    <w:basedOn w:val="OPCParaBase"/>
    <w:rsid w:val="006B3D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3D66"/>
    <w:pPr>
      <w:spacing w:before="40" w:line="240" w:lineRule="auto"/>
      <w:ind w:left="1134"/>
    </w:pPr>
  </w:style>
  <w:style w:type="paragraph" w:customStyle="1" w:styleId="TableAA">
    <w:name w:val="Table(AA)"/>
    <w:aliases w:val="taaa"/>
    <w:basedOn w:val="OPCParaBase"/>
    <w:rsid w:val="006B3D6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B3D66"/>
    <w:pPr>
      <w:spacing w:before="60" w:line="240" w:lineRule="atLeast"/>
    </w:pPr>
    <w:rPr>
      <w:sz w:val="20"/>
    </w:rPr>
  </w:style>
  <w:style w:type="paragraph" w:customStyle="1" w:styleId="TLPBoxTextnote">
    <w:name w:val="TLPBoxText(note"/>
    <w:aliases w:val="right)"/>
    <w:basedOn w:val="OPCParaBase"/>
    <w:rsid w:val="006B3D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3D66"/>
    <w:pPr>
      <w:numPr>
        <w:numId w:val="38"/>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6B3D66"/>
    <w:pPr>
      <w:spacing w:line="240" w:lineRule="exact"/>
      <w:ind w:left="284" w:hanging="284"/>
    </w:pPr>
    <w:rPr>
      <w:sz w:val="20"/>
    </w:rPr>
  </w:style>
  <w:style w:type="paragraph" w:customStyle="1" w:styleId="TofSectsHeading">
    <w:name w:val="TofSects(Heading)"/>
    <w:basedOn w:val="OPCParaBase"/>
    <w:rsid w:val="006B3D66"/>
    <w:pPr>
      <w:spacing w:before="240" w:after="120" w:line="240" w:lineRule="auto"/>
    </w:pPr>
    <w:rPr>
      <w:b/>
      <w:sz w:val="24"/>
    </w:rPr>
  </w:style>
  <w:style w:type="paragraph" w:customStyle="1" w:styleId="TofSectsSubdiv">
    <w:name w:val="TofSects(Subdiv)"/>
    <w:basedOn w:val="OPCParaBase"/>
    <w:rsid w:val="006B3D66"/>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6B3D66"/>
    <w:pPr>
      <w:keepLines/>
      <w:spacing w:before="240" w:after="120" w:line="240" w:lineRule="auto"/>
      <w:ind w:left="794"/>
    </w:pPr>
    <w:rPr>
      <w:b/>
      <w:kern w:val="28"/>
      <w:sz w:val="20"/>
    </w:rPr>
  </w:style>
  <w:style w:type="paragraph" w:customStyle="1" w:styleId="TofSectsSection">
    <w:name w:val="TofSects(Section)"/>
    <w:basedOn w:val="OPCParaBase"/>
    <w:rsid w:val="006B3D66"/>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6B3D66"/>
    <w:pPr>
      <w:spacing w:line="240" w:lineRule="auto"/>
    </w:pPr>
    <w:rPr>
      <w:rFonts w:ascii="Tahoma" w:hAnsi="Tahoma" w:cs="Tahoma"/>
      <w:sz w:val="16"/>
      <w:szCs w:val="16"/>
    </w:rPr>
  </w:style>
  <w:style w:type="paragraph" w:styleId="BlockText">
    <w:name w:val="Block Text"/>
    <w:rsid w:val="008A2D52"/>
    <w:pPr>
      <w:spacing w:after="120"/>
      <w:ind w:left="1440" w:right="1440"/>
    </w:pPr>
    <w:rPr>
      <w:sz w:val="22"/>
      <w:szCs w:val="24"/>
    </w:rPr>
  </w:style>
  <w:style w:type="paragraph" w:styleId="BodyText">
    <w:name w:val="Body Text"/>
    <w:rsid w:val="008A2D52"/>
    <w:pPr>
      <w:spacing w:after="120"/>
    </w:pPr>
    <w:rPr>
      <w:sz w:val="22"/>
      <w:szCs w:val="24"/>
    </w:rPr>
  </w:style>
  <w:style w:type="paragraph" w:styleId="BodyText2">
    <w:name w:val="Body Text 2"/>
    <w:rsid w:val="008A2D52"/>
    <w:pPr>
      <w:spacing w:after="120" w:line="480" w:lineRule="auto"/>
    </w:pPr>
    <w:rPr>
      <w:sz w:val="22"/>
      <w:szCs w:val="24"/>
    </w:rPr>
  </w:style>
  <w:style w:type="paragraph" w:styleId="BodyText3">
    <w:name w:val="Body Text 3"/>
    <w:rsid w:val="008A2D52"/>
    <w:pPr>
      <w:spacing w:after="120"/>
    </w:pPr>
    <w:rPr>
      <w:sz w:val="16"/>
      <w:szCs w:val="16"/>
    </w:rPr>
  </w:style>
  <w:style w:type="paragraph" w:styleId="BodyTextIndent">
    <w:name w:val="Body Text Indent"/>
    <w:rsid w:val="008A2D52"/>
    <w:pPr>
      <w:spacing w:after="120"/>
      <w:ind w:left="283"/>
    </w:pPr>
    <w:rPr>
      <w:sz w:val="22"/>
      <w:szCs w:val="24"/>
    </w:rPr>
  </w:style>
  <w:style w:type="paragraph" w:styleId="BodyTextIndent2">
    <w:name w:val="Body Text Indent 2"/>
    <w:rsid w:val="008A2D52"/>
    <w:pPr>
      <w:spacing w:after="120" w:line="480" w:lineRule="auto"/>
      <w:ind w:left="283"/>
    </w:pPr>
    <w:rPr>
      <w:sz w:val="22"/>
      <w:szCs w:val="24"/>
    </w:rPr>
  </w:style>
  <w:style w:type="paragraph" w:styleId="BodyTextIndent3">
    <w:name w:val="Body Text Indent 3"/>
    <w:rsid w:val="008A2D52"/>
    <w:pPr>
      <w:spacing w:after="120"/>
      <w:ind w:left="283"/>
    </w:pPr>
    <w:rPr>
      <w:sz w:val="16"/>
      <w:szCs w:val="16"/>
    </w:rPr>
  </w:style>
  <w:style w:type="paragraph" w:styleId="Caption">
    <w:name w:val="caption"/>
    <w:next w:val="Normal"/>
    <w:qFormat/>
    <w:rsid w:val="008A2D52"/>
    <w:pPr>
      <w:spacing w:before="120" w:after="120"/>
    </w:pPr>
    <w:rPr>
      <w:b/>
      <w:bCs/>
    </w:rPr>
  </w:style>
  <w:style w:type="paragraph" w:styleId="Closing">
    <w:name w:val="Closing"/>
    <w:rsid w:val="008A2D52"/>
    <w:pPr>
      <w:ind w:left="4252"/>
    </w:pPr>
    <w:rPr>
      <w:sz w:val="22"/>
      <w:szCs w:val="24"/>
    </w:rPr>
  </w:style>
  <w:style w:type="paragraph" w:styleId="CommentText">
    <w:name w:val="annotation text"/>
    <w:rsid w:val="008A2D52"/>
  </w:style>
  <w:style w:type="paragraph" w:styleId="CommentSubject">
    <w:name w:val="annotation subject"/>
    <w:next w:val="CommentText"/>
    <w:rsid w:val="008A2D52"/>
    <w:rPr>
      <w:b/>
      <w:bCs/>
      <w:szCs w:val="24"/>
    </w:rPr>
  </w:style>
  <w:style w:type="paragraph" w:styleId="Date">
    <w:name w:val="Date"/>
    <w:next w:val="Normal"/>
    <w:rsid w:val="008A2D52"/>
    <w:rPr>
      <w:sz w:val="22"/>
      <w:szCs w:val="24"/>
    </w:rPr>
  </w:style>
  <w:style w:type="paragraph" w:styleId="DocumentMap">
    <w:name w:val="Document Map"/>
    <w:rsid w:val="008A2D52"/>
    <w:pPr>
      <w:shd w:val="clear" w:color="auto" w:fill="000080"/>
    </w:pPr>
    <w:rPr>
      <w:rFonts w:ascii="Tahoma" w:hAnsi="Tahoma" w:cs="Tahoma"/>
      <w:sz w:val="22"/>
      <w:szCs w:val="24"/>
    </w:rPr>
  </w:style>
  <w:style w:type="paragraph" w:styleId="E-mailSignature">
    <w:name w:val="E-mail Signature"/>
    <w:rsid w:val="008A2D52"/>
    <w:rPr>
      <w:sz w:val="22"/>
      <w:szCs w:val="24"/>
    </w:rPr>
  </w:style>
  <w:style w:type="paragraph" w:styleId="EndnoteText">
    <w:name w:val="endnote text"/>
    <w:rsid w:val="008A2D52"/>
  </w:style>
  <w:style w:type="paragraph" w:styleId="EnvelopeAddress">
    <w:name w:val="envelope address"/>
    <w:rsid w:val="008A2D5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2D52"/>
    <w:rPr>
      <w:rFonts w:ascii="Arial" w:hAnsi="Arial" w:cs="Arial"/>
    </w:rPr>
  </w:style>
  <w:style w:type="paragraph" w:styleId="Footer">
    <w:name w:val="footer"/>
    <w:link w:val="FooterChar"/>
    <w:rsid w:val="006B3D66"/>
    <w:pPr>
      <w:tabs>
        <w:tab w:val="center" w:pos="4153"/>
        <w:tab w:val="right" w:pos="8306"/>
      </w:tabs>
    </w:pPr>
    <w:rPr>
      <w:sz w:val="22"/>
      <w:szCs w:val="24"/>
    </w:rPr>
  </w:style>
  <w:style w:type="paragraph" w:styleId="FootnoteText">
    <w:name w:val="footnote text"/>
    <w:rsid w:val="008A2D52"/>
  </w:style>
  <w:style w:type="paragraph" w:styleId="Header">
    <w:name w:val="header"/>
    <w:basedOn w:val="OPCParaBase"/>
    <w:link w:val="HeaderChar"/>
    <w:unhideWhenUsed/>
    <w:rsid w:val="006B3D66"/>
    <w:pPr>
      <w:keepNext/>
      <w:keepLines/>
      <w:tabs>
        <w:tab w:val="center" w:pos="4150"/>
        <w:tab w:val="right" w:pos="8307"/>
      </w:tabs>
      <w:spacing w:line="160" w:lineRule="exact"/>
    </w:pPr>
    <w:rPr>
      <w:sz w:val="16"/>
    </w:rPr>
  </w:style>
  <w:style w:type="paragraph" w:styleId="HTMLAddress">
    <w:name w:val="HTML Address"/>
    <w:rsid w:val="008A2D52"/>
    <w:rPr>
      <w:i/>
      <w:iCs/>
      <w:sz w:val="22"/>
      <w:szCs w:val="24"/>
    </w:rPr>
  </w:style>
  <w:style w:type="paragraph" w:styleId="HTMLPreformatted">
    <w:name w:val="HTML Preformatted"/>
    <w:rsid w:val="008A2D52"/>
    <w:rPr>
      <w:rFonts w:ascii="Courier New" w:hAnsi="Courier New" w:cs="Courier New"/>
    </w:rPr>
  </w:style>
  <w:style w:type="paragraph" w:styleId="Index1">
    <w:name w:val="index 1"/>
    <w:next w:val="Normal"/>
    <w:rsid w:val="008A2D52"/>
    <w:pPr>
      <w:ind w:left="220" w:hanging="220"/>
    </w:pPr>
    <w:rPr>
      <w:sz w:val="22"/>
      <w:szCs w:val="24"/>
    </w:rPr>
  </w:style>
  <w:style w:type="paragraph" w:styleId="Index2">
    <w:name w:val="index 2"/>
    <w:next w:val="Normal"/>
    <w:rsid w:val="008A2D52"/>
    <w:pPr>
      <w:ind w:left="440" w:hanging="220"/>
    </w:pPr>
    <w:rPr>
      <w:sz w:val="22"/>
      <w:szCs w:val="24"/>
    </w:rPr>
  </w:style>
  <w:style w:type="paragraph" w:styleId="Index3">
    <w:name w:val="index 3"/>
    <w:next w:val="Normal"/>
    <w:rsid w:val="008A2D52"/>
    <w:pPr>
      <w:ind w:left="660" w:hanging="220"/>
    </w:pPr>
    <w:rPr>
      <w:sz w:val="22"/>
      <w:szCs w:val="24"/>
    </w:rPr>
  </w:style>
  <w:style w:type="paragraph" w:styleId="Index4">
    <w:name w:val="index 4"/>
    <w:next w:val="Normal"/>
    <w:rsid w:val="008A2D52"/>
    <w:pPr>
      <w:ind w:left="880" w:hanging="220"/>
    </w:pPr>
    <w:rPr>
      <w:sz w:val="22"/>
      <w:szCs w:val="24"/>
    </w:rPr>
  </w:style>
  <w:style w:type="paragraph" w:styleId="Index5">
    <w:name w:val="index 5"/>
    <w:next w:val="Normal"/>
    <w:rsid w:val="008A2D52"/>
    <w:pPr>
      <w:ind w:left="1100" w:hanging="220"/>
    </w:pPr>
    <w:rPr>
      <w:sz w:val="22"/>
      <w:szCs w:val="24"/>
    </w:rPr>
  </w:style>
  <w:style w:type="paragraph" w:styleId="Index6">
    <w:name w:val="index 6"/>
    <w:next w:val="Normal"/>
    <w:rsid w:val="008A2D52"/>
    <w:pPr>
      <w:ind w:left="1320" w:hanging="220"/>
    </w:pPr>
    <w:rPr>
      <w:sz w:val="22"/>
      <w:szCs w:val="24"/>
    </w:rPr>
  </w:style>
  <w:style w:type="paragraph" w:styleId="Index7">
    <w:name w:val="index 7"/>
    <w:next w:val="Normal"/>
    <w:rsid w:val="008A2D52"/>
    <w:pPr>
      <w:ind w:left="1540" w:hanging="220"/>
    </w:pPr>
    <w:rPr>
      <w:sz w:val="22"/>
      <w:szCs w:val="24"/>
    </w:rPr>
  </w:style>
  <w:style w:type="paragraph" w:styleId="Index8">
    <w:name w:val="index 8"/>
    <w:next w:val="Normal"/>
    <w:rsid w:val="008A2D52"/>
    <w:pPr>
      <w:ind w:left="1760" w:hanging="220"/>
    </w:pPr>
    <w:rPr>
      <w:sz w:val="22"/>
      <w:szCs w:val="24"/>
    </w:rPr>
  </w:style>
  <w:style w:type="paragraph" w:styleId="Index9">
    <w:name w:val="index 9"/>
    <w:next w:val="Normal"/>
    <w:rsid w:val="008A2D52"/>
    <w:pPr>
      <w:ind w:left="1980" w:hanging="220"/>
    </w:pPr>
    <w:rPr>
      <w:sz w:val="22"/>
      <w:szCs w:val="24"/>
    </w:rPr>
  </w:style>
  <w:style w:type="paragraph" w:styleId="IndexHeading">
    <w:name w:val="index heading"/>
    <w:next w:val="Index1"/>
    <w:rsid w:val="008A2D52"/>
    <w:rPr>
      <w:rFonts w:ascii="Arial" w:hAnsi="Arial" w:cs="Arial"/>
      <w:b/>
      <w:bCs/>
      <w:sz w:val="22"/>
      <w:szCs w:val="24"/>
    </w:rPr>
  </w:style>
  <w:style w:type="paragraph" w:styleId="List">
    <w:name w:val="List"/>
    <w:rsid w:val="008A2D52"/>
    <w:pPr>
      <w:ind w:left="283" w:hanging="283"/>
    </w:pPr>
    <w:rPr>
      <w:sz w:val="22"/>
      <w:szCs w:val="24"/>
    </w:rPr>
  </w:style>
  <w:style w:type="paragraph" w:styleId="List2">
    <w:name w:val="List 2"/>
    <w:rsid w:val="008A2D52"/>
    <w:pPr>
      <w:ind w:left="566" w:hanging="283"/>
    </w:pPr>
    <w:rPr>
      <w:sz w:val="22"/>
      <w:szCs w:val="24"/>
    </w:rPr>
  </w:style>
  <w:style w:type="paragraph" w:styleId="List3">
    <w:name w:val="List 3"/>
    <w:rsid w:val="008A2D52"/>
    <w:pPr>
      <w:ind w:left="849" w:hanging="283"/>
    </w:pPr>
    <w:rPr>
      <w:sz w:val="22"/>
      <w:szCs w:val="24"/>
    </w:rPr>
  </w:style>
  <w:style w:type="paragraph" w:styleId="List4">
    <w:name w:val="List 4"/>
    <w:rsid w:val="008A2D52"/>
    <w:pPr>
      <w:ind w:left="1132" w:hanging="283"/>
    </w:pPr>
    <w:rPr>
      <w:sz w:val="22"/>
      <w:szCs w:val="24"/>
    </w:rPr>
  </w:style>
  <w:style w:type="paragraph" w:styleId="List5">
    <w:name w:val="List 5"/>
    <w:rsid w:val="008A2D52"/>
    <w:pPr>
      <w:ind w:left="1415" w:hanging="283"/>
    </w:pPr>
    <w:rPr>
      <w:sz w:val="22"/>
      <w:szCs w:val="24"/>
    </w:rPr>
  </w:style>
  <w:style w:type="paragraph" w:styleId="ListBullet">
    <w:name w:val="List Bullet"/>
    <w:rsid w:val="008A2D52"/>
    <w:pPr>
      <w:numPr>
        <w:numId w:val="1"/>
      </w:numPr>
      <w:tabs>
        <w:tab w:val="clear" w:pos="360"/>
        <w:tab w:val="num" w:pos="2989"/>
      </w:tabs>
      <w:ind w:left="1225" w:firstLine="1043"/>
    </w:pPr>
    <w:rPr>
      <w:sz w:val="22"/>
      <w:szCs w:val="24"/>
    </w:rPr>
  </w:style>
  <w:style w:type="paragraph" w:styleId="ListBullet2">
    <w:name w:val="List Bullet 2"/>
    <w:rsid w:val="008A2D52"/>
    <w:pPr>
      <w:numPr>
        <w:numId w:val="2"/>
      </w:numPr>
      <w:tabs>
        <w:tab w:val="clear" w:pos="643"/>
        <w:tab w:val="num" w:pos="360"/>
      </w:tabs>
      <w:ind w:left="360"/>
    </w:pPr>
    <w:rPr>
      <w:sz w:val="22"/>
      <w:szCs w:val="24"/>
    </w:rPr>
  </w:style>
  <w:style w:type="paragraph" w:styleId="ListBullet3">
    <w:name w:val="List Bullet 3"/>
    <w:rsid w:val="008A2D52"/>
    <w:pPr>
      <w:numPr>
        <w:numId w:val="3"/>
      </w:numPr>
      <w:tabs>
        <w:tab w:val="clear" w:pos="926"/>
        <w:tab w:val="num" w:pos="360"/>
      </w:tabs>
      <w:ind w:left="360"/>
    </w:pPr>
    <w:rPr>
      <w:sz w:val="22"/>
      <w:szCs w:val="24"/>
    </w:rPr>
  </w:style>
  <w:style w:type="paragraph" w:styleId="ListBullet4">
    <w:name w:val="List Bullet 4"/>
    <w:rsid w:val="008A2D52"/>
    <w:pPr>
      <w:numPr>
        <w:numId w:val="4"/>
      </w:numPr>
      <w:tabs>
        <w:tab w:val="clear" w:pos="1209"/>
        <w:tab w:val="num" w:pos="926"/>
      </w:tabs>
      <w:ind w:left="926"/>
    </w:pPr>
    <w:rPr>
      <w:sz w:val="22"/>
      <w:szCs w:val="24"/>
    </w:rPr>
  </w:style>
  <w:style w:type="paragraph" w:styleId="ListBullet5">
    <w:name w:val="List Bullet 5"/>
    <w:rsid w:val="008A2D52"/>
    <w:pPr>
      <w:numPr>
        <w:numId w:val="5"/>
      </w:numPr>
    </w:pPr>
    <w:rPr>
      <w:sz w:val="22"/>
      <w:szCs w:val="24"/>
    </w:rPr>
  </w:style>
  <w:style w:type="paragraph" w:styleId="ListContinue">
    <w:name w:val="List Continue"/>
    <w:rsid w:val="008A2D52"/>
    <w:pPr>
      <w:spacing w:after="120"/>
      <w:ind w:left="283"/>
    </w:pPr>
    <w:rPr>
      <w:sz w:val="22"/>
      <w:szCs w:val="24"/>
    </w:rPr>
  </w:style>
  <w:style w:type="paragraph" w:styleId="ListContinue2">
    <w:name w:val="List Continue 2"/>
    <w:rsid w:val="008A2D52"/>
    <w:pPr>
      <w:spacing w:after="120"/>
      <w:ind w:left="566"/>
    </w:pPr>
    <w:rPr>
      <w:sz w:val="22"/>
      <w:szCs w:val="24"/>
    </w:rPr>
  </w:style>
  <w:style w:type="paragraph" w:styleId="ListContinue3">
    <w:name w:val="List Continue 3"/>
    <w:rsid w:val="008A2D52"/>
    <w:pPr>
      <w:spacing w:after="120"/>
      <w:ind w:left="849"/>
    </w:pPr>
    <w:rPr>
      <w:sz w:val="22"/>
      <w:szCs w:val="24"/>
    </w:rPr>
  </w:style>
  <w:style w:type="paragraph" w:styleId="ListContinue4">
    <w:name w:val="List Continue 4"/>
    <w:rsid w:val="008A2D52"/>
    <w:pPr>
      <w:spacing w:after="120"/>
      <w:ind w:left="1132"/>
    </w:pPr>
    <w:rPr>
      <w:sz w:val="22"/>
      <w:szCs w:val="24"/>
    </w:rPr>
  </w:style>
  <w:style w:type="paragraph" w:styleId="ListContinue5">
    <w:name w:val="List Continue 5"/>
    <w:rsid w:val="008A2D52"/>
    <w:pPr>
      <w:spacing w:after="120"/>
      <w:ind w:left="1415"/>
    </w:pPr>
    <w:rPr>
      <w:sz w:val="22"/>
      <w:szCs w:val="24"/>
    </w:rPr>
  </w:style>
  <w:style w:type="paragraph" w:styleId="ListNumber">
    <w:name w:val="List Number"/>
    <w:rsid w:val="008A2D52"/>
    <w:pPr>
      <w:numPr>
        <w:numId w:val="6"/>
      </w:numPr>
      <w:tabs>
        <w:tab w:val="clear" w:pos="360"/>
        <w:tab w:val="num" w:pos="4242"/>
      </w:tabs>
      <w:ind w:left="3521" w:hanging="1043"/>
    </w:pPr>
    <w:rPr>
      <w:sz w:val="22"/>
      <w:szCs w:val="24"/>
    </w:rPr>
  </w:style>
  <w:style w:type="paragraph" w:styleId="ListNumber2">
    <w:name w:val="List Number 2"/>
    <w:rsid w:val="008A2D52"/>
    <w:pPr>
      <w:numPr>
        <w:numId w:val="7"/>
      </w:numPr>
      <w:tabs>
        <w:tab w:val="clear" w:pos="643"/>
        <w:tab w:val="num" w:pos="360"/>
      </w:tabs>
      <w:ind w:left="360"/>
    </w:pPr>
    <w:rPr>
      <w:sz w:val="22"/>
      <w:szCs w:val="24"/>
    </w:rPr>
  </w:style>
  <w:style w:type="paragraph" w:styleId="ListNumber3">
    <w:name w:val="List Number 3"/>
    <w:rsid w:val="008A2D52"/>
    <w:pPr>
      <w:numPr>
        <w:numId w:val="8"/>
      </w:numPr>
      <w:tabs>
        <w:tab w:val="clear" w:pos="926"/>
        <w:tab w:val="num" w:pos="360"/>
      </w:tabs>
      <w:ind w:left="360"/>
    </w:pPr>
    <w:rPr>
      <w:sz w:val="22"/>
      <w:szCs w:val="24"/>
    </w:rPr>
  </w:style>
  <w:style w:type="paragraph" w:styleId="ListNumber4">
    <w:name w:val="List Number 4"/>
    <w:rsid w:val="008A2D52"/>
    <w:pPr>
      <w:numPr>
        <w:numId w:val="9"/>
      </w:numPr>
      <w:tabs>
        <w:tab w:val="clear" w:pos="1209"/>
        <w:tab w:val="num" w:pos="360"/>
      </w:tabs>
      <w:ind w:left="360"/>
    </w:pPr>
    <w:rPr>
      <w:sz w:val="22"/>
      <w:szCs w:val="24"/>
    </w:rPr>
  </w:style>
  <w:style w:type="paragraph" w:styleId="ListNumber5">
    <w:name w:val="List Number 5"/>
    <w:rsid w:val="008A2D52"/>
    <w:pPr>
      <w:numPr>
        <w:numId w:val="10"/>
      </w:numPr>
      <w:tabs>
        <w:tab w:val="clear" w:pos="1492"/>
        <w:tab w:val="num" w:pos="1440"/>
      </w:tabs>
      <w:ind w:left="0" w:firstLine="0"/>
    </w:pPr>
    <w:rPr>
      <w:sz w:val="22"/>
      <w:szCs w:val="24"/>
    </w:rPr>
  </w:style>
  <w:style w:type="paragraph" w:styleId="MessageHeader">
    <w:name w:val="Message Header"/>
    <w:rsid w:val="008A2D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2D52"/>
    <w:rPr>
      <w:sz w:val="24"/>
      <w:szCs w:val="24"/>
    </w:rPr>
  </w:style>
  <w:style w:type="paragraph" w:styleId="NormalIndent">
    <w:name w:val="Normal Indent"/>
    <w:rsid w:val="008A2D52"/>
    <w:pPr>
      <w:ind w:left="720"/>
    </w:pPr>
    <w:rPr>
      <w:sz w:val="22"/>
      <w:szCs w:val="24"/>
    </w:rPr>
  </w:style>
  <w:style w:type="paragraph" w:styleId="NoteHeading">
    <w:name w:val="Note Heading"/>
    <w:next w:val="Normal"/>
    <w:rsid w:val="008A2D52"/>
    <w:rPr>
      <w:sz w:val="22"/>
      <w:szCs w:val="24"/>
    </w:rPr>
  </w:style>
  <w:style w:type="paragraph" w:styleId="PlainText">
    <w:name w:val="Plain Text"/>
    <w:rsid w:val="008A2D52"/>
    <w:rPr>
      <w:rFonts w:ascii="Courier New" w:hAnsi="Courier New" w:cs="Courier New"/>
      <w:sz w:val="22"/>
    </w:rPr>
  </w:style>
  <w:style w:type="paragraph" w:styleId="Salutation">
    <w:name w:val="Salutation"/>
    <w:next w:val="Normal"/>
    <w:rsid w:val="008A2D52"/>
    <w:rPr>
      <w:sz w:val="22"/>
      <w:szCs w:val="24"/>
    </w:rPr>
  </w:style>
  <w:style w:type="paragraph" w:styleId="Signature">
    <w:name w:val="Signature"/>
    <w:rsid w:val="008A2D52"/>
    <w:pPr>
      <w:ind w:left="4252"/>
    </w:pPr>
    <w:rPr>
      <w:sz w:val="22"/>
      <w:szCs w:val="24"/>
    </w:rPr>
  </w:style>
  <w:style w:type="paragraph" w:styleId="Subtitle">
    <w:name w:val="Subtitle"/>
    <w:qFormat/>
    <w:rsid w:val="008A2D52"/>
    <w:pPr>
      <w:spacing w:after="60"/>
      <w:jc w:val="center"/>
    </w:pPr>
    <w:rPr>
      <w:rFonts w:ascii="Arial" w:hAnsi="Arial" w:cs="Arial"/>
      <w:sz w:val="24"/>
      <w:szCs w:val="24"/>
    </w:rPr>
  </w:style>
  <w:style w:type="paragraph" w:styleId="TableofAuthorities">
    <w:name w:val="table of authorities"/>
    <w:next w:val="Normal"/>
    <w:rsid w:val="008A2D52"/>
    <w:pPr>
      <w:ind w:left="220" w:hanging="220"/>
    </w:pPr>
    <w:rPr>
      <w:sz w:val="22"/>
      <w:szCs w:val="24"/>
    </w:rPr>
  </w:style>
  <w:style w:type="paragraph" w:styleId="TableofFigures">
    <w:name w:val="table of figures"/>
    <w:next w:val="Normal"/>
    <w:rsid w:val="008A2D52"/>
    <w:pPr>
      <w:ind w:left="440" w:hanging="440"/>
    </w:pPr>
    <w:rPr>
      <w:sz w:val="22"/>
      <w:szCs w:val="24"/>
    </w:rPr>
  </w:style>
  <w:style w:type="paragraph" w:styleId="Title">
    <w:name w:val="Title"/>
    <w:qFormat/>
    <w:rsid w:val="008A2D52"/>
    <w:pPr>
      <w:spacing w:before="240" w:after="60"/>
      <w:jc w:val="center"/>
    </w:pPr>
    <w:rPr>
      <w:rFonts w:ascii="Arial" w:hAnsi="Arial" w:cs="Arial"/>
      <w:b/>
      <w:bCs/>
      <w:kern w:val="28"/>
      <w:sz w:val="32"/>
      <w:szCs w:val="32"/>
    </w:rPr>
  </w:style>
  <w:style w:type="paragraph" w:styleId="TOAHeading">
    <w:name w:val="toa heading"/>
    <w:next w:val="Normal"/>
    <w:rsid w:val="008A2D52"/>
    <w:pPr>
      <w:spacing w:before="120"/>
    </w:pPr>
    <w:rPr>
      <w:rFonts w:ascii="Arial" w:hAnsi="Arial" w:cs="Arial"/>
      <w:b/>
      <w:bCs/>
      <w:sz w:val="24"/>
      <w:szCs w:val="24"/>
    </w:rPr>
  </w:style>
  <w:style w:type="paragraph" w:styleId="BodyTextFirstIndent">
    <w:name w:val="Body Text First Indent"/>
    <w:basedOn w:val="BodyText"/>
    <w:rsid w:val="008A2D52"/>
    <w:pPr>
      <w:ind w:firstLine="210"/>
    </w:pPr>
  </w:style>
  <w:style w:type="paragraph" w:styleId="BodyTextFirstIndent2">
    <w:name w:val="Body Text First Indent 2"/>
    <w:basedOn w:val="BodyTextIndent"/>
    <w:rsid w:val="008A2D52"/>
    <w:pPr>
      <w:ind w:firstLine="210"/>
    </w:pPr>
  </w:style>
  <w:style w:type="character" w:styleId="CommentReference">
    <w:name w:val="annotation reference"/>
    <w:basedOn w:val="DefaultParagraphFont"/>
    <w:rsid w:val="008A2D52"/>
    <w:rPr>
      <w:sz w:val="16"/>
      <w:szCs w:val="16"/>
    </w:rPr>
  </w:style>
  <w:style w:type="character" w:styleId="Emphasis">
    <w:name w:val="Emphasis"/>
    <w:basedOn w:val="DefaultParagraphFont"/>
    <w:qFormat/>
    <w:rsid w:val="008A2D52"/>
    <w:rPr>
      <w:i/>
      <w:iCs/>
    </w:rPr>
  </w:style>
  <w:style w:type="character" w:styleId="EndnoteReference">
    <w:name w:val="endnote reference"/>
    <w:basedOn w:val="DefaultParagraphFont"/>
    <w:rsid w:val="008A2D52"/>
    <w:rPr>
      <w:vertAlign w:val="superscript"/>
    </w:rPr>
  </w:style>
  <w:style w:type="character" w:styleId="FollowedHyperlink">
    <w:name w:val="FollowedHyperlink"/>
    <w:basedOn w:val="DefaultParagraphFont"/>
    <w:rsid w:val="008A2D52"/>
    <w:rPr>
      <w:color w:val="800080"/>
      <w:u w:val="single"/>
    </w:rPr>
  </w:style>
  <w:style w:type="character" w:styleId="FootnoteReference">
    <w:name w:val="footnote reference"/>
    <w:basedOn w:val="DefaultParagraphFont"/>
    <w:rsid w:val="008A2D52"/>
    <w:rPr>
      <w:vertAlign w:val="superscript"/>
    </w:rPr>
  </w:style>
  <w:style w:type="character" w:styleId="HTMLAcronym">
    <w:name w:val="HTML Acronym"/>
    <w:basedOn w:val="DefaultParagraphFont"/>
    <w:rsid w:val="008A2D52"/>
  </w:style>
  <w:style w:type="character" w:styleId="HTMLCite">
    <w:name w:val="HTML Cite"/>
    <w:basedOn w:val="DefaultParagraphFont"/>
    <w:rsid w:val="008A2D52"/>
    <w:rPr>
      <w:i/>
      <w:iCs/>
    </w:rPr>
  </w:style>
  <w:style w:type="character" w:styleId="HTMLCode">
    <w:name w:val="HTML Code"/>
    <w:basedOn w:val="DefaultParagraphFont"/>
    <w:rsid w:val="008A2D52"/>
    <w:rPr>
      <w:rFonts w:ascii="Courier New" w:hAnsi="Courier New" w:cs="Courier New"/>
      <w:sz w:val="20"/>
      <w:szCs w:val="20"/>
    </w:rPr>
  </w:style>
  <w:style w:type="character" w:styleId="HTMLDefinition">
    <w:name w:val="HTML Definition"/>
    <w:basedOn w:val="DefaultParagraphFont"/>
    <w:rsid w:val="008A2D52"/>
    <w:rPr>
      <w:i/>
      <w:iCs/>
    </w:rPr>
  </w:style>
  <w:style w:type="character" w:styleId="HTMLKeyboard">
    <w:name w:val="HTML Keyboard"/>
    <w:basedOn w:val="DefaultParagraphFont"/>
    <w:rsid w:val="008A2D52"/>
    <w:rPr>
      <w:rFonts w:ascii="Courier New" w:hAnsi="Courier New" w:cs="Courier New"/>
      <w:sz w:val="20"/>
      <w:szCs w:val="20"/>
    </w:rPr>
  </w:style>
  <w:style w:type="character" w:styleId="HTMLSample">
    <w:name w:val="HTML Sample"/>
    <w:basedOn w:val="DefaultParagraphFont"/>
    <w:rsid w:val="008A2D52"/>
    <w:rPr>
      <w:rFonts w:ascii="Courier New" w:hAnsi="Courier New" w:cs="Courier New"/>
    </w:rPr>
  </w:style>
  <w:style w:type="character" w:styleId="HTMLTypewriter">
    <w:name w:val="HTML Typewriter"/>
    <w:basedOn w:val="DefaultParagraphFont"/>
    <w:rsid w:val="008A2D52"/>
    <w:rPr>
      <w:rFonts w:ascii="Courier New" w:hAnsi="Courier New" w:cs="Courier New"/>
      <w:sz w:val="20"/>
      <w:szCs w:val="20"/>
    </w:rPr>
  </w:style>
  <w:style w:type="character" w:styleId="HTMLVariable">
    <w:name w:val="HTML Variable"/>
    <w:basedOn w:val="DefaultParagraphFont"/>
    <w:rsid w:val="008A2D52"/>
    <w:rPr>
      <w:i/>
      <w:iCs/>
    </w:rPr>
  </w:style>
  <w:style w:type="character" w:styleId="Hyperlink">
    <w:name w:val="Hyperlink"/>
    <w:basedOn w:val="DefaultParagraphFont"/>
    <w:rsid w:val="008A2D52"/>
    <w:rPr>
      <w:color w:val="0000FF"/>
      <w:u w:val="single"/>
    </w:rPr>
  </w:style>
  <w:style w:type="character" w:styleId="LineNumber">
    <w:name w:val="line number"/>
    <w:basedOn w:val="OPCCharBase"/>
    <w:uiPriority w:val="99"/>
    <w:unhideWhenUsed/>
    <w:rsid w:val="006B3D66"/>
    <w:rPr>
      <w:sz w:val="16"/>
    </w:rPr>
  </w:style>
  <w:style w:type="paragraph" w:styleId="MacroText">
    <w:name w:val="macro"/>
    <w:rsid w:val="008A2D5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8A2D52"/>
  </w:style>
  <w:style w:type="character" w:styleId="Strong">
    <w:name w:val="Strong"/>
    <w:basedOn w:val="DefaultParagraphFont"/>
    <w:qFormat/>
    <w:rsid w:val="008A2D52"/>
    <w:rPr>
      <w:b/>
      <w:bCs/>
    </w:rPr>
  </w:style>
  <w:style w:type="paragraph" w:styleId="TOC1">
    <w:name w:val="toc 1"/>
    <w:basedOn w:val="OPCParaBase"/>
    <w:next w:val="Normal"/>
    <w:uiPriority w:val="39"/>
    <w:unhideWhenUsed/>
    <w:rsid w:val="006B3D6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3D6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B3D6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B3D6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B3D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B3D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3D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B3D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B3D66"/>
    <w:pPr>
      <w:keepLines/>
      <w:tabs>
        <w:tab w:val="right" w:pos="7088"/>
      </w:tabs>
      <w:spacing w:before="80" w:line="240" w:lineRule="auto"/>
      <w:ind w:left="851" w:right="567"/>
    </w:pPr>
    <w:rPr>
      <w:i/>
      <w:kern w:val="28"/>
      <w:sz w:val="20"/>
    </w:rPr>
  </w:style>
  <w:style w:type="paragraph" w:customStyle="1" w:styleId="CTA-">
    <w:name w:val="CTA -"/>
    <w:basedOn w:val="OPCParaBase"/>
    <w:rsid w:val="006B3D66"/>
    <w:pPr>
      <w:spacing w:before="60" w:line="240" w:lineRule="atLeast"/>
      <w:ind w:left="85" w:hanging="85"/>
    </w:pPr>
    <w:rPr>
      <w:sz w:val="20"/>
    </w:rPr>
  </w:style>
  <w:style w:type="paragraph" w:customStyle="1" w:styleId="CTA--">
    <w:name w:val="CTA --"/>
    <w:basedOn w:val="OPCParaBase"/>
    <w:next w:val="Normal"/>
    <w:rsid w:val="006B3D66"/>
    <w:pPr>
      <w:spacing w:before="60" w:line="240" w:lineRule="atLeast"/>
      <w:ind w:left="142" w:hanging="142"/>
    </w:pPr>
    <w:rPr>
      <w:sz w:val="20"/>
    </w:rPr>
  </w:style>
  <w:style w:type="paragraph" w:customStyle="1" w:styleId="CTA---">
    <w:name w:val="CTA ---"/>
    <w:basedOn w:val="OPCParaBase"/>
    <w:next w:val="Normal"/>
    <w:rsid w:val="006B3D66"/>
    <w:pPr>
      <w:spacing w:before="60" w:line="240" w:lineRule="atLeast"/>
      <w:ind w:left="198" w:hanging="198"/>
    </w:pPr>
    <w:rPr>
      <w:sz w:val="20"/>
    </w:rPr>
  </w:style>
  <w:style w:type="paragraph" w:customStyle="1" w:styleId="CTA----">
    <w:name w:val="CTA ----"/>
    <w:basedOn w:val="OPCParaBase"/>
    <w:next w:val="Normal"/>
    <w:rsid w:val="006B3D66"/>
    <w:pPr>
      <w:spacing w:before="60" w:line="240" w:lineRule="atLeast"/>
      <w:ind w:left="255" w:hanging="255"/>
    </w:pPr>
    <w:rPr>
      <w:sz w:val="20"/>
    </w:rPr>
  </w:style>
  <w:style w:type="paragraph" w:customStyle="1" w:styleId="CTA1a">
    <w:name w:val="CTA 1(a)"/>
    <w:basedOn w:val="OPCParaBase"/>
    <w:rsid w:val="006B3D66"/>
    <w:pPr>
      <w:tabs>
        <w:tab w:val="right" w:pos="414"/>
      </w:tabs>
      <w:spacing w:before="40" w:line="240" w:lineRule="atLeast"/>
      <w:ind w:left="675" w:hanging="675"/>
    </w:pPr>
    <w:rPr>
      <w:sz w:val="20"/>
    </w:rPr>
  </w:style>
  <w:style w:type="paragraph" w:customStyle="1" w:styleId="CTA1ai">
    <w:name w:val="CTA 1(a)(i)"/>
    <w:basedOn w:val="OPCParaBase"/>
    <w:rsid w:val="006B3D66"/>
    <w:pPr>
      <w:tabs>
        <w:tab w:val="right" w:pos="1004"/>
      </w:tabs>
      <w:spacing w:before="40" w:line="240" w:lineRule="atLeast"/>
      <w:ind w:left="1253" w:hanging="1253"/>
    </w:pPr>
    <w:rPr>
      <w:sz w:val="20"/>
    </w:rPr>
  </w:style>
  <w:style w:type="paragraph" w:customStyle="1" w:styleId="CTA2a">
    <w:name w:val="CTA 2(a)"/>
    <w:basedOn w:val="OPCParaBase"/>
    <w:rsid w:val="006B3D66"/>
    <w:pPr>
      <w:tabs>
        <w:tab w:val="right" w:pos="482"/>
      </w:tabs>
      <w:spacing w:before="40" w:line="240" w:lineRule="atLeast"/>
      <w:ind w:left="748" w:hanging="748"/>
    </w:pPr>
    <w:rPr>
      <w:sz w:val="20"/>
    </w:rPr>
  </w:style>
  <w:style w:type="paragraph" w:customStyle="1" w:styleId="CTA2ai">
    <w:name w:val="CTA 2(a)(i)"/>
    <w:basedOn w:val="OPCParaBase"/>
    <w:rsid w:val="006B3D66"/>
    <w:pPr>
      <w:tabs>
        <w:tab w:val="right" w:pos="1089"/>
      </w:tabs>
      <w:spacing w:before="40" w:line="240" w:lineRule="atLeast"/>
      <w:ind w:left="1327" w:hanging="1327"/>
    </w:pPr>
    <w:rPr>
      <w:sz w:val="20"/>
    </w:rPr>
  </w:style>
  <w:style w:type="paragraph" w:customStyle="1" w:styleId="CTA3a">
    <w:name w:val="CTA 3(a)"/>
    <w:basedOn w:val="OPCParaBase"/>
    <w:rsid w:val="006B3D66"/>
    <w:pPr>
      <w:tabs>
        <w:tab w:val="right" w:pos="556"/>
      </w:tabs>
      <w:spacing w:before="40" w:line="240" w:lineRule="atLeast"/>
      <w:ind w:left="805" w:hanging="805"/>
    </w:pPr>
    <w:rPr>
      <w:sz w:val="20"/>
    </w:rPr>
  </w:style>
  <w:style w:type="paragraph" w:customStyle="1" w:styleId="CTA3ai">
    <w:name w:val="CTA 3(a)(i)"/>
    <w:basedOn w:val="OPCParaBase"/>
    <w:rsid w:val="006B3D66"/>
    <w:pPr>
      <w:tabs>
        <w:tab w:val="right" w:pos="1140"/>
      </w:tabs>
      <w:spacing w:before="40" w:line="240" w:lineRule="atLeast"/>
      <w:ind w:left="1361" w:hanging="1361"/>
    </w:pPr>
    <w:rPr>
      <w:sz w:val="20"/>
    </w:rPr>
  </w:style>
  <w:style w:type="paragraph" w:customStyle="1" w:styleId="CTA4a">
    <w:name w:val="CTA 4(a)"/>
    <w:basedOn w:val="OPCParaBase"/>
    <w:rsid w:val="006B3D66"/>
    <w:pPr>
      <w:tabs>
        <w:tab w:val="right" w:pos="624"/>
      </w:tabs>
      <w:spacing w:before="40" w:line="240" w:lineRule="atLeast"/>
      <w:ind w:left="873" w:hanging="873"/>
    </w:pPr>
    <w:rPr>
      <w:sz w:val="20"/>
    </w:rPr>
  </w:style>
  <w:style w:type="paragraph" w:customStyle="1" w:styleId="CTA4ai">
    <w:name w:val="CTA 4(a)(i)"/>
    <w:basedOn w:val="OPCParaBase"/>
    <w:rsid w:val="006B3D66"/>
    <w:pPr>
      <w:tabs>
        <w:tab w:val="right" w:pos="1213"/>
      </w:tabs>
      <w:spacing w:before="40" w:line="240" w:lineRule="atLeast"/>
      <w:ind w:left="1452" w:hanging="1452"/>
    </w:pPr>
    <w:rPr>
      <w:sz w:val="20"/>
    </w:rPr>
  </w:style>
  <w:style w:type="paragraph" w:customStyle="1" w:styleId="CTACAPS">
    <w:name w:val="CTA CAPS"/>
    <w:basedOn w:val="OPCParaBase"/>
    <w:rsid w:val="006B3D66"/>
    <w:pPr>
      <w:spacing w:before="60" w:line="240" w:lineRule="atLeast"/>
    </w:pPr>
    <w:rPr>
      <w:sz w:val="20"/>
    </w:rPr>
  </w:style>
  <w:style w:type="paragraph" w:customStyle="1" w:styleId="CTAright">
    <w:name w:val="CTA right"/>
    <w:basedOn w:val="OPCParaBase"/>
    <w:rsid w:val="006B3D66"/>
    <w:pPr>
      <w:spacing w:before="60" w:line="240" w:lineRule="auto"/>
      <w:jc w:val="right"/>
    </w:pPr>
    <w:rPr>
      <w:sz w:val="20"/>
    </w:rPr>
  </w:style>
  <w:style w:type="paragraph" w:customStyle="1" w:styleId="ActHead1">
    <w:name w:val="ActHead 1"/>
    <w:aliases w:val="c"/>
    <w:basedOn w:val="OPCParaBase"/>
    <w:next w:val="Normal"/>
    <w:qFormat/>
    <w:rsid w:val="006B3D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3D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3D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3D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3D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3D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3D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3D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3D66"/>
    <w:pPr>
      <w:keepNext/>
      <w:keepLines/>
      <w:spacing w:before="280" w:line="240" w:lineRule="auto"/>
      <w:ind w:left="1134" w:hanging="1134"/>
      <w:outlineLvl w:val="8"/>
    </w:pPr>
    <w:rPr>
      <w:b/>
      <w:i/>
      <w:kern w:val="28"/>
      <w:sz w:val="28"/>
    </w:rPr>
  </w:style>
  <w:style w:type="numbering" w:styleId="111111">
    <w:name w:val="Outline List 2"/>
    <w:basedOn w:val="NoList"/>
    <w:rsid w:val="008A2D52"/>
    <w:pPr>
      <w:numPr>
        <w:numId w:val="26"/>
      </w:numPr>
    </w:pPr>
  </w:style>
  <w:style w:type="numbering" w:styleId="1ai">
    <w:name w:val="Outline List 1"/>
    <w:basedOn w:val="NoList"/>
    <w:rsid w:val="008A2D52"/>
    <w:pPr>
      <w:numPr>
        <w:numId w:val="36"/>
      </w:numPr>
    </w:pPr>
  </w:style>
  <w:style w:type="numbering" w:styleId="ArticleSection">
    <w:name w:val="Outline List 3"/>
    <w:basedOn w:val="NoList"/>
    <w:rsid w:val="008A2D52"/>
    <w:pPr>
      <w:numPr>
        <w:numId w:val="28"/>
      </w:numPr>
    </w:pPr>
  </w:style>
  <w:style w:type="table" w:styleId="Table3Deffects1">
    <w:name w:val="Table 3D effects 1"/>
    <w:basedOn w:val="TableNormal"/>
    <w:rsid w:val="008A2D5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D5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D5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D5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D5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D5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D5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D5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D5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D5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D5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D5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D5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D5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D5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D5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D5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B3D6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2D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D5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D5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D5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D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D5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D5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D5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D5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D5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D5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D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D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D5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D5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D5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2D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D5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D5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D5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D5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D5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D5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2D5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D5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D5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DC6780"/>
    <w:rPr>
      <w:rFonts w:ascii="Arial" w:hAnsi="Arial"/>
      <w:b/>
      <w:kern w:val="28"/>
      <w:sz w:val="24"/>
    </w:rPr>
  </w:style>
  <w:style w:type="character" w:customStyle="1" w:styleId="HeaderChar">
    <w:name w:val="Header Char"/>
    <w:basedOn w:val="DefaultParagraphFont"/>
    <w:link w:val="Header"/>
    <w:rsid w:val="006B3D66"/>
    <w:rPr>
      <w:sz w:val="16"/>
    </w:rPr>
  </w:style>
  <w:style w:type="character" w:customStyle="1" w:styleId="subsectionChar">
    <w:name w:val="subsection Char"/>
    <w:aliases w:val="ss Char"/>
    <w:basedOn w:val="DefaultParagraphFont"/>
    <w:link w:val="subsection"/>
    <w:rsid w:val="00272EC3"/>
    <w:rPr>
      <w:sz w:val="22"/>
    </w:rPr>
  </w:style>
  <w:style w:type="character" w:customStyle="1" w:styleId="paragraphChar">
    <w:name w:val="paragraph Char"/>
    <w:aliases w:val="a Char"/>
    <w:basedOn w:val="DefaultParagraphFont"/>
    <w:link w:val="paragraph"/>
    <w:rsid w:val="00272EC3"/>
    <w:rPr>
      <w:sz w:val="22"/>
    </w:rPr>
  </w:style>
  <w:style w:type="character" w:customStyle="1" w:styleId="ShortTChar">
    <w:name w:val="ShortT Char"/>
    <w:basedOn w:val="DefaultParagraphFont"/>
    <w:link w:val="ShortT"/>
    <w:rsid w:val="00272EC3"/>
    <w:rPr>
      <w:b/>
      <w:sz w:val="40"/>
    </w:rPr>
  </w:style>
  <w:style w:type="character" w:customStyle="1" w:styleId="ActnoChar">
    <w:name w:val="Actno Char"/>
    <w:basedOn w:val="ShortTChar"/>
    <w:link w:val="Actno"/>
    <w:rsid w:val="00272EC3"/>
    <w:rPr>
      <w:b/>
      <w:sz w:val="40"/>
    </w:rPr>
  </w:style>
  <w:style w:type="character" w:customStyle="1" w:styleId="OPCCharBase">
    <w:name w:val="OPCCharBase"/>
    <w:uiPriority w:val="1"/>
    <w:qFormat/>
    <w:rsid w:val="006B3D66"/>
  </w:style>
  <w:style w:type="paragraph" w:customStyle="1" w:styleId="OPCParaBase">
    <w:name w:val="OPCParaBase"/>
    <w:qFormat/>
    <w:rsid w:val="006B3D66"/>
    <w:pPr>
      <w:spacing w:line="260" w:lineRule="atLeast"/>
    </w:pPr>
    <w:rPr>
      <w:sz w:val="22"/>
    </w:rPr>
  </w:style>
  <w:style w:type="paragraph" w:customStyle="1" w:styleId="noteToPara">
    <w:name w:val="noteToPara"/>
    <w:aliases w:val="ntp"/>
    <w:basedOn w:val="OPCParaBase"/>
    <w:rsid w:val="006B3D66"/>
    <w:pPr>
      <w:spacing w:before="122" w:line="198" w:lineRule="exact"/>
      <w:ind w:left="2353" w:hanging="709"/>
    </w:pPr>
    <w:rPr>
      <w:sz w:val="18"/>
    </w:rPr>
  </w:style>
  <w:style w:type="paragraph" w:customStyle="1" w:styleId="WRStyle">
    <w:name w:val="WR Style"/>
    <w:aliases w:val="WR"/>
    <w:basedOn w:val="OPCParaBase"/>
    <w:rsid w:val="006B3D66"/>
    <w:pPr>
      <w:spacing w:before="240" w:line="240" w:lineRule="auto"/>
      <w:ind w:left="284" w:hanging="284"/>
    </w:pPr>
    <w:rPr>
      <w:b/>
      <w:i/>
      <w:kern w:val="28"/>
      <w:sz w:val="24"/>
    </w:rPr>
  </w:style>
  <w:style w:type="character" w:customStyle="1" w:styleId="FooterChar">
    <w:name w:val="Footer Char"/>
    <w:basedOn w:val="DefaultParagraphFont"/>
    <w:link w:val="Footer"/>
    <w:rsid w:val="006B3D66"/>
    <w:rPr>
      <w:sz w:val="22"/>
      <w:szCs w:val="24"/>
    </w:rPr>
  </w:style>
  <w:style w:type="table" w:customStyle="1" w:styleId="CFlag">
    <w:name w:val="CFlag"/>
    <w:basedOn w:val="TableNormal"/>
    <w:uiPriority w:val="99"/>
    <w:rsid w:val="006B3D66"/>
    <w:tblPr/>
  </w:style>
  <w:style w:type="paragraph" w:customStyle="1" w:styleId="SignCoverPageEnd">
    <w:name w:val="SignCoverPageEnd"/>
    <w:basedOn w:val="OPCParaBase"/>
    <w:next w:val="Normal"/>
    <w:rsid w:val="006B3D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3D66"/>
    <w:pPr>
      <w:pBdr>
        <w:top w:val="single" w:sz="4" w:space="1" w:color="auto"/>
      </w:pBdr>
      <w:spacing w:before="360"/>
      <w:ind w:right="397"/>
      <w:jc w:val="both"/>
    </w:pPr>
  </w:style>
  <w:style w:type="paragraph" w:customStyle="1" w:styleId="ENotesHeading1">
    <w:name w:val="ENotesHeading 1"/>
    <w:aliases w:val="Enh1"/>
    <w:basedOn w:val="OPCParaBase"/>
    <w:next w:val="Normal"/>
    <w:rsid w:val="006B3D66"/>
    <w:pPr>
      <w:spacing w:before="120"/>
      <w:outlineLvl w:val="1"/>
    </w:pPr>
    <w:rPr>
      <w:b/>
      <w:sz w:val="28"/>
      <w:szCs w:val="28"/>
    </w:rPr>
  </w:style>
  <w:style w:type="paragraph" w:customStyle="1" w:styleId="ENotesHeading2">
    <w:name w:val="ENotesHeading 2"/>
    <w:aliases w:val="Enh2"/>
    <w:basedOn w:val="OPCParaBase"/>
    <w:next w:val="Normal"/>
    <w:rsid w:val="006B3D66"/>
    <w:pPr>
      <w:spacing w:before="120" w:after="120"/>
      <w:outlineLvl w:val="2"/>
    </w:pPr>
    <w:rPr>
      <w:b/>
      <w:sz w:val="24"/>
      <w:szCs w:val="28"/>
    </w:rPr>
  </w:style>
  <w:style w:type="paragraph" w:customStyle="1" w:styleId="CompiledActNo">
    <w:name w:val="CompiledActNo"/>
    <w:basedOn w:val="OPCParaBase"/>
    <w:next w:val="Normal"/>
    <w:rsid w:val="006B3D66"/>
    <w:rPr>
      <w:b/>
      <w:sz w:val="24"/>
      <w:szCs w:val="24"/>
    </w:rPr>
  </w:style>
  <w:style w:type="paragraph" w:customStyle="1" w:styleId="ENotesText">
    <w:name w:val="ENotesText"/>
    <w:aliases w:val="Ent,ENt"/>
    <w:basedOn w:val="OPCParaBase"/>
    <w:next w:val="Normal"/>
    <w:rsid w:val="006B3D66"/>
    <w:pPr>
      <w:spacing w:before="120"/>
    </w:pPr>
  </w:style>
  <w:style w:type="paragraph" w:customStyle="1" w:styleId="CompiledMadeUnder">
    <w:name w:val="CompiledMadeUnder"/>
    <w:basedOn w:val="OPCParaBase"/>
    <w:next w:val="Normal"/>
    <w:rsid w:val="006B3D66"/>
    <w:rPr>
      <w:i/>
      <w:sz w:val="24"/>
      <w:szCs w:val="24"/>
    </w:rPr>
  </w:style>
  <w:style w:type="paragraph" w:customStyle="1" w:styleId="Paragraphsub-sub-sub">
    <w:name w:val="Paragraph(sub-sub-sub)"/>
    <w:aliases w:val="aaaa"/>
    <w:basedOn w:val="OPCParaBase"/>
    <w:rsid w:val="006B3D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3D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3D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3D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3D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3D66"/>
    <w:pPr>
      <w:spacing w:before="60" w:line="240" w:lineRule="auto"/>
    </w:pPr>
    <w:rPr>
      <w:rFonts w:cs="Arial"/>
      <w:sz w:val="20"/>
      <w:szCs w:val="22"/>
    </w:rPr>
  </w:style>
  <w:style w:type="paragraph" w:customStyle="1" w:styleId="ActHead10">
    <w:name w:val="ActHead 10"/>
    <w:aliases w:val="sp"/>
    <w:basedOn w:val="OPCParaBase"/>
    <w:next w:val="ActHead3"/>
    <w:rsid w:val="006B3D6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B3D66"/>
    <w:rPr>
      <w:rFonts w:ascii="Tahoma" w:eastAsiaTheme="minorHAnsi" w:hAnsi="Tahoma" w:cs="Tahoma"/>
      <w:sz w:val="16"/>
      <w:szCs w:val="16"/>
      <w:lang w:eastAsia="en-US"/>
    </w:rPr>
  </w:style>
  <w:style w:type="paragraph" w:customStyle="1" w:styleId="NoteToSubpara">
    <w:name w:val="NoteToSubpara"/>
    <w:aliases w:val="nts"/>
    <w:basedOn w:val="OPCParaBase"/>
    <w:rsid w:val="006B3D66"/>
    <w:pPr>
      <w:spacing w:before="40" w:line="198" w:lineRule="exact"/>
      <w:ind w:left="2835" w:hanging="709"/>
    </w:pPr>
    <w:rPr>
      <w:sz w:val="18"/>
    </w:rPr>
  </w:style>
  <w:style w:type="paragraph" w:customStyle="1" w:styleId="ENoteTableHeading">
    <w:name w:val="ENoteTableHeading"/>
    <w:aliases w:val="enth"/>
    <w:basedOn w:val="OPCParaBase"/>
    <w:rsid w:val="006B3D66"/>
    <w:pPr>
      <w:keepNext/>
      <w:spacing w:before="60" w:line="240" w:lineRule="atLeast"/>
    </w:pPr>
    <w:rPr>
      <w:rFonts w:ascii="Arial" w:hAnsi="Arial"/>
      <w:b/>
      <w:sz w:val="16"/>
    </w:rPr>
  </w:style>
  <w:style w:type="paragraph" w:customStyle="1" w:styleId="ENoteTTi">
    <w:name w:val="ENoteTTi"/>
    <w:aliases w:val="entti"/>
    <w:basedOn w:val="OPCParaBase"/>
    <w:rsid w:val="006B3D66"/>
    <w:pPr>
      <w:keepNext/>
      <w:spacing w:before="60" w:line="240" w:lineRule="atLeast"/>
      <w:ind w:left="170"/>
    </w:pPr>
    <w:rPr>
      <w:sz w:val="16"/>
    </w:rPr>
  </w:style>
  <w:style w:type="paragraph" w:customStyle="1" w:styleId="ENoteTTIndentHeading">
    <w:name w:val="ENoteTTIndentHeading"/>
    <w:aliases w:val="enTTHi"/>
    <w:basedOn w:val="OPCParaBase"/>
    <w:rsid w:val="006B3D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3D66"/>
    <w:pPr>
      <w:spacing w:before="60" w:line="240" w:lineRule="atLeast"/>
    </w:pPr>
    <w:rPr>
      <w:sz w:val="16"/>
    </w:rPr>
  </w:style>
  <w:style w:type="paragraph" w:customStyle="1" w:styleId="MadeunderText">
    <w:name w:val="MadeunderText"/>
    <w:basedOn w:val="OPCParaBase"/>
    <w:next w:val="CompiledMadeUnder"/>
    <w:rsid w:val="006B3D66"/>
    <w:pPr>
      <w:spacing w:before="240"/>
    </w:pPr>
    <w:rPr>
      <w:sz w:val="24"/>
      <w:szCs w:val="24"/>
    </w:rPr>
  </w:style>
  <w:style w:type="paragraph" w:customStyle="1" w:styleId="ENotesHeading3">
    <w:name w:val="ENotesHeading 3"/>
    <w:aliases w:val="Enh3"/>
    <w:basedOn w:val="OPCParaBase"/>
    <w:next w:val="Normal"/>
    <w:rsid w:val="006B3D66"/>
    <w:pPr>
      <w:keepNext/>
      <w:spacing w:before="120" w:line="240" w:lineRule="auto"/>
      <w:outlineLvl w:val="4"/>
    </w:pPr>
    <w:rPr>
      <w:b/>
      <w:szCs w:val="24"/>
    </w:rPr>
  </w:style>
  <w:style w:type="paragraph" w:customStyle="1" w:styleId="SubPartCASA">
    <w:name w:val="SubPart(CASA)"/>
    <w:aliases w:val="csp"/>
    <w:basedOn w:val="OPCParaBase"/>
    <w:next w:val="ActHead3"/>
    <w:rsid w:val="006B3D66"/>
    <w:pPr>
      <w:keepNext/>
      <w:keepLines/>
      <w:spacing w:before="280"/>
      <w:outlineLvl w:val="1"/>
    </w:pPr>
    <w:rPr>
      <w:b/>
      <w:kern w:val="28"/>
      <w:sz w:val="32"/>
    </w:rPr>
  </w:style>
  <w:style w:type="character" w:customStyle="1" w:styleId="CharSubPartTextCASA">
    <w:name w:val="CharSubPartText(CASA)"/>
    <w:basedOn w:val="OPCCharBase"/>
    <w:uiPriority w:val="1"/>
    <w:rsid w:val="006B3D66"/>
  </w:style>
  <w:style w:type="character" w:customStyle="1" w:styleId="CharSubPartNoCASA">
    <w:name w:val="CharSubPartNo(CASA)"/>
    <w:basedOn w:val="OPCCharBase"/>
    <w:uiPriority w:val="1"/>
    <w:rsid w:val="006B3D66"/>
  </w:style>
  <w:style w:type="paragraph" w:customStyle="1" w:styleId="ENoteTTIndentHeadingSub">
    <w:name w:val="ENoteTTIndentHeadingSub"/>
    <w:aliases w:val="enTTHis"/>
    <w:basedOn w:val="OPCParaBase"/>
    <w:rsid w:val="006B3D66"/>
    <w:pPr>
      <w:keepNext/>
      <w:spacing w:before="60" w:line="240" w:lineRule="atLeast"/>
      <w:ind w:left="340"/>
    </w:pPr>
    <w:rPr>
      <w:b/>
      <w:sz w:val="16"/>
    </w:rPr>
  </w:style>
  <w:style w:type="paragraph" w:customStyle="1" w:styleId="ENoteTTiSub">
    <w:name w:val="ENoteTTiSub"/>
    <w:aliases w:val="enttis"/>
    <w:basedOn w:val="OPCParaBase"/>
    <w:rsid w:val="006B3D66"/>
    <w:pPr>
      <w:keepNext/>
      <w:spacing w:before="60" w:line="240" w:lineRule="atLeast"/>
      <w:ind w:left="340"/>
    </w:pPr>
    <w:rPr>
      <w:sz w:val="16"/>
    </w:rPr>
  </w:style>
  <w:style w:type="paragraph" w:customStyle="1" w:styleId="SubDivisionMigration">
    <w:name w:val="SubDivisionMigration"/>
    <w:aliases w:val="sdm"/>
    <w:basedOn w:val="OPCParaBase"/>
    <w:rsid w:val="006B3D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3D66"/>
    <w:pPr>
      <w:keepNext/>
      <w:keepLines/>
      <w:spacing w:before="240" w:line="240" w:lineRule="auto"/>
      <w:ind w:left="1134" w:hanging="1134"/>
    </w:pPr>
    <w:rPr>
      <w:b/>
      <w:sz w:val="28"/>
    </w:rPr>
  </w:style>
  <w:style w:type="paragraph" w:customStyle="1" w:styleId="FreeForm">
    <w:name w:val="FreeForm"/>
    <w:rsid w:val="006B3D66"/>
    <w:rPr>
      <w:rFonts w:ascii="Arial" w:eastAsiaTheme="minorHAnsi" w:hAnsi="Arial" w:cstheme="minorBidi"/>
      <w:sz w:val="22"/>
      <w:lang w:eastAsia="en-US"/>
    </w:rPr>
  </w:style>
  <w:style w:type="paragraph" w:customStyle="1" w:styleId="SOText">
    <w:name w:val="SO Text"/>
    <w:aliases w:val="sot"/>
    <w:link w:val="SOTextChar"/>
    <w:rsid w:val="006B3D6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B3D66"/>
    <w:rPr>
      <w:rFonts w:eastAsiaTheme="minorHAnsi" w:cstheme="minorBidi"/>
      <w:sz w:val="22"/>
      <w:lang w:eastAsia="en-US"/>
    </w:rPr>
  </w:style>
  <w:style w:type="paragraph" w:customStyle="1" w:styleId="SOTextNote">
    <w:name w:val="SO TextNote"/>
    <w:aliases w:val="sont"/>
    <w:basedOn w:val="SOText"/>
    <w:qFormat/>
    <w:rsid w:val="006B3D66"/>
    <w:pPr>
      <w:spacing w:before="122" w:line="198" w:lineRule="exact"/>
      <w:ind w:left="1843" w:hanging="709"/>
    </w:pPr>
    <w:rPr>
      <w:sz w:val="18"/>
    </w:rPr>
  </w:style>
  <w:style w:type="paragraph" w:customStyle="1" w:styleId="SOPara">
    <w:name w:val="SO Para"/>
    <w:aliases w:val="soa"/>
    <w:basedOn w:val="SOText"/>
    <w:link w:val="SOParaChar"/>
    <w:qFormat/>
    <w:rsid w:val="006B3D66"/>
    <w:pPr>
      <w:tabs>
        <w:tab w:val="right" w:pos="1786"/>
      </w:tabs>
      <w:spacing w:before="40"/>
      <w:ind w:left="2070" w:hanging="936"/>
    </w:pPr>
  </w:style>
  <w:style w:type="character" w:customStyle="1" w:styleId="SOParaChar">
    <w:name w:val="SO Para Char"/>
    <w:aliases w:val="soa Char"/>
    <w:basedOn w:val="DefaultParagraphFont"/>
    <w:link w:val="SOPara"/>
    <w:rsid w:val="006B3D66"/>
    <w:rPr>
      <w:rFonts w:eastAsiaTheme="minorHAnsi" w:cstheme="minorBidi"/>
      <w:sz w:val="22"/>
      <w:lang w:eastAsia="en-US"/>
    </w:rPr>
  </w:style>
  <w:style w:type="paragraph" w:customStyle="1" w:styleId="FileName">
    <w:name w:val="FileName"/>
    <w:basedOn w:val="Normal"/>
    <w:rsid w:val="006B3D66"/>
  </w:style>
  <w:style w:type="paragraph" w:customStyle="1" w:styleId="TableHeading">
    <w:name w:val="TableHeading"/>
    <w:aliases w:val="th"/>
    <w:basedOn w:val="OPCParaBase"/>
    <w:next w:val="Tabletext"/>
    <w:rsid w:val="006B3D66"/>
    <w:pPr>
      <w:keepNext/>
      <w:spacing w:before="60" w:line="240" w:lineRule="atLeast"/>
    </w:pPr>
    <w:rPr>
      <w:b/>
      <w:sz w:val="20"/>
    </w:rPr>
  </w:style>
  <w:style w:type="paragraph" w:customStyle="1" w:styleId="SOHeadBold">
    <w:name w:val="SO HeadBold"/>
    <w:aliases w:val="sohb"/>
    <w:basedOn w:val="SOText"/>
    <w:next w:val="SOText"/>
    <w:link w:val="SOHeadBoldChar"/>
    <w:qFormat/>
    <w:rsid w:val="006B3D66"/>
    <w:rPr>
      <w:b/>
    </w:rPr>
  </w:style>
  <w:style w:type="character" w:customStyle="1" w:styleId="SOHeadBoldChar">
    <w:name w:val="SO HeadBold Char"/>
    <w:aliases w:val="sohb Char"/>
    <w:basedOn w:val="DefaultParagraphFont"/>
    <w:link w:val="SOHeadBold"/>
    <w:rsid w:val="006B3D6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B3D66"/>
    <w:rPr>
      <w:i/>
    </w:rPr>
  </w:style>
  <w:style w:type="character" w:customStyle="1" w:styleId="SOHeadItalicChar">
    <w:name w:val="SO HeadItalic Char"/>
    <w:aliases w:val="sohi Char"/>
    <w:basedOn w:val="DefaultParagraphFont"/>
    <w:link w:val="SOHeadItalic"/>
    <w:rsid w:val="006B3D66"/>
    <w:rPr>
      <w:rFonts w:eastAsiaTheme="minorHAnsi" w:cstheme="minorBidi"/>
      <w:i/>
      <w:sz w:val="22"/>
      <w:lang w:eastAsia="en-US"/>
    </w:rPr>
  </w:style>
  <w:style w:type="paragraph" w:customStyle="1" w:styleId="SOBullet">
    <w:name w:val="SO Bullet"/>
    <w:aliases w:val="sotb"/>
    <w:basedOn w:val="SOText"/>
    <w:link w:val="SOBulletChar"/>
    <w:qFormat/>
    <w:rsid w:val="006B3D66"/>
    <w:pPr>
      <w:ind w:left="1559" w:hanging="425"/>
    </w:pPr>
  </w:style>
  <w:style w:type="character" w:customStyle="1" w:styleId="SOBulletChar">
    <w:name w:val="SO Bullet Char"/>
    <w:aliases w:val="sotb Char"/>
    <w:basedOn w:val="DefaultParagraphFont"/>
    <w:link w:val="SOBullet"/>
    <w:rsid w:val="006B3D66"/>
    <w:rPr>
      <w:rFonts w:eastAsiaTheme="minorHAnsi" w:cstheme="minorBidi"/>
      <w:sz w:val="22"/>
      <w:lang w:eastAsia="en-US"/>
    </w:rPr>
  </w:style>
  <w:style w:type="paragraph" w:customStyle="1" w:styleId="SOBulletNote">
    <w:name w:val="SO BulletNote"/>
    <w:aliases w:val="sonb"/>
    <w:basedOn w:val="SOTextNote"/>
    <w:link w:val="SOBulletNoteChar"/>
    <w:qFormat/>
    <w:rsid w:val="006B3D66"/>
    <w:pPr>
      <w:tabs>
        <w:tab w:val="left" w:pos="1560"/>
      </w:tabs>
      <w:ind w:left="2268" w:hanging="1134"/>
    </w:pPr>
  </w:style>
  <w:style w:type="character" w:customStyle="1" w:styleId="SOBulletNoteChar">
    <w:name w:val="SO BulletNote Char"/>
    <w:aliases w:val="sonb Char"/>
    <w:basedOn w:val="DefaultParagraphFont"/>
    <w:link w:val="SOBulletNote"/>
    <w:rsid w:val="006B3D66"/>
    <w:rPr>
      <w:rFonts w:eastAsiaTheme="minorHAnsi" w:cstheme="minorBidi"/>
      <w:sz w:val="18"/>
      <w:lang w:eastAsia="en-US"/>
    </w:rPr>
  </w:style>
  <w:style w:type="paragraph" w:styleId="Revision">
    <w:name w:val="Revision"/>
    <w:hidden/>
    <w:uiPriority w:val="99"/>
    <w:semiHidden/>
    <w:rsid w:val="00C67BFB"/>
    <w:rPr>
      <w:rFonts w:eastAsiaTheme="minorHAnsi" w:cstheme="minorBidi"/>
      <w:sz w:val="22"/>
      <w:lang w:eastAsia="en-US"/>
    </w:rPr>
  </w:style>
  <w:style w:type="paragraph" w:customStyle="1" w:styleId="EnStatement">
    <w:name w:val="EnStatement"/>
    <w:basedOn w:val="Normal"/>
    <w:rsid w:val="006B3D66"/>
    <w:pPr>
      <w:numPr>
        <w:numId w:val="39"/>
      </w:numPr>
    </w:pPr>
    <w:rPr>
      <w:rFonts w:eastAsia="Times New Roman" w:cs="Times New Roman"/>
      <w:lang w:eastAsia="en-AU"/>
    </w:rPr>
  </w:style>
  <w:style w:type="paragraph" w:customStyle="1" w:styleId="EnStatementHeading">
    <w:name w:val="EnStatementHeading"/>
    <w:basedOn w:val="Normal"/>
    <w:rsid w:val="006B3D66"/>
    <w:rPr>
      <w:rFonts w:eastAsia="Times New Roman" w:cs="Times New Roman"/>
      <w:b/>
      <w:lang w:eastAsia="en-AU"/>
    </w:rPr>
  </w:style>
  <w:style w:type="character" w:customStyle="1" w:styleId="ActHead5Char">
    <w:name w:val="ActHead 5 Char"/>
    <w:aliases w:val="s Char"/>
    <w:link w:val="ActHead5"/>
    <w:locked/>
    <w:rsid w:val="0043673D"/>
    <w:rPr>
      <w:b/>
      <w:kern w:val="28"/>
      <w:sz w:val="24"/>
    </w:rPr>
  </w:style>
  <w:style w:type="paragraph" w:customStyle="1" w:styleId="Transitional">
    <w:name w:val="Transitional"/>
    <w:aliases w:val="tr"/>
    <w:basedOn w:val="Normal"/>
    <w:next w:val="Normal"/>
    <w:rsid w:val="006B3D66"/>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3D66"/>
    <w:pPr>
      <w:spacing w:line="260" w:lineRule="atLeast"/>
    </w:pPr>
    <w:rPr>
      <w:rFonts w:eastAsiaTheme="minorHAnsi" w:cstheme="minorBidi"/>
      <w:sz w:val="22"/>
      <w:lang w:eastAsia="en-US"/>
    </w:rPr>
  </w:style>
  <w:style w:type="paragraph" w:styleId="Heading1">
    <w:name w:val="heading 1"/>
    <w:next w:val="Heading2"/>
    <w:autoRedefine/>
    <w:qFormat/>
    <w:rsid w:val="008A2D52"/>
    <w:pPr>
      <w:keepNext/>
      <w:keepLines/>
      <w:ind w:left="1134" w:hanging="1134"/>
      <w:outlineLvl w:val="0"/>
    </w:pPr>
    <w:rPr>
      <w:b/>
      <w:bCs/>
      <w:kern w:val="28"/>
      <w:sz w:val="36"/>
      <w:szCs w:val="32"/>
    </w:rPr>
  </w:style>
  <w:style w:type="paragraph" w:styleId="Heading2">
    <w:name w:val="heading 2"/>
    <w:basedOn w:val="Heading1"/>
    <w:next w:val="Heading3"/>
    <w:autoRedefine/>
    <w:qFormat/>
    <w:rsid w:val="008A2D52"/>
    <w:pPr>
      <w:spacing w:before="280"/>
      <w:outlineLvl w:val="1"/>
    </w:pPr>
    <w:rPr>
      <w:bCs w:val="0"/>
      <w:iCs/>
      <w:sz w:val="32"/>
      <w:szCs w:val="28"/>
    </w:rPr>
  </w:style>
  <w:style w:type="paragraph" w:styleId="Heading3">
    <w:name w:val="heading 3"/>
    <w:basedOn w:val="Heading1"/>
    <w:next w:val="Heading4"/>
    <w:autoRedefine/>
    <w:qFormat/>
    <w:rsid w:val="008A2D52"/>
    <w:pPr>
      <w:spacing w:before="240"/>
      <w:outlineLvl w:val="2"/>
    </w:pPr>
    <w:rPr>
      <w:bCs w:val="0"/>
      <w:sz w:val="28"/>
      <w:szCs w:val="26"/>
    </w:rPr>
  </w:style>
  <w:style w:type="paragraph" w:styleId="Heading4">
    <w:name w:val="heading 4"/>
    <w:basedOn w:val="Heading1"/>
    <w:next w:val="Heading5"/>
    <w:autoRedefine/>
    <w:qFormat/>
    <w:rsid w:val="008A2D52"/>
    <w:pPr>
      <w:spacing w:before="220"/>
      <w:outlineLvl w:val="3"/>
    </w:pPr>
    <w:rPr>
      <w:bCs w:val="0"/>
      <w:sz w:val="26"/>
      <w:szCs w:val="28"/>
    </w:rPr>
  </w:style>
  <w:style w:type="paragraph" w:styleId="Heading5">
    <w:name w:val="heading 5"/>
    <w:basedOn w:val="Heading1"/>
    <w:next w:val="subsection"/>
    <w:autoRedefine/>
    <w:qFormat/>
    <w:rsid w:val="008A2D52"/>
    <w:pPr>
      <w:spacing w:before="280"/>
      <w:outlineLvl w:val="4"/>
    </w:pPr>
    <w:rPr>
      <w:bCs w:val="0"/>
      <w:iCs/>
      <w:sz w:val="24"/>
      <w:szCs w:val="26"/>
    </w:rPr>
  </w:style>
  <w:style w:type="paragraph" w:styleId="Heading6">
    <w:name w:val="heading 6"/>
    <w:basedOn w:val="Heading1"/>
    <w:next w:val="Heading7"/>
    <w:autoRedefine/>
    <w:qFormat/>
    <w:rsid w:val="008A2D52"/>
    <w:pPr>
      <w:outlineLvl w:val="5"/>
    </w:pPr>
    <w:rPr>
      <w:rFonts w:ascii="Arial" w:hAnsi="Arial" w:cs="Arial"/>
      <w:bCs w:val="0"/>
      <w:sz w:val="32"/>
      <w:szCs w:val="22"/>
    </w:rPr>
  </w:style>
  <w:style w:type="paragraph" w:styleId="Heading7">
    <w:name w:val="heading 7"/>
    <w:basedOn w:val="Heading6"/>
    <w:next w:val="Normal"/>
    <w:autoRedefine/>
    <w:qFormat/>
    <w:rsid w:val="008A2D52"/>
    <w:pPr>
      <w:spacing w:before="280"/>
      <w:outlineLvl w:val="6"/>
    </w:pPr>
    <w:rPr>
      <w:sz w:val="28"/>
    </w:rPr>
  </w:style>
  <w:style w:type="paragraph" w:styleId="Heading8">
    <w:name w:val="heading 8"/>
    <w:basedOn w:val="Heading6"/>
    <w:next w:val="Normal"/>
    <w:autoRedefine/>
    <w:qFormat/>
    <w:rsid w:val="008A2D52"/>
    <w:pPr>
      <w:spacing w:before="240"/>
      <w:outlineLvl w:val="7"/>
    </w:pPr>
    <w:rPr>
      <w:iCs/>
      <w:sz w:val="26"/>
    </w:rPr>
  </w:style>
  <w:style w:type="paragraph" w:styleId="Heading9">
    <w:name w:val="heading 9"/>
    <w:basedOn w:val="Heading1"/>
    <w:next w:val="Normal"/>
    <w:autoRedefine/>
    <w:qFormat/>
    <w:rsid w:val="008A2D52"/>
    <w:pPr>
      <w:keepNext w:val="0"/>
      <w:spacing w:before="280"/>
      <w:outlineLvl w:val="8"/>
    </w:pPr>
    <w:rPr>
      <w:i/>
      <w:sz w:val="28"/>
      <w:szCs w:val="22"/>
    </w:rPr>
  </w:style>
  <w:style w:type="character" w:default="1" w:styleId="DefaultParagraphFont">
    <w:name w:val="Default Paragraph Font"/>
    <w:uiPriority w:val="1"/>
    <w:unhideWhenUsed/>
    <w:rsid w:val="006B3D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3D66"/>
  </w:style>
  <w:style w:type="paragraph" w:customStyle="1" w:styleId="Actno">
    <w:name w:val="Actno"/>
    <w:basedOn w:val="ShortT"/>
    <w:next w:val="Normal"/>
    <w:link w:val="ActnoChar"/>
    <w:qFormat/>
    <w:rsid w:val="006B3D66"/>
  </w:style>
  <w:style w:type="paragraph" w:customStyle="1" w:styleId="BoxHeadBold">
    <w:name w:val="BoxHeadBold"/>
    <w:aliases w:val="bhb"/>
    <w:basedOn w:val="BoxText"/>
    <w:next w:val="BoxText"/>
    <w:qFormat/>
    <w:rsid w:val="006B3D66"/>
    <w:rPr>
      <w:b/>
    </w:rPr>
  </w:style>
  <w:style w:type="paragraph" w:customStyle="1" w:styleId="BoxList">
    <w:name w:val="BoxList"/>
    <w:aliases w:val="bl"/>
    <w:basedOn w:val="BoxText"/>
    <w:qFormat/>
    <w:rsid w:val="006B3D66"/>
    <w:pPr>
      <w:ind w:left="1559" w:hanging="425"/>
    </w:pPr>
  </w:style>
  <w:style w:type="paragraph" w:customStyle="1" w:styleId="BoxPara">
    <w:name w:val="BoxPara"/>
    <w:aliases w:val="bp"/>
    <w:basedOn w:val="BoxText"/>
    <w:qFormat/>
    <w:rsid w:val="006B3D66"/>
    <w:pPr>
      <w:tabs>
        <w:tab w:val="right" w:pos="2268"/>
      </w:tabs>
      <w:ind w:left="2552" w:hanging="1418"/>
    </w:pPr>
  </w:style>
  <w:style w:type="paragraph" w:customStyle="1" w:styleId="BoxText">
    <w:name w:val="BoxText"/>
    <w:aliases w:val="bt"/>
    <w:basedOn w:val="OPCParaBase"/>
    <w:qFormat/>
    <w:rsid w:val="006B3D66"/>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6B3D66"/>
  </w:style>
  <w:style w:type="character" w:customStyle="1" w:styleId="CharAmPartText">
    <w:name w:val="CharAmPartText"/>
    <w:basedOn w:val="OPCCharBase"/>
    <w:uiPriority w:val="1"/>
    <w:qFormat/>
    <w:rsid w:val="006B3D66"/>
  </w:style>
  <w:style w:type="character" w:customStyle="1" w:styleId="CharAmSchNo">
    <w:name w:val="CharAmSchNo"/>
    <w:basedOn w:val="OPCCharBase"/>
    <w:uiPriority w:val="1"/>
    <w:qFormat/>
    <w:rsid w:val="006B3D66"/>
  </w:style>
  <w:style w:type="character" w:customStyle="1" w:styleId="CharAmSchText">
    <w:name w:val="CharAmSchText"/>
    <w:basedOn w:val="OPCCharBase"/>
    <w:uiPriority w:val="1"/>
    <w:qFormat/>
    <w:rsid w:val="006B3D66"/>
  </w:style>
  <w:style w:type="character" w:customStyle="1" w:styleId="CharBoldItalic">
    <w:name w:val="CharBoldItalic"/>
    <w:basedOn w:val="OPCCharBase"/>
    <w:uiPriority w:val="1"/>
    <w:qFormat/>
    <w:rsid w:val="006B3D66"/>
    <w:rPr>
      <w:b/>
      <w:i/>
    </w:rPr>
  </w:style>
  <w:style w:type="character" w:customStyle="1" w:styleId="CharChapNo">
    <w:name w:val="CharChapNo"/>
    <w:basedOn w:val="OPCCharBase"/>
    <w:qFormat/>
    <w:rsid w:val="006B3D66"/>
  </w:style>
  <w:style w:type="character" w:customStyle="1" w:styleId="CharChapText">
    <w:name w:val="CharChapText"/>
    <w:basedOn w:val="OPCCharBase"/>
    <w:qFormat/>
    <w:rsid w:val="006B3D66"/>
  </w:style>
  <w:style w:type="character" w:customStyle="1" w:styleId="CharDivNo">
    <w:name w:val="CharDivNo"/>
    <w:basedOn w:val="OPCCharBase"/>
    <w:qFormat/>
    <w:rsid w:val="006B3D66"/>
  </w:style>
  <w:style w:type="character" w:customStyle="1" w:styleId="CharDivText">
    <w:name w:val="CharDivText"/>
    <w:basedOn w:val="OPCCharBase"/>
    <w:qFormat/>
    <w:rsid w:val="006B3D66"/>
  </w:style>
  <w:style w:type="character" w:customStyle="1" w:styleId="CharItalic">
    <w:name w:val="CharItalic"/>
    <w:basedOn w:val="OPCCharBase"/>
    <w:uiPriority w:val="1"/>
    <w:qFormat/>
    <w:rsid w:val="006B3D66"/>
    <w:rPr>
      <w:i/>
    </w:rPr>
  </w:style>
  <w:style w:type="character" w:customStyle="1" w:styleId="CharPartNo">
    <w:name w:val="CharPartNo"/>
    <w:basedOn w:val="OPCCharBase"/>
    <w:qFormat/>
    <w:rsid w:val="006B3D66"/>
  </w:style>
  <w:style w:type="character" w:customStyle="1" w:styleId="CharPartText">
    <w:name w:val="CharPartText"/>
    <w:basedOn w:val="OPCCharBase"/>
    <w:qFormat/>
    <w:rsid w:val="006B3D66"/>
  </w:style>
  <w:style w:type="character" w:customStyle="1" w:styleId="CharSectno">
    <w:name w:val="CharSectno"/>
    <w:basedOn w:val="OPCCharBase"/>
    <w:qFormat/>
    <w:rsid w:val="006B3D66"/>
  </w:style>
  <w:style w:type="character" w:customStyle="1" w:styleId="CharSubdNo">
    <w:name w:val="CharSubdNo"/>
    <w:basedOn w:val="OPCCharBase"/>
    <w:uiPriority w:val="1"/>
    <w:qFormat/>
    <w:rsid w:val="006B3D66"/>
  </w:style>
  <w:style w:type="character" w:customStyle="1" w:styleId="CharSubdText">
    <w:name w:val="CharSubdText"/>
    <w:basedOn w:val="OPCCharBase"/>
    <w:uiPriority w:val="1"/>
    <w:qFormat/>
    <w:rsid w:val="006B3D66"/>
  </w:style>
  <w:style w:type="paragraph" w:customStyle="1" w:styleId="Blocks">
    <w:name w:val="Blocks"/>
    <w:aliases w:val="bb"/>
    <w:basedOn w:val="OPCParaBase"/>
    <w:qFormat/>
    <w:rsid w:val="006B3D66"/>
    <w:pPr>
      <w:spacing w:line="240" w:lineRule="auto"/>
    </w:pPr>
    <w:rPr>
      <w:sz w:val="24"/>
    </w:rPr>
  </w:style>
  <w:style w:type="paragraph" w:customStyle="1" w:styleId="BoxHeadItalic">
    <w:name w:val="BoxHeadItalic"/>
    <w:aliases w:val="bhi"/>
    <w:basedOn w:val="BoxText"/>
    <w:next w:val="BoxStep"/>
    <w:qFormat/>
    <w:rsid w:val="006B3D66"/>
    <w:rPr>
      <w:i/>
    </w:rPr>
  </w:style>
  <w:style w:type="paragraph" w:customStyle="1" w:styleId="BoxNote">
    <w:name w:val="BoxNote"/>
    <w:aliases w:val="bn"/>
    <w:basedOn w:val="BoxText"/>
    <w:qFormat/>
    <w:rsid w:val="006B3D66"/>
    <w:pPr>
      <w:tabs>
        <w:tab w:val="left" w:pos="1985"/>
      </w:tabs>
      <w:spacing w:before="122" w:line="198" w:lineRule="exact"/>
      <w:ind w:left="2948" w:hanging="1814"/>
    </w:pPr>
    <w:rPr>
      <w:sz w:val="18"/>
    </w:rPr>
  </w:style>
  <w:style w:type="paragraph" w:customStyle="1" w:styleId="BoxStep">
    <w:name w:val="BoxStep"/>
    <w:aliases w:val="bs"/>
    <w:basedOn w:val="BoxText"/>
    <w:qFormat/>
    <w:rsid w:val="006B3D66"/>
    <w:pPr>
      <w:ind w:left="1985" w:hanging="851"/>
    </w:pPr>
  </w:style>
  <w:style w:type="paragraph" w:customStyle="1" w:styleId="Definition">
    <w:name w:val="Definition"/>
    <w:aliases w:val="dd"/>
    <w:basedOn w:val="OPCParaBase"/>
    <w:rsid w:val="006B3D66"/>
    <w:pPr>
      <w:spacing w:before="180" w:line="240" w:lineRule="auto"/>
      <w:ind w:left="1134"/>
    </w:pPr>
  </w:style>
  <w:style w:type="paragraph" w:customStyle="1" w:styleId="House">
    <w:name w:val="House"/>
    <w:basedOn w:val="OPCParaBase"/>
    <w:rsid w:val="006B3D66"/>
    <w:pPr>
      <w:spacing w:line="240" w:lineRule="auto"/>
    </w:pPr>
    <w:rPr>
      <w:sz w:val="28"/>
    </w:rPr>
  </w:style>
  <w:style w:type="paragraph" w:customStyle="1" w:styleId="paragraph">
    <w:name w:val="paragraph"/>
    <w:aliases w:val="a"/>
    <w:basedOn w:val="OPCParaBase"/>
    <w:link w:val="paragraphChar"/>
    <w:rsid w:val="006B3D66"/>
    <w:pPr>
      <w:tabs>
        <w:tab w:val="right" w:pos="1531"/>
      </w:tabs>
      <w:spacing w:before="40" w:line="240" w:lineRule="auto"/>
      <w:ind w:left="1644" w:hanging="1644"/>
    </w:pPr>
  </w:style>
  <w:style w:type="paragraph" w:customStyle="1" w:styleId="paragraphsub">
    <w:name w:val="paragraph(sub)"/>
    <w:aliases w:val="aa"/>
    <w:basedOn w:val="OPCParaBase"/>
    <w:rsid w:val="006B3D66"/>
    <w:pPr>
      <w:tabs>
        <w:tab w:val="right" w:pos="1985"/>
      </w:tabs>
      <w:spacing w:before="40" w:line="240" w:lineRule="auto"/>
      <w:ind w:left="2098" w:hanging="2098"/>
    </w:pPr>
  </w:style>
  <w:style w:type="paragraph" w:customStyle="1" w:styleId="Formula">
    <w:name w:val="Formula"/>
    <w:basedOn w:val="OPCParaBase"/>
    <w:rsid w:val="006B3D66"/>
    <w:pPr>
      <w:spacing w:line="240" w:lineRule="auto"/>
      <w:ind w:left="1134"/>
    </w:pPr>
    <w:rPr>
      <w:sz w:val="20"/>
    </w:rPr>
  </w:style>
  <w:style w:type="paragraph" w:customStyle="1" w:styleId="paragraphsub-sub">
    <w:name w:val="paragraph(sub-sub)"/>
    <w:aliases w:val="aaa"/>
    <w:basedOn w:val="OPCParaBase"/>
    <w:rsid w:val="006B3D66"/>
    <w:pPr>
      <w:tabs>
        <w:tab w:val="right" w:pos="2722"/>
      </w:tabs>
      <w:spacing w:before="40" w:line="240" w:lineRule="auto"/>
      <w:ind w:left="2835" w:hanging="2835"/>
    </w:pPr>
  </w:style>
  <w:style w:type="paragraph" w:customStyle="1" w:styleId="Item">
    <w:name w:val="Item"/>
    <w:aliases w:val="i"/>
    <w:basedOn w:val="OPCParaBase"/>
    <w:next w:val="ItemHead"/>
    <w:rsid w:val="006B3D66"/>
    <w:pPr>
      <w:keepLines/>
      <w:spacing w:before="80" w:line="240" w:lineRule="auto"/>
      <w:ind w:left="709"/>
    </w:pPr>
  </w:style>
  <w:style w:type="paragraph" w:customStyle="1" w:styleId="ItemHead">
    <w:name w:val="ItemHead"/>
    <w:aliases w:val="ih"/>
    <w:basedOn w:val="OPCParaBase"/>
    <w:next w:val="Item"/>
    <w:link w:val="ItemHeadChar"/>
    <w:rsid w:val="006B3D66"/>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6B3D66"/>
    <w:pPr>
      <w:spacing w:before="240" w:line="240" w:lineRule="auto"/>
      <w:ind w:left="284" w:hanging="284"/>
    </w:pPr>
    <w:rPr>
      <w:i/>
      <w:sz w:val="24"/>
    </w:rPr>
  </w:style>
  <w:style w:type="paragraph" w:customStyle="1" w:styleId="notepara">
    <w:name w:val="note(para)"/>
    <w:aliases w:val="na"/>
    <w:basedOn w:val="OPCParaBase"/>
    <w:rsid w:val="006B3D66"/>
    <w:pPr>
      <w:spacing w:before="40" w:line="198" w:lineRule="exact"/>
      <w:ind w:left="2354" w:hanging="369"/>
    </w:pPr>
    <w:rPr>
      <w:sz w:val="18"/>
    </w:rPr>
  </w:style>
  <w:style w:type="paragraph" w:customStyle="1" w:styleId="LongT">
    <w:name w:val="LongT"/>
    <w:basedOn w:val="OPCParaBase"/>
    <w:rsid w:val="006B3D66"/>
    <w:pPr>
      <w:spacing w:line="240" w:lineRule="auto"/>
    </w:pPr>
    <w:rPr>
      <w:b/>
      <w:sz w:val="32"/>
    </w:rPr>
  </w:style>
  <w:style w:type="paragraph" w:customStyle="1" w:styleId="notemargin">
    <w:name w:val="note(margin)"/>
    <w:aliases w:val="nm"/>
    <w:basedOn w:val="OPCParaBase"/>
    <w:rsid w:val="006B3D66"/>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6B3D66"/>
    <w:pPr>
      <w:spacing w:line="240" w:lineRule="auto"/>
      <w:jc w:val="right"/>
    </w:pPr>
    <w:rPr>
      <w:rFonts w:ascii="Arial" w:hAnsi="Arial"/>
      <w:b/>
      <w:i/>
    </w:rPr>
  </w:style>
  <w:style w:type="paragraph" w:customStyle="1" w:styleId="Page1">
    <w:name w:val="Page1"/>
    <w:basedOn w:val="OPCParaBase"/>
    <w:rsid w:val="006B3D66"/>
    <w:pPr>
      <w:spacing w:before="5600" w:line="240" w:lineRule="auto"/>
    </w:pPr>
    <w:rPr>
      <w:b/>
      <w:sz w:val="32"/>
    </w:rPr>
  </w:style>
  <w:style w:type="paragraph" w:customStyle="1" w:styleId="Penalty">
    <w:name w:val="Penalty"/>
    <w:basedOn w:val="OPCParaBase"/>
    <w:rsid w:val="006B3D66"/>
    <w:pPr>
      <w:tabs>
        <w:tab w:val="left" w:pos="2977"/>
      </w:tabs>
      <w:spacing w:before="180" w:line="240" w:lineRule="auto"/>
      <w:ind w:left="1985" w:hanging="851"/>
    </w:pPr>
  </w:style>
  <w:style w:type="paragraph" w:customStyle="1" w:styleId="Portfolio">
    <w:name w:val="Portfolio"/>
    <w:basedOn w:val="OPCParaBase"/>
    <w:rsid w:val="006B3D66"/>
    <w:pPr>
      <w:spacing w:line="240" w:lineRule="auto"/>
    </w:pPr>
    <w:rPr>
      <w:i/>
      <w:sz w:val="20"/>
    </w:rPr>
  </w:style>
  <w:style w:type="paragraph" w:customStyle="1" w:styleId="Reading">
    <w:name w:val="Reading"/>
    <w:basedOn w:val="OPCParaBase"/>
    <w:rsid w:val="006B3D66"/>
    <w:pPr>
      <w:spacing w:line="240" w:lineRule="auto"/>
    </w:pPr>
    <w:rPr>
      <w:i/>
      <w:sz w:val="20"/>
    </w:rPr>
  </w:style>
  <w:style w:type="paragraph" w:customStyle="1" w:styleId="ShortT">
    <w:name w:val="ShortT"/>
    <w:basedOn w:val="OPCParaBase"/>
    <w:next w:val="Normal"/>
    <w:link w:val="ShortTChar"/>
    <w:qFormat/>
    <w:rsid w:val="006B3D66"/>
    <w:pPr>
      <w:spacing w:line="240" w:lineRule="auto"/>
    </w:pPr>
    <w:rPr>
      <w:b/>
      <w:sz w:val="40"/>
    </w:rPr>
  </w:style>
  <w:style w:type="paragraph" w:customStyle="1" w:styleId="Sponsor">
    <w:name w:val="Sponsor"/>
    <w:basedOn w:val="OPCParaBase"/>
    <w:rsid w:val="006B3D66"/>
    <w:pPr>
      <w:spacing w:line="240" w:lineRule="auto"/>
    </w:pPr>
    <w:rPr>
      <w:i/>
    </w:rPr>
  </w:style>
  <w:style w:type="paragraph" w:customStyle="1" w:styleId="Subitem">
    <w:name w:val="Subitem"/>
    <w:aliases w:val="iss"/>
    <w:basedOn w:val="OPCParaBase"/>
    <w:rsid w:val="006B3D66"/>
    <w:pPr>
      <w:spacing w:before="180" w:line="240" w:lineRule="auto"/>
      <w:ind w:left="709" w:hanging="709"/>
    </w:pPr>
  </w:style>
  <w:style w:type="paragraph" w:customStyle="1" w:styleId="subsection">
    <w:name w:val="subsection"/>
    <w:aliases w:val="ss"/>
    <w:basedOn w:val="OPCParaBase"/>
    <w:link w:val="subsectionChar"/>
    <w:rsid w:val="006B3D66"/>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6B3D66"/>
    <w:pPr>
      <w:keepNext/>
      <w:keepLines/>
      <w:spacing w:before="240" w:line="240" w:lineRule="auto"/>
      <w:ind w:left="1134"/>
    </w:pPr>
    <w:rPr>
      <w:i/>
    </w:rPr>
  </w:style>
  <w:style w:type="paragraph" w:customStyle="1" w:styleId="Tablea">
    <w:name w:val="Table(a)"/>
    <w:aliases w:val="ta"/>
    <w:basedOn w:val="OPCParaBase"/>
    <w:rsid w:val="006B3D66"/>
    <w:pPr>
      <w:spacing w:before="60" w:line="240" w:lineRule="auto"/>
      <w:ind w:left="284" w:hanging="284"/>
    </w:pPr>
    <w:rPr>
      <w:sz w:val="20"/>
    </w:rPr>
  </w:style>
  <w:style w:type="paragraph" w:customStyle="1" w:styleId="Tablei">
    <w:name w:val="Table(i)"/>
    <w:aliases w:val="taa"/>
    <w:basedOn w:val="OPCParaBase"/>
    <w:rsid w:val="006B3D66"/>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6B3D66"/>
    <w:pPr>
      <w:spacing w:before="122" w:line="198" w:lineRule="exact"/>
      <w:ind w:left="1985" w:hanging="851"/>
      <w:jc w:val="right"/>
    </w:pPr>
    <w:rPr>
      <w:sz w:val="18"/>
    </w:rPr>
  </w:style>
  <w:style w:type="paragraph" w:customStyle="1" w:styleId="notetext">
    <w:name w:val="note(text)"/>
    <w:aliases w:val="n"/>
    <w:basedOn w:val="OPCParaBase"/>
    <w:rsid w:val="006B3D66"/>
    <w:pPr>
      <w:spacing w:before="122" w:line="240" w:lineRule="auto"/>
      <w:ind w:left="1985" w:hanging="851"/>
    </w:pPr>
    <w:rPr>
      <w:sz w:val="18"/>
    </w:rPr>
  </w:style>
  <w:style w:type="paragraph" w:customStyle="1" w:styleId="PageBreak">
    <w:name w:val="PageBreak"/>
    <w:aliases w:val="pb"/>
    <w:basedOn w:val="OPCParaBase"/>
    <w:rsid w:val="006B3D66"/>
    <w:pPr>
      <w:spacing w:line="240" w:lineRule="auto"/>
    </w:pPr>
    <w:rPr>
      <w:sz w:val="20"/>
    </w:rPr>
  </w:style>
  <w:style w:type="paragraph" w:customStyle="1" w:styleId="ParlAmend">
    <w:name w:val="ParlAmend"/>
    <w:aliases w:val="pp"/>
    <w:basedOn w:val="OPCParaBase"/>
    <w:rsid w:val="006B3D66"/>
    <w:pPr>
      <w:spacing w:before="240" w:line="240" w:lineRule="atLeast"/>
      <w:ind w:hanging="567"/>
    </w:pPr>
    <w:rPr>
      <w:sz w:val="24"/>
    </w:rPr>
  </w:style>
  <w:style w:type="paragraph" w:customStyle="1" w:styleId="Preamble">
    <w:name w:val="Preamble"/>
    <w:basedOn w:val="OPCParaBase"/>
    <w:next w:val="Normal"/>
    <w:rsid w:val="006B3D66"/>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6B3D66"/>
    <w:pPr>
      <w:spacing w:line="240" w:lineRule="auto"/>
    </w:pPr>
    <w:rPr>
      <w:sz w:val="28"/>
    </w:rPr>
  </w:style>
  <w:style w:type="paragraph" w:customStyle="1" w:styleId="SubitemHead">
    <w:name w:val="SubitemHead"/>
    <w:aliases w:val="issh"/>
    <w:basedOn w:val="OPCParaBase"/>
    <w:rsid w:val="006B3D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3D66"/>
    <w:pPr>
      <w:spacing w:before="40" w:line="240" w:lineRule="auto"/>
      <w:ind w:left="1134"/>
    </w:pPr>
  </w:style>
  <w:style w:type="paragraph" w:customStyle="1" w:styleId="TableAA">
    <w:name w:val="Table(AA)"/>
    <w:aliases w:val="taaa"/>
    <w:basedOn w:val="OPCParaBase"/>
    <w:rsid w:val="006B3D6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B3D66"/>
    <w:pPr>
      <w:spacing w:before="60" w:line="240" w:lineRule="atLeast"/>
    </w:pPr>
    <w:rPr>
      <w:sz w:val="20"/>
    </w:rPr>
  </w:style>
  <w:style w:type="paragraph" w:customStyle="1" w:styleId="TLPBoxTextnote">
    <w:name w:val="TLPBoxText(note"/>
    <w:aliases w:val="right)"/>
    <w:basedOn w:val="OPCParaBase"/>
    <w:rsid w:val="006B3D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3D66"/>
    <w:pPr>
      <w:numPr>
        <w:numId w:val="38"/>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6B3D66"/>
    <w:pPr>
      <w:spacing w:line="240" w:lineRule="exact"/>
      <w:ind w:left="284" w:hanging="284"/>
    </w:pPr>
    <w:rPr>
      <w:sz w:val="20"/>
    </w:rPr>
  </w:style>
  <w:style w:type="paragraph" w:customStyle="1" w:styleId="TofSectsHeading">
    <w:name w:val="TofSects(Heading)"/>
    <w:basedOn w:val="OPCParaBase"/>
    <w:rsid w:val="006B3D66"/>
    <w:pPr>
      <w:spacing w:before="240" w:after="120" w:line="240" w:lineRule="auto"/>
    </w:pPr>
    <w:rPr>
      <w:b/>
      <w:sz w:val="24"/>
    </w:rPr>
  </w:style>
  <w:style w:type="paragraph" w:customStyle="1" w:styleId="TofSectsSubdiv">
    <w:name w:val="TofSects(Subdiv)"/>
    <w:basedOn w:val="OPCParaBase"/>
    <w:rsid w:val="006B3D66"/>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6B3D66"/>
    <w:pPr>
      <w:keepLines/>
      <w:spacing w:before="240" w:after="120" w:line="240" w:lineRule="auto"/>
      <w:ind w:left="794"/>
    </w:pPr>
    <w:rPr>
      <w:b/>
      <w:kern w:val="28"/>
      <w:sz w:val="20"/>
    </w:rPr>
  </w:style>
  <w:style w:type="paragraph" w:customStyle="1" w:styleId="TofSectsSection">
    <w:name w:val="TofSects(Section)"/>
    <w:basedOn w:val="OPCParaBase"/>
    <w:rsid w:val="006B3D66"/>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6B3D66"/>
    <w:pPr>
      <w:spacing w:line="240" w:lineRule="auto"/>
    </w:pPr>
    <w:rPr>
      <w:rFonts w:ascii="Tahoma" w:hAnsi="Tahoma" w:cs="Tahoma"/>
      <w:sz w:val="16"/>
      <w:szCs w:val="16"/>
    </w:rPr>
  </w:style>
  <w:style w:type="paragraph" w:styleId="BlockText">
    <w:name w:val="Block Text"/>
    <w:rsid w:val="008A2D52"/>
    <w:pPr>
      <w:spacing w:after="120"/>
      <w:ind w:left="1440" w:right="1440"/>
    </w:pPr>
    <w:rPr>
      <w:sz w:val="22"/>
      <w:szCs w:val="24"/>
    </w:rPr>
  </w:style>
  <w:style w:type="paragraph" w:styleId="BodyText">
    <w:name w:val="Body Text"/>
    <w:rsid w:val="008A2D52"/>
    <w:pPr>
      <w:spacing w:after="120"/>
    </w:pPr>
    <w:rPr>
      <w:sz w:val="22"/>
      <w:szCs w:val="24"/>
    </w:rPr>
  </w:style>
  <w:style w:type="paragraph" w:styleId="BodyText2">
    <w:name w:val="Body Text 2"/>
    <w:rsid w:val="008A2D52"/>
    <w:pPr>
      <w:spacing w:after="120" w:line="480" w:lineRule="auto"/>
    </w:pPr>
    <w:rPr>
      <w:sz w:val="22"/>
      <w:szCs w:val="24"/>
    </w:rPr>
  </w:style>
  <w:style w:type="paragraph" w:styleId="BodyText3">
    <w:name w:val="Body Text 3"/>
    <w:rsid w:val="008A2D52"/>
    <w:pPr>
      <w:spacing w:after="120"/>
    </w:pPr>
    <w:rPr>
      <w:sz w:val="16"/>
      <w:szCs w:val="16"/>
    </w:rPr>
  </w:style>
  <w:style w:type="paragraph" w:styleId="BodyTextIndent">
    <w:name w:val="Body Text Indent"/>
    <w:rsid w:val="008A2D52"/>
    <w:pPr>
      <w:spacing w:after="120"/>
      <w:ind w:left="283"/>
    </w:pPr>
    <w:rPr>
      <w:sz w:val="22"/>
      <w:szCs w:val="24"/>
    </w:rPr>
  </w:style>
  <w:style w:type="paragraph" w:styleId="BodyTextIndent2">
    <w:name w:val="Body Text Indent 2"/>
    <w:rsid w:val="008A2D52"/>
    <w:pPr>
      <w:spacing w:after="120" w:line="480" w:lineRule="auto"/>
      <w:ind w:left="283"/>
    </w:pPr>
    <w:rPr>
      <w:sz w:val="22"/>
      <w:szCs w:val="24"/>
    </w:rPr>
  </w:style>
  <w:style w:type="paragraph" w:styleId="BodyTextIndent3">
    <w:name w:val="Body Text Indent 3"/>
    <w:rsid w:val="008A2D52"/>
    <w:pPr>
      <w:spacing w:after="120"/>
      <w:ind w:left="283"/>
    </w:pPr>
    <w:rPr>
      <w:sz w:val="16"/>
      <w:szCs w:val="16"/>
    </w:rPr>
  </w:style>
  <w:style w:type="paragraph" w:styleId="Caption">
    <w:name w:val="caption"/>
    <w:next w:val="Normal"/>
    <w:qFormat/>
    <w:rsid w:val="008A2D52"/>
    <w:pPr>
      <w:spacing w:before="120" w:after="120"/>
    </w:pPr>
    <w:rPr>
      <w:b/>
      <w:bCs/>
    </w:rPr>
  </w:style>
  <w:style w:type="paragraph" w:styleId="Closing">
    <w:name w:val="Closing"/>
    <w:rsid w:val="008A2D52"/>
    <w:pPr>
      <w:ind w:left="4252"/>
    </w:pPr>
    <w:rPr>
      <w:sz w:val="22"/>
      <w:szCs w:val="24"/>
    </w:rPr>
  </w:style>
  <w:style w:type="paragraph" w:styleId="CommentText">
    <w:name w:val="annotation text"/>
    <w:rsid w:val="008A2D52"/>
  </w:style>
  <w:style w:type="paragraph" w:styleId="CommentSubject">
    <w:name w:val="annotation subject"/>
    <w:next w:val="CommentText"/>
    <w:rsid w:val="008A2D52"/>
    <w:rPr>
      <w:b/>
      <w:bCs/>
      <w:szCs w:val="24"/>
    </w:rPr>
  </w:style>
  <w:style w:type="paragraph" w:styleId="Date">
    <w:name w:val="Date"/>
    <w:next w:val="Normal"/>
    <w:rsid w:val="008A2D52"/>
    <w:rPr>
      <w:sz w:val="22"/>
      <w:szCs w:val="24"/>
    </w:rPr>
  </w:style>
  <w:style w:type="paragraph" w:styleId="DocumentMap">
    <w:name w:val="Document Map"/>
    <w:rsid w:val="008A2D52"/>
    <w:pPr>
      <w:shd w:val="clear" w:color="auto" w:fill="000080"/>
    </w:pPr>
    <w:rPr>
      <w:rFonts w:ascii="Tahoma" w:hAnsi="Tahoma" w:cs="Tahoma"/>
      <w:sz w:val="22"/>
      <w:szCs w:val="24"/>
    </w:rPr>
  </w:style>
  <w:style w:type="paragraph" w:styleId="E-mailSignature">
    <w:name w:val="E-mail Signature"/>
    <w:rsid w:val="008A2D52"/>
    <w:rPr>
      <w:sz w:val="22"/>
      <w:szCs w:val="24"/>
    </w:rPr>
  </w:style>
  <w:style w:type="paragraph" w:styleId="EndnoteText">
    <w:name w:val="endnote text"/>
    <w:rsid w:val="008A2D52"/>
  </w:style>
  <w:style w:type="paragraph" w:styleId="EnvelopeAddress">
    <w:name w:val="envelope address"/>
    <w:rsid w:val="008A2D5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2D52"/>
    <w:rPr>
      <w:rFonts w:ascii="Arial" w:hAnsi="Arial" w:cs="Arial"/>
    </w:rPr>
  </w:style>
  <w:style w:type="paragraph" w:styleId="Footer">
    <w:name w:val="footer"/>
    <w:link w:val="FooterChar"/>
    <w:rsid w:val="006B3D66"/>
    <w:pPr>
      <w:tabs>
        <w:tab w:val="center" w:pos="4153"/>
        <w:tab w:val="right" w:pos="8306"/>
      </w:tabs>
    </w:pPr>
    <w:rPr>
      <w:sz w:val="22"/>
      <w:szCs w:val="24"/>
    </w:rPr>
  </w:style>
  <w:style w:type="paragraph" w:styleId="FootnoteText">
    <w:name w:val="footnote text"/>
    <w:rsid w:val="008A2D52"/>
  </w:style>
  <w:style w:type="paragraph" w:styleId="Header">
    <w:name w:val="header"/>
    <w:basedOn w:val="OPCParaBase"/>
    <w:link w:val="HeaderChar"/>
    <w:unhideWhenUsed/>
    <w:rsid w:val="006B3D66"/>
    <w:pPr>
      <w:keepNext/>
      <w:keepLines/>
      <w:tabs>
        <w:tab w:val="center" w:pos="4150"/>
        <w:tab w:val="right" w:pos="8307"/>
      </w:tabs>
      <w:spacing w:line="160" w:lineRule="exact"/>
    </w:pPr>
    <w:rPr>
      <w:sz w:val="16"/>
    </w:rPr>
  </w:style>
  <w:style w:type="paragraph" w:styleId="HTMLAddress">
    <w:name w:val="HTML Address"/>
    <w:rsid w:val="008A2D52"/>
    <w:rPr>
      <w:i/>
      <w:iCs/>
      <w:sz w:val="22"/>
      <w:szCs w:val="24"/>
    </w:rPr>
  </w:style>
  <w:style w:type="paragraph" w:styleId="HTMLPreformatted">
    <w:name w:val="HTML Preformatted"/>
    <w:rsid w:val="008A2D52"/>
    <w:rPr>
      <w:rFonts w:ascii="Courier New" w:hAnsi="Courier New" w:cs="Courier New"/>
    </w:rPr>
  </w:style>
  <w:style w:type="paragraph" w:styleId="Index1">
    <w:name w:val="index 1"/>
    <w:next w:val="Normal"/>
    <w:rsid w:val="008A2D52"/>
    <w:pPr>
      <w:ind w:left="220" w:hanging="220"/>
    </w:pPr>
    <w:rPr>
      <w:sz w:val="22"/>
      <w:szCs w:val="24"/>
    </w:rPr>
  </w:style>
  <w:style w:type="paragraph" w:styleId="Index2">
    <w:name w:val="index 2"/>
    <w:next w:val="Normal"/>
    <w:rsid w:val="008A2D52"/>
    <w:pPr>
      <w:ind w:left="440" w:hanging="220"/>
    </w:pPr>
    <w:rPr>
      <w:sz w:val="22"/>
      <w:szCs w:val="24"/>
    </w:rPr>
  </w:style>
  <w:style w:type="paragraph" w:styleId="Index3">
    <w:name w:val="index 3"/>
    <w:next w:val="Normal"/>
    <w:rsid w:val="008A2D52"/>
    <w:pPr>
      <w:ind w:left="660" w:hanging="220"/>
    </w:pPr>
    <w:rPr>
      <w:sz w:val="22"/>
      <w:szCs w:val="24"/>
    </w:rPr>
  </w:style>
  <w:style w:type="paragraph" w:styleId="Index4">
    <w:name w:val="index 4"/>
    <w:next w:val="Normal"/>
    <w:rsid w:val="008A2D52"/>
    <w:pPr>
      <w:ind w:left="880" w:hanging="220"/>
    </w:pPr>
    <w:rPr>
      <w:sz w:val="22"/>
      <w:szCs w:val="24"/>
    </w:rPr>
  </w:style>
  <w:style w:type="paragraph" w:styleId="Index5">
    <w:name w:val="index 5"/>
    <w:next w:val="Normal"/>
    <w:rsid w:val="008A2D52"/>
    <w:pPr>
      <w:ind w:left="1100" w:hanging="220"/>
    </w:pPr>
    <w:rPr>
      <w:sz w:val="22"/>
      <w:szCs w:val="24"/>
    </w:rPr>
  </w:style>
  <w:style w:type="paragraph" w:styleId="Index6">
    <w:name w:val="index 6"/>
    <w:next w:val="Normal"/>
    <w:rsid w:val="008A2D52"/>
    <w:pPr>
      <w:ind w:left="1320" w:hanging="220"/>
    </w:pPr>
    <w:rPr>
      <w:sz w:val="22"/>
      <w:szCs w:val="24"/>
    </w:rPr>
  </w:style>
  <w:style w:type="paragraph" w:styleId="Index7">
    <w:name w:val="index 7"/>
    <w:next w:val="Normal"/>
    <w:rsid w:val="008A2D52"/>
    <w:pPr>
      <w:ind w:left="1540" w:hanging="220"/>
    </w:pPr>
    <w:rPr>
      <w:sz w:val="22"/>
      <w:szCs w:val="24"/>
    </w:rPr>
  </w:style>
  <w:style w:type="paragraph" w:styleId="Index8">
    <w:name w:val="index 8"/>
    <w:next w:val="Normal"/>
    <w:rsid w:val="008A2D52"/>
    <w:pPr>
      <w:ind w:left="1760" w:hanging="220"/>
    </w:pPr>
    <w:rPr>
      <w:sz w:val="22"/>
      <w:szCs w:val="24"/>
    </w:rPr>
  </w:style>
  <w:style w:type="paragraph" w:styleId="Index9">
    <w:name w:val="index 9"/>
    <w:next w:val="Normal"/>
    <w:rsid w:val="008A2D52"/>
    <w:pPr>
      <w:ind w:left="1980" w:hanging="220"/>
    </w:pPr>
    <w:rPr>
      <w:sz w:val="22"/>
      <w:szCs w:val="24"/>
    </w:rPr>
  </w:style>
  <w:style w:type="paragraph" w:styleId="IndexHeading">
    <w:name w:val="index heading"/>
    <w:next w:val="Index1"/>
    <w:rsid w:val="008A2D52"/>
    <w:rPr>
      <w:rFonts w:ascii="Arial" w:hAnsi="Arial" w:cs="Arial"/>
      <w:b/>
      <w:bCs/>
      <w:sz w:val="22"/>
      <w:szCs w:val="24"/>
    </w:rPr>
  </w:style>
  <w:style w:type="paragraph" w:styleId="List">
    <w:name w:val="List"/>
    <w:rsid w:val="008A2D52"/>
    <w:pPr>
      <w:ind w:left="283" w:hanging="283"/>
    </w:pPr>
    <w:rPr>
      <w:sz w:val="22"/>
      <w:szCs w:val="24"/>
    </w:rPr>
  </w:style>
  <w:style w:type="paragraph" w:styleId="List2">
    <w:name w:val="List 2"/>
    <w:rsid w:val="008A2D52"/>
    <w:pPr>
      <w:ind w:left="566" w:hanging="283"/>
    </w:pPr>
    <w:rPr>
      <w:sz w:val="22"/>
      <w:szCs w:val="24"/>
    </w:rPr>
  </w:style>
  <w:style w:type="paragraph" w:styleId="List3">
    <w:name w:val="List 3"/>
    <w:rsid w:val="008A2D52"/>
    <w:pPr>
      <w:ind w:left="849" w:hanging="283"/>
    </w:pPr>
    <w:rPr>
      <w:sz w:val="22"/>
      <w:szCs w:val="24"/>
    </w:rPr>
  </w:style>
  <w:style w:type="paragraph" w:styleId="List4">
    <w:name w:val="List 4"/>
    <w:rsid w:val="008A2D52"/>
    <w:pPr>
      <w:ind w:left="1132" w:hanging="283"/>
    </w:pPr>
    <w:rPr>
      <w:sz w:val="22"/>
      <w:szCs w:val="24"/>
    </w:rPr>
  </w:style>
  <w:style w:type="paragraph" w:styleId="List5">
    <w:name w:val="List 5"/>
    <w:rsid w:val="008A2D52"/>
    <w:pPr>
      <w:ind w:left="1415" w:hanging="283"/>
    </w:pPr>
    <w:rPr>
      <w:sz w:val="22"/>
      <w:szCs w:val="24"/>
    </w:rPr>
  </w:style>
  <w:style w:type="paragraph" w:styleId="ListBullet">
    <w:name w:val="List Bullet"/>
    <w:rsid w:val="008A2D52"/>
    <w:pPr>
      <w:numPr>
        <w:numId w:val="1"/>
      </w:numPr>
      <w:tabs>
        <w:tab w:val="clear" w:pos="360"/>
        <w:tab w:val="num" w:pos="2989"/>
      </w:tabs>
      <w:ind w:left="1225" w:firstLine="1043"/>
    </w:pPr>
    <w:rPr>
      <w:sz w:val="22"/>
      <w:szCs w:val="24"/>
    </w:rPr>
  </w:style>
  <w:style w:type="paragraph" w:styleId="ListBullet2">
    <w:name w:val="List Bullet 2"/>
    <w:rsid w:val="008A2D52"/>
    <w:pPr>
      <w:numPr>
        <w:numId w:val="2"/>
      </w:numPr>
      <w:tabs>
        <w:tab w:val="clear" w:pos="643"/>
        <w:tab w:val="num" w:pos="360"/>
      </w:tabs>
      <w:ind w:left="360"/>
    </w:pPr>
    <w:rPr>
      <w:sz w:val="22"/>
      <w:szCs w:val="24"/>
    </w:rPr>
  </w:style>
  <w:style w:type="paragraph" w:styleId="ListBullet3">
    <w:name w:val="List Bullet 3"/>
    <w:rsid w:val="008A2D52"/>
    <w:pPr>
      <w:numPr>
        <w:numId w:val="3"/>
      </w:numPr>
      <w:tabs>
        <w:tab w:val="clear" w:pos="926"/>
        <w:tab w:val="num" w:pos="360"/>
      </w:tabs>
      <w:ind w:left="360"/>
    </w:pPr>
    <w:rPr>
      <w:sz w:val="22"/>
      <w:szCs w:val="24"/>
    </w:rPr>
  </w:style>
  <w:style w:type="paragraph" w:styleId="ListBullet4">
    <w:name w:val="List Bullet 4"/>
    <w:rsid w:val="008A2D52"/>
    <w:pPr>
      <w:numPr>
        <w:numId w:val="4"/>
      </w:numPr>
      <w:tabs>
        <w:tab w:val="clear" w:pos="1209"/>
        <w:tab w:val="num" w:pos="926"/>
      </w:tabs>
      <w:ind w:left="926"/>
    </w:pPr>
    <w:rPr>
      <w:sz w:val="22"/>
      <w:szCs w:val="24"/>
    </w:rPr>
  </w:style>
  <w:style w:type="paragraph" w:styleId="ListBullet5">
    <w:name w:val="List Bullet 5"/>
    <w:rsid w:val="008A2D52"/>
    <w:pPr>
      <w:numPr>
        <w:numId w:val="5"/>
      </w:numPr>
    </w:pPr>
    <w:rPr>
      <w:sz w:val="22"/>
      <w:szCs w:val="24"/>
    </w:rPr>
  </w:style>
  <w:style w:type="paragraph" w:styleId="ListContinue">
    <w:name w:val="List Continue"/>
    <w:rsid w:val="008A2D52"/>
    <w:pPr>
      <w:spacing w:after="120"/>
      <w:ind w:left="283"/>
    </w:pPr>
    <w:rPr>
      <w:sz w:val="22"/>
      <w:szCs w:val="24"/>
    </w:rPr>
  </w:style>
  <w:style w:type="paragraph" w:styleId="ListContinue2">
    <w:name w:val="List Continue 2"/>
    <w:rsid w:val="008A2D52"/>
    <w:pPr>
      <w:spacing w:after="120"/>
      <w:ind w:left="566"/>
    </w:pPr>
    <w:rPr>
      <w:sz w:val="22"/>
      <w:szCs w:val="24"/>
    </w:rPr>
  </w:style>
  <w:style w:type="paragraph" w:styleId="ListContinue3">
    <w:name w:val="List Continue 3"/>
    <w:rsid w:val="008A2D52"/>
    <w:pPr>
      <w:spacing w:after="120"/>
      <w:ind w:left="849"/>
    </w:pPr>
    <w:rPr>
      <w:sz w:val="22"/>
      <w:szCs w:val="24"/>
    </w:rPr>
  </w:style>
  <w:style w:type="paragraph" w:styleId="ListContinue4">
    <w:name w:val="List Continue 4"/>
    <w:rsid w:val="008A2D52"/>
    <w:pPr>
      <w:spacing w:after="120"/>
      <w:ind w:left="1132"/>
    </w:pPr>
    <w:rPr>
      <w:sz w:val="22"/>
      <w:szCs w:val="24"/>
    </w:rPr>
  </w:style>
  <w:style w:type="paragraph" w:styleId="ListContinue5">
    <w:name w:val="List Continue 5"/>
    <w:rsid w:val="008A2D52"/>
    <w:pPr>
      <w:spacing w:after="120"/>
      <w:ind w:left="1415"/>
    </w:pPr>
    <w:rPr>
      <w:sz w:val="22"/>
      <w:szCs w:val="24"/>
    </w:rPr>
  </w:style>
  <w:style w:type="paragraph" w:styleId="ListNumber">
    <w:name w:val="List Number"/>
    <w:rsid w:val="008A2D52"/>
    <w:pPr>
      <w:numPr>
        <w:numId w:val="6"/>
      </w:numPr>
      <w:tabs>
        <w:tab w:val="clear" w:pos="360"/>
        <w:tab w:val="num" w:pos="4242"/>
      </w:tabs>
      <w:ind w:left="3521" w:hanging="1043"/>
    </w:pPr>
    <w:rPr>
      <w:sz w:val="22"/>
      <w:szCs w:val="24"/>
    </w:rPr>
  </w:style>
  <w:style w:type="paragraph" w:styleId="ListNumber2">
    <w:name w:val="List Number 2"/>
    <w:rsid w:val="008A2D52"/>
    <w:pPr>
      <w:numPr>
        <w:numId w:val="7"/>
      </w:numPr>
      <w:tabs>
        <w:tab w:val="clear" w:pos="643"/>
        <w:tab w:val="num" w:pos="360"/>
      </w:tabs>
      <w:ind w:left="360"/>
    </w:pPr>
    <w:rPr>
      <w:sz w:val="22"/>
      <w:szCs w:val="24"/>
    </w:rPr>
  </w:style>
  <w:style w:type="paragraph" w:styleId="ListNumber3">
    <w:name w:val="List Number 3"/>
    <w:rsid w:val="008A2D52"/>
    <w:pPr>
      <w:numPr>
        <w:numId w:val="8"/>
      </w:numPr>
      <w:tabs>
        <w:tab w:val="clear" w:pos="926"/>
        <w:tab w:val="num" w:pos="360"/>
      </w:tabs>
      <w:ind w:left="360"/>
    </w:pPr>
    <w:rPr>
      <w:sz w:val="22"/>
      <w:szCs w:val="24"/>
    </w:rPr>
  </w:style>
  <w:style w:type="paragraph" w:styleId="ListNumber4">
    <w:name w:val="List Number 4"/>
    <w:rsid w:val="008A2D52"/>
    <w:pPr>
      <w:numPr>
        <w:numId w:val="9"/>
      </w:numPr>
      <w:tabs>
        <w:tab w:val="clear" w:pos="1209"/>
        <w:tab w:val="num" w:pos="360"/>
      </w:tabs>
      <w:ind w:left="360"/>
    </w:pPr>
    <w:rPr>
      <w:sz w:val="22"/>
      <w:szCs w:val="24"/>
    </w:rPr>
  </w:style>
  <w:style w:type="paragraph" w:styleId="ListNumber5">
    <w:name w:val="List Number 5"/>
    <w:rsid w:val="008A2D52"/>
    <w:pPr>
      <w:numPr>
        <w:numId w:val="10"/>
      </w:numPr>
      <w:tabs>
        <w:tab w:val="clear" w:pos="1492"/>
        <w:tab w:val="num" w:pos="1440"/>
      </w:tabs>
      <w:ind w:left="0" w:firstLine="0"/>
    </w:pPr>
    <w:rPr>
      <w:sz w:val="22"/>
      <w:szCs w:val="24"/>
    </w:rPr>
  </w:style>
  <w:style w:type="paragraph" w:styleId="MessageHeader">
    <w:name w:val="Message Header"/>
    <w:rsid w:val="008A2D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2D52"/>
    <w:rPr>
      <w:sz w:val="24"/>
      <w:szCs w:val="24"/>
    </w:rPr>
  </w:style>
  <w:style w:type="paragraph" w:styleId="NormalIndent">
    <w:name w:val="Normal Indent"/>
    <w:rsid w:val="008A2D52"/>
    <w:pPr>
      <w:ind w:left="720"/>
    </w:pPr>
    <w:rPr>
      <w:sz w:val="22"/>
      <w:szCs w:val="24"/>
    </w:rPr>
  </w:style>
  <w:style w:type="paragraph" w:styleId="NoteHeading">
    <w:name w:val="Note Heading"/>
    <w:next w:val="Normal"/>
    <w:rsid w:val="008A2D52"/>
    <w:rPr>
      <w:sz w:val="22"/>
      <w:szCs w:val="24"/>
    </w:rPr>
  </w:style>
  <w:style w:type="paragraph" w:styleId="PlainText">
    <w:name w:val="Plain Text"/>
    <w:rsid w:val="008A2D52"/>
    <w:rPr>
      <w:rFonts w:ascii="Courier New" w:hAnsi="Courier New" w:cs="Courier New"/>
      <w:sz w:val="22"/>
    </w:rPr>
  </w:style>
  <w:style w:type="paragraph" w:styleId="Salutation">
    <w:name w:val="Salutation"/>
    <w:next w:val="Normal"/>
    <w:rsid w:val="008A2D52"/>
    <w:rPr>
      <w:sz w:val="22"/>
      <w:szCs w:val="24"/>
    </w:rPr>
  </w:style>
  <w:style w:type="paragraph" w:styleId="Signature">
    <w:name w:val="Signature"/>
    <w:rsid w:val="008A2D52"/>
    <w:pPr>
      <w:ind w:left="4252"/>
    </w:pPr>
    <w:rPr>
      <w:sz w:val="22"/>
      <w:szCs w:val="24"/>
    </w:rPr>
  </w:style>
  <w:style w:type="paragraph" w:styleId="Subtitle">
    <w:name w:val="Subtitle"/>
    <w:qFormat/>
    <w:rsid w:val="008A2D52"/>
    <w:pPr>
      <w:spacing w:after="60"/>
      <w:jc w:val="center"/>
    </w:pPr>
    <w:rPr>
      <w:rFonts w:ascii="Arial" w:hAnsi="Arial" w:cs="Arial"/>
      <w:sz w:val="24"/>
      <w:szCs w:val="24"/>
    </w:rPr>
  </w:style>
  <w:style w:type="paragraph" w:styleId="TableofAuthorities">
    <w:name w:val="table of authorities"/>
    <w:next w:val="Normal"/>
    <w:rsid w:val="008A2D52"/>
    <w:pPr>
      <w:ind w:left="220" w:hanging="220"/>
    </w:pPr>
    <w:rPr>
      <w:sz w:val="22"/>
      <w:szCs w:val="24"/>
    </w:rPr>
  </w:style>
  <w:style w:type="paragraph" w:styleId="TableofFigures">
    <w:name w:val="table of figures"/>
    <w:next w:val="Normal"/>
    <w:rsid w:val="008A2D52"/>
    <w:pPr>
      <w:ind w:left="440" w:hanging="440"/>
    </w:pPr>
    <w:rPr>
      <w:sz w:val="22"/>
      <w:szCs w:val="24"/>
    </w:rPr>
  </w:style>
  <w:style w:type="paragraph" w:styleId="Title">
    <w:name w:val="Title"/>
    <w:qFormat/>
    <w:rsid w:val="008A2D52"/>
    <w:pPr>
      <w:spacing w:before="240" w:after="60"/>
      <w:jc w:val="center"/>
    </w:pPr>
    <w:rPr>
      <w:rFonts w:ascii="Arial" w:hAnsi="Arial" w:cs="Arial"/>
      <w:b/>
      <w:bCs/>
      <w:kern w:val="28"/>
      <w:sz w:val="32"/>
      <w:szCs w:val="32"/>
    </w:rPr>
  </w:style>
  <w:style w:type="paragraph" w:styleId="TOAHeading">
    <w:name w:val="toa heading"/>
    <w:next w:val="Normal"/>
    <w:rsid w:val="008A2D52"/>
    <w:pPr>
      <w:spacing w:before="120"/>
    </w:pPr>
    <w:rPr>
      <w:rFonts w:ascii="Arial" w:hAnsi="Arial" w:cs="Arial"/>
      <w:b/>
      <w:bCs/>
      <w:sz w:val="24"/>
      <w:szCs w:val="24"/>
    </w:rPr>
  </w:style>
  <w:style w:type="paragraph" w:styleId="BodyTextFirstIndent">
    <w:name w:val="Body Text First Indent"/>
    <w:basedOn w:val="BodyText"/>
    <w:rsid w:val="008A2D52"/>
    <w:pPr>
      <w:ind w:firstLine="210"/>
    </w:pPr>
  </w:style>
  <w:style w:type="paragraph" w:styleId="BodyTextFirstIndent2">
    <w:name w:val="Body Text First Indent 2"/>
    <w:basedOn w:val="BodyTextIndent"/>
    <w:rsid w:val="008A2D52"/>
    <w:pPr>
      <w:ind w:firstLine="210"/>
    </w:pPr>
  </w:style>
  <w:style w:type="character" w:styleId="CommentReference">
    <w:name w:val="annotation reference"/>
    <w:basedOn w:val="DefaultParagraphFont"/>
    <w:rsid w:val="008A2D52"/>
    <w:rPr>
      <w:sz w:val="16"/>
      <w:szCs w:val="16"/>
    </w:rPr>
  </w:style>
  <w:style w:type="character" w:styleId="Emphasis">
    <w:name w:val="Emphasis"/>
    <w:basedOn w:val="DefaultParagraphFont"/>
    <w:qFormat/>
    <w:rsid w:val="008A2D52"/>
    <w:rPr>
      <w:i/>
      <w:iCs/>
    </w:rPr>
  </w:style>
  <w:style w:type="character" w:styleId="EndnoteReference">
    <w:name w:val="endnote reference"/>
    <w:basedOn w:val="DefaultParagraphFont"/>
    <w:rsid w:val="008A2D52"/>
    <w:rPr>
      <w:vertAlign w:val="superscript"/>
    </w:rPr>
  </w:style>
  <w:style w:type="character" w:styleId="FollowedHyperlink">
    <w:name w:val="FollowedHyperlink"/>
    <w:basedOn w:val="DefaultParagraphFont"/>
    <w:rsid w:val="008A2D52"/>
    <w:rPr>
      <w:color w:val="800080"/>
      <w:u w:val="single"/>
    </w:rPr>
  </w:style>
  <w:style w:type="character" w:styleId="FootnoteReference">
    <w:name w:val="footnote reference"/>
    <w:basedOn w:val="DefaultParagraphFont"/>
    <w:rsid w:val="008A2D52"/>
    <w:rPr>
      <w:vertAlign w:val="superscript"/>
    </w:rPr>
  </w:style>
  <w:style w:type="character" w:styleId="HTMLAcronym">
    <w:name w:val="HTML Acronym"/>
    <w:basedOn w:val="DefaultParagraphFont"/>
    <w:rsid w:val="008A2D52"/>
  </w:style>
  <w:style w:type="character" w:styleId="HTMLCite">
    <w:name w:val="HTML Cite"/>
    <w:basedOn w:val="DefaultParagraphFont"/>
    <w:rsid w:val="008A2D52"/>
    <w:rPr>
      <w:i/>
      <w:iCs/>
    </w:rPr>
  </w:style>
  <w:style w:type="character" w:styleId="HTMLCode">
    <w:name w:val="HTML Code"/>
    <w:basedOn w:val="DefaultParagraphFont"/>
    <w:rsid w:val="008A2D52"/>
    <w:rPr>
      <w:rFonts w:ascii="Courier New" w:hAnsi="Courier New" w:cs="Courier New"/>
      <w:sz w:val="20"/>
      <w:szCs w:val="20"/>
    </w:rPr>
  </w:style>
  <w:style w:type="character" w:styleId="HTMLDefinition">
    <w:name w:val="HTML Definition"/>
    <w:basedOn w:val="DefaultParagraphFont"/>
    <w:rsid w:val="008A2D52"/>
    <w:rPr>
      <w:i/>
      <w:iCs/>
    </w:rPr>
  </w:style>
  <w:style w:type="character" w:styleId="HTMLKeyboard">
    <w:name w:val="HTML Keyboard"/>
    <w:basedOn w:val="DefaultParagraphFont"/>
    <w:rsid w:val="008A2D52"/>
    <w:rPr>
      <w:rFonts w:ascii="Courier New" w:hAnsi="Courier New" w:cs="Courier New"/>
      <w:sz w:val="20"/>
      <w:szCs w:val="20"/>
    </w:rPr>
  </w:style>
  <w:style w:type="character" w:styleId="HTMLSample">
    <w:name w:val="HTML Sample"/>
    <w:basedOn w:val="DefaultParagraphFont"/>
    <w:rsid w:val="008A2D52"/>
    <w:rPr>
      <w:rFonts w:ascii="Courier New" w:hAnsi="Courier New" w:cs="Courier New"/>
    </w:rPr>
  </w:style>
  <w:style w:type="character" w:styleId="HTMLTypewriter">
    <w:name w:val="HTML Typewriter"/>
    <w:basedOn w:val="DefaultParagraphFont"/>
    <w:rsid w:val="008A2D52"/>
    <w:rPr>
      <w:rFonts w:ascii="Courier New" w:hAnsi="Courier New" w:cs="Courier New"/>
      <w:sz w:val="20"/>
      <w:szCs w:val="20"/>
    </w:rPr>
  </w:style>
  <w:style w:type="character" w:styleId="HTMLVariable">
    <w:name w:val="HTML Variable"/>
    <w:basedOn w:val="DefaultParagraphFont"/>
    <w:rsid w:val="008A2D52"/>
    <w:rPr>
      <w:i/>
      <w:iCs/>
    </w:rPr>
  </w:style>
  <w:style w:type="character" w:styleId="Hyperlink">
    <w:name w:val="Hyperlink"/>
    <w:basedOn w:val="DefaultParagraphFont"/>
    <w:rsid w:val="008A2D52"/>
    <w:rPr>
      <w:color w:val="0000FF"/>
      <w:u w:val="single"/>
    </w:rPr>
  </w:style>
  <w:style w:type="character" w:styleId="LineNumber">
    <w:name w:val="line number"/>
    <w:basedOn w:val="OPCCharBase"/>
    <w:uiPriority w:val="99"/>
    <w:unhideWhenUsed/>
    <w:rsid w:val="006B3D66"/>
    <w:rPr>
      <w:sz w:val="16"/>
    </w:rPr>
  </w:style>
  <w:style w:type="paragraph" w:styleId="MacroText">
    <w:name w:val="macro"/>
    <w:rsid w:val="008A2D5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8A2D52"/>
  </w:style>
  <w:style w:type="character" w:styleId="Strong">
    <w:name w:val="Strong"/>
    <w:basedOn w:val="DefaultParagraphFont"/>
    <w:qFormat/>
    <w:rsid w:val="008A2D52"/>
    <w:rPr>
      <w:b/>
      <w:bCs/>
    </w:rPr>
  </w:style>
  <w:style w:type="paragraph" w:styleId="TOC1">
    <w:name w:val="toc 1"/>
    <w:basedOn w:val="OPCParaBase"/>
    <w:next w:val="Normal"/>
    <w:uiPriority w:val="39"/>
    <w:unhideWhenUsed/>
    <w:rsid w:val="006B3D6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3D6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B3D6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B3D6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B3D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B3D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3D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B3D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B3D66"/>
    <w:pPr>
      <w:keepLines/>
      <w:tabs>
        <w:tab w:val="right" w:pos="7088"/>
      </w:tabs>
      <w:spacing w:before="80" w:line="240" w:lineRule="auto"/>
      <w:ind w:left="851" w:right="567"/>
    </w:pPr>
    <w:rPr>
      <w:i/>
      <w:kern w:val="28"/>
      <w:sz w:val="20"/>
    </w:rPr>
  </w:style>
  <w:style w:type="paragraph" w:customStyle="1" w:styleId="CTA-">
    <w:name w:val="CTA -"/>
    <w:basedOn w:val="OPCParaBase"/>
    <w:rsid w:val="006B3D66"/>
    <w:pPr>
      <w:spacing w:before="60" w:line="240" w:lineRule="atLeast"/>
      <w:ind w:left="85" w:hanging="85"/>
    </w:pPr>
    <w:rPr>
      <w:sz w:val="20"/>
    </w:rPr>
  </w:style>
  <w:style w:type="paragraph" w:customStyle="1" w:styleId="CTA--">
    <w:name w:val="CTA --"/>
    <w:basedOn w:val="OPCParaBase"/>
    <w:next w:val="Normal"/>
    <w:rsid w:val="006B3D66"/>
    <w:pPr>
      <w:spacing w:before="60" w:line="240" w:lineRule="atLeast"/>
      <w:ind w:left="142" w:hanging="142"/>
    </w:pPr>
    <w:rPr>
      <w:sz w:val="20"/>
    </w:rPr>
  </w:style>
  <w:style w:type="paragraph" w:customStyle="1" w:styleId="CTA---">
    <w:name w:val="CTA ---"/>
    <w:basedOn w:val="OPCParaBase"/>
    <w:next w:val="Normal"/>
    <w:rsid w:val="006B3D66"/>
    <w:pPr>
      <w:spacing w:before="60" w:line="240" w:lineRule="atLeast"/>
      <w:ind w:left="198" w:hanging="198"/>
    </w:pPr>
    <w:rPr>
      <w:sz w:val="20"/>
    </w:rPr>
  </w:style>
  <w:style w:type="paragraph" w:customStyle="1" w:styleId="CTA----">
    <w:name w:val="CTA ----"/>
    <w:basedOn w:val="OPCParaBase"/>
    <w:next w:val="Normal"/>
    <w:rsid w:val="006B3D66"/>
    <w:pPr>
      <w:spacing w:before="60" w:line="240" w:lineRule="atLeast"/>
      <w:ind w:left="255" w:hanging="255"/>
    </w:pPr>
    <w:rPr>
      <w:sz w:val="20"/>
    </w:rPr>
  </w:style>
  <w:style w:type="paragraph" w:customStyle="1" w:styleId="CTA1a">
    <w:name w:val="CTA 1(a)"/>
    <w:basedOn w:val="OPCParaBase"/>
    <w:rsid w:val="006B3D66"/>
    <w:pPr>
      <w:tabs>
        <w:tab w:val="right" w:pos="414"/>
      </w:tabs>
      <w:spacing w:before="40" w:line="240" w:lineRule="atLeast"/>
      <w:ind w:left="675" w:hanging="675"/>
    </w:pPr>
    <w:rPr>
      <w:sz w:val="20"/>
    </w:rPr>
  </w:style>
  <w:style w:type="paragraph" w:customStyle="1" w:styleId="CTA1ai">
    <w:name w:val="CTA 1(a)(i)"/>
    <w:basedOn w:val="OPCParaBase"/>
    <w:rsid w:val="006B3D66"/>
    <w:pPr>
      <w:tabs>
        <w:tab w:val="right" w:pos="1004"/>
      </w:tabs>
      <w:spacing w:before="40" w:line="240" w:lineRule="atLeast"/>
      <w:ind w:left="1253" w:hanging="1253"/>
    </w:pPr>
    <w:rPr>
      <w:sz w:val="20"/>
    </w:rPr>
  </w:style>
  <w:style w:type="paragraph" w:customStyle="1" w:styleId="CTA2a">
    <w:name w:val="CTA 2(a)"/>
    <w:basedOn w:val="OPCParaBase"/>
    <w:rsid w:val="006B3D66"/>
    <w:pPr>
      <w:tabs>
        <w:tab w:val="right" w:pos="482"/>
      </w:tabs>
      <w:spacing w:before="40" w:line="240" w:lineRule="atLeast"/>
      <w:ind w:left="748" w:hanging="748"/>
    </w:pPr>
    <w:rPr>
      <w:sz w:val="20"/>
    </w:rPr>
  </w:style>
  <w:style w:type="paragraph" w:customStyle="1" w:styleId="CTA2ai">
    <w:name w:val="CTA 2(a)(i)"/>
    <w:basedOn w:val="OPCParaBase"/>
    <w:rsid w:val="006B3D66"/>
    <w:pPr>
      <w:tabs>
        <w:tab w:val="right" w:pos="1089"/>
      </w:tabs>
      <w:spacing w:before="40" w:line="240" w:lineRule="atLeast"/>
      <w:ind w:left="1327" w:hanging="1327"/>
    </w:pPr>
    <w:rPr>
      <w:sz w:val="20"/>
    </w:rPr>
  </w:style>
  <w:style w:type="paragraph" w:customStyle="1" w:styleId="CTA3a">
    <w:name w:val="CTA 3(a)"/>
    <w:basedOn w:val="OPCParaBase"/>
    <w:rsid w:val="006B3D66"/>
    <w:pPr>
      <w:tabs>
        <w:tab w:val="right" w:pos="556"/>
      </w:tabs>
      <w:spacing w:before="40" w:line="240" w:lineRule="atLeast"/>
      <w:ind w:left="805" w:hanging="805"/>
    </w:pPr>
    <w:rPr>
      <w:sz w:val="20"/>
    </w:rPr>
  </w:style>
  <w:style w:type="paragraph" w:customStyle="1" w:styleId="CTA3ai">
    <w:name w:val="CTA 3(a)(i)"/>
    <w:basedOn w:val="OPCParaBase"/>
    <w:rsid w:val="006B3D66"/>
    <w:pPr>
      <w:tabs>
        <w:tab w:val="right" w:pos="1140"/>
      </w:tabs>
      <w:spacing w:before="40" w:line="240" w:lineRule="atLeast"/>
      <w:ind w:left="1361" w:hanging="1361"/>
    </w:pPr>
    <w:rPr>
      <w:sz w:val="20"/>
    </w:rPr>
  </w:style>
  <w:style w:type="paragraph" w:customStyle="1" w:styleId="CTA4a">
    <w:name w:val="CTA 4(a)"/>
    <w:basedOn w:val="OPCParaBase"/>
    <w:rsid w:val="006B3D66"/>
    <w:pPr>
      <w:tabs>
        <w:tab w:val="right" w:pos="624"/>
      </w:tabs>
      <w:spacing w:before="40" w:line="240" w:lineRule="atLeast"/>
      <w:ind w:left="873" w:hanging="873"/>
    </w:pPr>
    <w:rPr>
      <w:sz w:val="20"/>
    </w:rPr>
  </w:style>
  <w:style w:type="paragraph" w:customStyle="1" w:styleId="CTA4ai">
    <w:name w:val="CTA 4(a)(i)"/>
    <w:basedOn w:val="OPCParaBase"/>
    <w:rsid w:val="006B3D66"/>
    <w:pPr>
      <w:tabs>
        <w:tab w:val="right" w:pos="1213"/>
      </w:tabs>
      <w:spacing w:before="40" w:line="240" w:lineRule="atLeast"/>
      <w:ind w:left="1452" w:hanging="1452"/>
    </w:pPr>
    <w:rPr>
      <w:sz w:val="20"/>
    </w:rPr>
  </w:style>
  <w:style w:type="paragraph" w:customStyle="1" w:styleId="CTACAPS">
    <w:name w:val="CTA CAPS"/>
    <w:basedOn w:val="OPCParaBase"/>
    <w:rsid w:val="006B3D66"/>
    <w:pPr>
      <w:spacing w:before="60" w:line="240" w:lineRule="atLeast"/>
    </w:pPr>
    <w:rPr>
      <w:sz w:val="20"/>
    </w:rPr>
  </w:style>
  <w:style w:type="paragraph" w:customStyle="1" w:styleId="CTAright">
    <w:name w:val="CTA right"/>
    <w:basedOn w:val="OPCParaBase"/>
    <w:rsid w:val="006B3D66"/>
    <w:pPr>
      <w:spacing w:before="60" w:line="240" w:lineRule="auto"/>
      <w:jc w:val="right"/>
    </w:pPr>
    <w:rPr>
      <w:sz w:val="20"/>
    </w:rPr>
  </w:style>
  <w:style w:type="paragraph" w:customStyle="1" w:styleId="ActHead1">
    <w:name w:val="ActHead 1"/>
    <w:aliases w:val="c"/>
    <w:basedOn w:val="OPCParaBase"/>
    <w:next w:val="Normal"/>
    <w:qFormat/>
    <w:rsid w:val="006B3D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3D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3D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3D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3D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3D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3D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3D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3D66"/>
    <w:pPr>
      <w:keepNext/>
      <w:keepLines/>
      <w:spacing w:before="280" w:line="240" w:lineRule="auto"/>
      <w:ind w:left="1134" w:hanging="1134"/>
      <w:outlineLvl w:val="8"/>
    </w:pPr>
    <w:rPr>
      <w:b/>
      <w:i/>
      <w:kern w:val="28"/>
      <w:sz w:val="28"/>
    </w:rPr>
  </w:style>
  <w:style w:type="numbering" w:styleId="111111">
    <w:name w:val="Outline List 2"/>
    <w:basedOn w:val="NoList"/>
    <w:rsid w:val="008A2D52"/>
    <w:pPr>
      <w:numPr>
        <w:numId w:val="26"/>
      </w:numPr>
    </w:pPr>
  </w:style>
  <w:style w:type="numbering" w:styleId="1ai">
    <w:name w:val="Outline List 1"/>
    <w:basedOn w:val="NoList"/>
    <w:rsid w:val="008A2D52"/>
    <w:pPr>
      <w:numPr>
        <w:numId w:val="36"/>
      </w:numPr>
    </w:pPr>
  </w:style>
  <w:style w:type="numbering" w:styleId="ArticleSection">
    <w:name w:val="Outline List 3"/>
    <w:basedOn w:val="NoList"/>
    <w:rsid w:val="008A2D52"/>
    <w:pPr>
      <w:numPr>
        <w:numId w:val="28"/>
      </w:numPr>
    </w:pPr>
  </w:style>
  <w:style w:type="table" w:styleId="Table3Deffects1">
    <w:name w:val="Table 3D effects 1"/>
    <w:basedOn w:val="TableNormal"/>
    <w:rsid w:val="008A2D5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D5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D5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D5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D5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D5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D5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D5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D5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D5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D5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D5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D5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D5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D5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D5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D5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B3D6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2D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D5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D5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D5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D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D5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D5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D5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D5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D5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D5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D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D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D5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D5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D5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2D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D5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D5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D5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D5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D5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D5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2D5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D5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D5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DC6780"/>
    <w:rPr>
      <w:rFonts w:ascii="Arial" w:hAnsi="Arial"/>
      <w:b/>
      <w:kern w:val="28"/>
      <w:sz w:val="24"/>
    </w:rPr>
  </w:style>
  <w:style w:type="character" w:customStyle="1" w:styleId="HeaderChar">
    <w:name w:val="Header Char"/>
    <w:basedOn w:val="DefaultParagraphFont"/>
    <w:link w:val="Header"/>
    <w:rsid w:val="006B3D66"/>
    <w:rPr>
      <w:sz w:val="16"/>
    </w:rPr>
  </w:style>
  <w:style w:type="character" w:customStyle="1" w:styleId="subsectionChar">
    <w:name w:val="subsection Char"/>
    <w:aliases w:val="ss Char"/>
    <w:basedOn w:val="DefaultParagraphFont"/>
    <w:link w:val="subsection"/>
    <w:rsid w:val="00272EC3"/>
    <w:rPr>
      <w:sz w:val="22"/>
    </w:rPr>
  </w:style>
  <w:style w:type="character" w:customStyle="1" w:styleId="paragraphChar">
    <w:name w:val="paragraph Char"/>
    <w:aliases w:val="a Char"/>
    <w:basedOn w:val="DefaultParagraphFont"/>
    <w:link w:val="paragraph"/>
    <w:rsid w:val="00272EC3"/>
    <w:rPr>
      <w:sz w:val="22"/>
    </w:rPr>
  </w:style>
  <w:style w:type="character" w:customStyle="1" w:styleId="ShortTChar">
    <w:name w:val="ShortT Char"/>
    <w:basedOn w:val="DefaultParagraphFont"/>
    <w:link w:val="ShortT"/>
    <w:rsid w:val="00272EC3"/>
    <w:rPr>
      <w:b/>
      <w:sz w:val="40"/>
    </w:rPr>
  </w:style>
  <w:style w:type="character" w:customStyle="1" w:styleId="ActnoChar">
    <w:name w:val="Actno Char"/>
    <w:basedOn w:val="ShortTChar"/>
    <w:link w:val="Actno"/>
    <w:rsid w:val="00272EC3"/>
    <w:rPr>
      <w:b/>
      <w:sz w:val="40"/>
    </w:rPr>
  </w:style>
  <w:style w:type="character" w:customStyle="1" w:styleId="OPCCharBase">
    <w:name w:val="OPCCharBase"/>
    <w:uiPriority w:val="1"/>
    <w:qFormat/>
    <w:rsid w:val="006B3D66"/>
  </w:style>
  <w:style w:type="paragraph" w:customStyle="1" w:styleId="OPCParaBase">
    <w:name w:val="OPCParaBase"/>
    <w:qFormat/>
    <w:rsid w:val="006B3D66"/>
    <w:pPr>
      <w:spacing w:line="260" w:lineRule="atLeast"/>
    </w:pPr>
    <w:rPr>
      <w:sz w:val="22"/>
    </w:rPr>
  </w:style>
  <w:style w:type="paragraph" w:customStyle="1" w:styleId="noteToPara">
    <w:name w:val="noteToPara"/>
    <w:aliases w:val="ntp"/>
    <w:basedOn w:val="OPCParaBase"/>
    <w:rsid w:val="006B3D66"/>
    <w:pPr>
      <w:spacing w:before="122" w:line="198" w:lineRule="exact"/>
      <w:ind w:left="2353" w:hanging="709"/>
    </w:pPr>
    <w:rPr>
      <w:sz w:val="18"/>
    </w:rPr>
  </w:style>
  <w:style w:type="paragraph" w:customStyle="1" w:styleId="WRStyle">
    <w:name w:val="WR Style"/>
    <w:aliases w:val="WR"/>
    <w:basedOn w:val="OPCParaBase"/>
    <w:rsid w:val="006B3D66"/>
    <w:pPr>
      <w:spacing w:before="240" w:line="240" w:lineRule="auto"/>
      <w:ind w:left="284" w:hanging="284"/>
    </w:pPr>
    <w:rPr>
      <w:b/>
      <w:i/>
      <w:kern w:val="28"/>
      <w:sz w:val="24"/>
    </w:rPr>
  </w:style>
  <w:style w:type="character" w:customStyle="1" w:styleId="FooterChar">
    <w:name w:val="Footer Char"/>
    <w:basedOn w:val="DefaultParagraphFont"/>
    <w:link w:val="Footer"/>
    <w:rsid w:val="006B3D66"/>
    <w:rPr>
      <w:sz w:val="22"/>
      <w:szCs w:val="24"/>
    </w:rPr>
  </w:style>
  <w:style w:type="table" w:customStyle="1" w:styleId="CFlag">
    <w:name w:val="CFlag"/>
    <w:basedOn w:val="TableNormal"/>
    <w:uiPriority w:val="99"/>
    <w:rsid w:val="006B3D66"/>
    <w:tblPr/>
  </w:style>
  <w:style w:type="paragraph" w:customStyle="1" w:styleId="SignCoverPageEnd">
    <w:name w:val="SignCoverPageEnd"/>
    <w:basedOn w:val="OPCParaBase"/>
    <w:next w:val="Normal"/>
    <w:rsid w:val="006B3D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3D66"/>
    <w:pPr>
      <w:pBdr>
        <w:top w:val="single" w:sz="4" w:space="1" w:color="auto"/>
      </w:pBdr>
      <w:spacing w:before="360"/>
      <w:ind w:right="397"/>
      <w:jc w:val="both"/>
    </w:pPr>
  </w:style>
  <w:style w:type="paragraph" w:customStyle="1" w:styleId="ENotesHeading1">
    <w:name w:val="ENotesHeading 1"/>
    <w:aliases w:val="Enh1"/>
    <w:basedOn w:val="OPCParaBase"/>
    <w:next w:val="Normal"/>
    <w:rsid w:val="006B3D66"/>
    <w:pPr>
      <w:spacing w:before="120"/>
      <w:outlineLvl w:val="1"/>
    </w:pPr>
    <w:rPr>
      <w:b/>
      <w:sz w:val="28"/>
      <w:szCs w:val="28"/>
    </w:rPr>
  </w:style>
  <w:style w:type="paragraph" w:customStyle="1" w:styleId="ENotesHeading2">
    <w:name w:val="ENotesHeading 2"/>
    <w:aliases w:val="Enh2"/>
    <w:basedOn w:val="OPCParaBase"/>
    <w:next w:val="Normal"/>
    <w:rsid w:val="006B3D66"/>
    <w:pPr>
      <w:spacing w:before="120" w:after="120"/>
      <w:outlineLvl w:val="2"/>
    </w:pPr>
    <w:rPr>
      <w:b/>
      <w:sz w:val="24"/>
      <w:szCs w:val="28"/>
    </w:rPr>
  </w:style>
  <w:style w:type="paragraph" w:customStyle="1" w:styleId="CompiledActNo">
    <w:name w:val="CompiledActNo"/>
    <w:basedOn w:val="OPCParaBase"/>
    <w:next w:val="Normal"/>
    <w:rsid w:val="006B3D66"/>
    <w:rPr>
      <w:b/>
      <w:sz w:val="24"/>
      <w:szCs w:val="24"/>
    </w:rPr>
  </w:style>
  <w:style w:type="paragraph" w:customStyle="1" w:styleId="ENotesText">
    <w:name w:val="ENotesText"/>
    <w:aliases w:val="Ent,ENt"/>
    <w:basedOn w:val="OPCParaBase"/>
    <w:next w:val="Normal"/>
    <w:rsid w:val="006B3D66"/>
    <w:pPr>
      <w:spacing w:before="120"/>
    </w:pPr>
  </w:style>
  <w:style w:type="paragraph" w:customStyle="1" w:styleId="CompiledMadeUnder">
    <w:name w:val="CompiledMadeUnder"/>
    <w:basedOn w:val="OPCParaBase"/>
    <w:next w:val="Normal"/>
    <w:rsid w:val="006B3D66"/>
    <w:rPr>
      <w:i/>
      <w:sz w:val="24"/>
      <w:szCs w:val="24"/>
    </w:rPr>
  </w:style>
  <w:style w:type="paragraph" w:customStyle="1" w:styleId="Paragraphsub-sub-sub">
    <w:name w:val="Paragraph(sub-sub-sub)"/>
    <w:aliases w:val="aaaa"/>
    <w:basedOn w:val="OPCParaBase"/>
    <w:rsid w:val="006B3D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3D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3D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3D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3D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3D66"/>
    <w:pPr>
      <w:spacing w:before="60" w:line="240" w:lineRule="auto"/>
    </w:pPr>
    <w:rPr>
      <w:rFonts w:cs="Arial"/>
      <w:sz w:val="20"/>
      <w:szCs w:val="22"/>
    </w:rPr>
  </w:style>
  <w:style w:type="paragraph" w:customStyle="1" w:styleId="ActHead10">
    <w:name w:val="ActHead 10"/>
    <w:aliases w:val="sp"/>
    <w:basedOn w:val="OPCParaBase"/>
    <w:next w:val="ActHead3"/>
    <w:rsid w:val="006B3D6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B3D66"/>
    <w:rPr>
      <w:rFonts w:ascii="Tahoma" w:eastAsiaTheme="minorHAnsi" w:hAnsi="Tahoma" w:cs="Tahoma"/>
      <w:sz w:val="16"/>
      <w:szCs w:val="16"/>
      <w:lang w:eastAsia="en-US"/>
    </w:rPr>
  </w:style>
  <w:style w:type="paragraph" w:customStyle="1" w:styleId="NoteToSubpara">
    <w:name w:val="NoteToSubpara"/>
    <w:aliases w:val="nts"/>
    <w:basedOn w:val="OPCParaBase"/>
    <w:rsid w:val="006B3D66"/>
    <w:pPr>
      <w:spacing w:before="40" w:line="198" w:lineRule="exact"/>
      <w:ind w:left="2835" w:hanging="709"/>
    </w:pPr>
    <w:rPr>
      <w:sz w:val="18"/>
    </w:rPr>
  </w:style>
  <w:style w:type="paragraph" w:customStyle="1" w:styleId="ENoteTableHeading">
    <w:name w:val="ENoteTableHeading"/>
    <w:aliases w:val="enth"/>
    <w:basedOn w:val="OPCParaBase"/>
    <w:rsid w:val="006B3D66"/>
    <w:pPr>
      <w:keepNext/>
      <w:spacing w:before="60" w:line="240" w:lineRule="atLeast"/>
    </w:pPr>
    <w:rPr>
      <w:rFonts w:ascii="Arial" w:hAnsi="Arial"/>
      <w:b/>
      <w:sz w:val="16"/>
    </w:rPr>
  </w:style>
  <w:style w:type="paragraph" w:customStyle="1" w:styleId="ENoteTTi">
    <w:name w:val="ENoteTTi"/>
    <w:aliases w:val="entti"/>
    <w:basedOn w:val="OPCParaBase"/>
    <w:rsid w:val="006B3D66"/>
    <w:pPr>
      <w:keepNext/>
      <w:spacing w:before="60" w:line="240" w:lineRule="atLeast"/>
      <w:ind w:left="170"/>
    </w:pPr>
    <w:rPr>
      <w:sz w:val="16"/>
    </w:rPr>
  </w:style>
  <w:style w:type="paragraph" w:customStyle="1" w:styleId="ENoteTTIndentHeading">
    <w:name w:val="ENoteTTIndentHeading"/>
    <w:aliases w:val="enTTHi"/>
    <w:basedOn w:val="OPCParaBase"/>
    <w:rsid w:val="006B3D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3D66"/>
    <w:pPr>
      <w:spacing w:before="60" w:line="240" w:lineRule="atLeast"/>
    </w:pPr>
    <w:rPr>
      <w:sz w:val="16"/>
    </w:rPr>
  </w:style>
  <w:style w:type="paragraph" w:customStyle="1" w:styleId="MadeunderText">
    <w:name w:val="MadeunderText"/>
    <w:basedOn w:val="OPCParaBase"/>
    <w:next w:val="CompiledMadeUnder"/>
    <w:rsid w:val="006B3D66"/>
    <w:pPr>
      <w:spacing w:before="240"/>
    </w:pPr>
    <w:rPr>
      <w:sz w:val="24"/>
      <w:szCs w:val="24"/>
    </w:rPr>
  </w:style>
  <w:style w:type="paragraph" w:customStyle="1" w:styleId="ENotesHeading3">
    <w:name w:val="ENotesHeading 3"/>
    <w:aliases w:val="Enh3"/>
    <w:basedOn w:val="OPCParaBase"/>
    <w:next w:val="Normal"/>
    <w:rsid w:val="006B3D66"/>
    <w:pPr>
      <w:keepNext/>
      <w:spacing w:before="120" w:line="240" w:lineRule="auto"/>
      <w:outlineLvl w:val="4"/>
    </w:pPr>
    <w:rPr>
      <w:b/>
      <w:szCs w:val="24"/>
    </w:rPr>
  </w:style>
  <w:style w:type="paragraph" w:customStyle="1" w:styleId="SubPartCASA">
    <w:name w:val="SubPart(CASA)"/>
    <w:aliases w:val="csp"/>
    <w:basedOn w:val="OPCParaBase"/>
    <w:next w:val="ActHead3"/>
    <w:rsid w:val="006B3D66"/>
    <w:pPr>
      <w:keepNext/>
      <w:keepLines/>
      <w:spacing w:before="280"/>
      <w:outlineLvl w:val="1"/>
    </w:pPr>
    <w:rPr>
      <w:b/>
      <w:kern w:val="28"/>
      <w:sz w:val="32"/>
    </w:rPr>
  </w:style>
  <w:style w:type="character" w:customStyle="1" w:styleId="CharSubPartTextCASA">
    <w:name w:val="CharSubPartText(CASA)"/>
    <w:basedOn w:val="OPCCharBase"/>
    <w:uiPriority w:val="1"/>
    <w:rsid w:val="006B3D66"/>
  </w:style>
  <w:style w:type="character" w:customStyle="1" w:styleId="CharSubPartNoCASA">
    <w:name w:val="CharSubPartNo(CASA)"/>
    <w:basedOn w:val="OPCCharBase"/>
    <w:uiPriority w:val="1"/>
    <w:rsid w:val="006B3D66"/>
  </w:style>
  <w:style w:type="paragraph" w:customStyle="1" w:styleId="ENoteTTIndentHeadingSub">
    <w:name w:val="ENoteTTIndentHeadingSub"/>
    <w:aliases w:val="enTTHis"/>
    <w:basedOn w:val="OPCParaBase"/>
    <w:rsid w:val="006B3D66"/>
    <w:pPr>
      <w:keepNext/>
      <w:spacing w:before="60" w:line="240" w:lineRule="atLeast"/>
      <w:ind w:left="340"/>
    </w:pPr>
    <w:rPr>
      <w:b/>
      <w:sz w:val="16"/>
    </w:rPr>
  </w:style>
  <w:style w:type="paragraph" w:customStyle="1" w:styleId="ENoteTTiSub">
    <w:name w:val="ENoteTTiSub"/>
    <w:aliases w:val="enttis"/>
    <w:basedOn w:val="OPCParaBase"/>
    <w:rsid w:val="006B3D66"/>
    <w:pPr>
      <w:keepNext/>
      <w:spacing w:before="60" w:line="240" w:lineRule="atLeast"/>
      <w:ind w:left="340"/>
    </w:pPr>
    <w:rPr>
      <w:sz w:val="16"/>
    </w:rPr>
  </w:style>
  <w:style w:type="paragraph" w:customStyle="1" w:styleId="SubDivisionMigration">
    <w:name w:val="SubDivisionMigration"/>
    <w:aliases w:val="sdm"/>
    <w:basedOn w:val="OPCParaBase"/>
    <w:rsid w:val="006B3D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3D66"/>
    <w:pPr>
      <w:keepNext/>
      <w:keepLines/>
      <w:spacing w:before="240" w:line="240" w:lineRule="auto"/>
      <w:ind w:left="1134" w:hanging="1134"/>
    </w:pPr>
    <w:rPr>
      <w:b/>
      <w:sz w:val="28"/>
    </w:rPr>
  </w:style>
  <w:style w:type="paragraph" w:customStyle="1" w:styleId="FreeForm">
    <w:name w:val="FreeForm"/>
    <w:rsid w:val="006B3D66"/>
    <w:rPr>
      <w:rFonts w:ascii="Arial" w:eastAsiaTheme="minorHAnsi" w:hAnsi="Arial" w:cstheme="minorBidi"/>
      <w:sz w:val="22"/>
      <w:lang w:eastAsia="en-US"/>
    </w:rPr>
  </w:style>
  <w:style w:type="paragraph" w:customStyle="1" w:styleId="SOText">
    <w:name w:val="SO Text"/>
    <w:aliases w:val="sot"/>
    <w:link w:val="SOTextChar"/>
    <w:rsid w:val="006B3D6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B3D66"/>
    <w:rPr>
      <w:rFonts w:eastAsiaTheme="minorHAnsi" w:cstheme="minorBidi"/>
      <w:sz w:val="22"/>
      <w:lang w:eastAsia="en-US"/>
    </w:rPr>
  </w:style>
  <w:style w:type="paragraph" w:customStyle="1" w:styleId="SOTextNote">
    <w:name w:val="SO TextNote"/>
    <w:aliases w:val="sont"/>
    <w:basedOn w:val="SOText"/>
    <w:qFormat/>
    <w:rsid w:val="006B3D66"/>
    <w:pPr>
      <w:spacing w:before="122" w:line="198" w:lineRule="exact"/>
      <w:ind w:left="1843" w:hanging="709"/>
    </w:pPr>
    <w:rPr>
      <w:sz w:val="18"/>
    </w:rPr>
  </w:style>
  <w:style w:type="paragraph" w:customStyle="1" w:styleId="SOPara">
    <w:name w:val="SO Para"/>
    <w:aliases w:val="soa"/>
    <w:basedOn w:val="SOText"/>
    <w:link w:val="SOParaChar"/>
    <w:qFormat/>
    <w:rsid w:val="006B3D66"/>
    <w:pPr>
      <w:tabs>
        <w:tab w:val="right" w:pos="1786"/>
      </w:tabs>
      <w:spacing w:before="40"/>
      <w:ind w:left="2070" w:hanging="936"/>
    </w:pPr>
  </w:style>
  <w:style w:type="character" w:customStyle="1" w:styleId="SOParaChar">
    <w:name w:val="SO Para Char"/>
    <w:aliases w:val="soa Char"/>
    <w:basedOn w:val="DefaultParagraphFont"/>
    <w:link w:val="SOPara"/>
    <w:rsid w:val="006B3D66"/>
    <w:rPr>
      <w:rFonts w:eastAsiaTheme="minorHAnsi" w:cstheme="minorBidi"/>
      <w:sz w:val="22"/>
      <w:lang w:eastAsia="en-US"/>
    </w:rPr>
  </w:style>
  <w:style w:type="paragraph" w:customStyle="1" w:styleId="FileName">
    <w:name w:val="FileName"/>
    <w:basedOn w:val="Normal"/>
    <w:rsid w:val="006B3D66"/>
  </w:style>
  <w:style w:type="paragraph" w:customStyle="1" w:styleId="TableHeading">
    <w:name w:val="TableHeading"/>
    <w:aliases w:val="th"/>
    <w:basedOn w:val="OPCParaBase"/>
    <w:next w:val="Tabletext"/>
    <w:rsid w:val="006B3D66"/>
    <w:pPr>
      <w:keepNext/>
      <w:spacing w:before="60" w:line="240" w:lineRule="atLeast"/>
    </w:pPr>
    <w:rPr>
      <w:b/>
      <w:sz w:val="20"/>
    </w:rPr>
  </w:style>
  <w:style w:type="paragraph" w:customStyle="1" w:styleId="SOHeadBold">
    <w:name w:val="SO HeadBold"/>
    <w:aliases w:val="sohb"/>
    <w:basedOn w:val="SOText"/>
    <w:next w:val="SOText"/>
    <w:link w:val="SOHeadBoldChar"/>
    <w:qFormat/>
    <w:rsid w:val="006B3D66"/>
    <w:rPr>
      <w:b/>
    </w:rPr>
  </w:style>
  <w:style w:type="character" w:customStyle="1" w:styleId="SOHeadBoldChar">
    <w:name w:val="SO HeadBold Char"/>
    <w:aliases w:val="sohb Char"/>
    <w:basedOn w:val="DefaultParagraphFont"/>
    <w:link w:val="SOHeadBold"/>
    <w:rsid w:val="006B3D6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B3D66"/>
    <w:rPr>
      <w:i/>
    </w:rPr>
  </w:style>
  <w:style w:type="character" w:customStyle="1" w:styleId="SOHeadItalicChar">
    <w:name w:val="SO HeadItalic Char"/>
    <w:aliases w:val="sohi Char"/>
    <w:basedOn w:val="DefaultParagraphFont"/>
    <w:link w:val="SOHeadItalic"/>
    <w:rsid w:val="006B3D66"/>
    <w:rPr>
      <w:rFonts w:eastAsiaTheme="minorHAnsi" w:cstheme="minorBidi"/>
      <w:i/>
      <w:sz w:val="22"/>
      <w:lang w:eastAsia="en-US"/>
    </w:rPr>
  </w:style>
  <w:style w:type="paragraph" w:customStyle="1" w:styleId="SOBullet">
    <w:name w:val="SO Bullet"/>
    <w:aliases w:val="sotb"/>
    <w:basedOn w:val="SOText"/>
    <w:link w:val="SOBulletChar"/>
    <w:qFormat/>
    <w:rsid w:val="006B3D66"/>
    <w:pPr>
      <w:ind w:left="1559" w:hanging="425"/>
    </w:pPr>
  </w:style>
  <w:style w:type="character" w:customStyle="1" w:styleId="SOBulletChar">
    <w:name w:val="SO Bullet Char"/>
    <w:aliases w:val="sotb Char"/>
    <w:basedOn w:val="DefaultParagraphFont"/>
    <w:link w:val="SOBullet"/>
    <w:rsid w:val="006B3D66"/>
    <w:rPr>
      <w:rFonts w:eastAsiaTheme="minorHAnsi" w:cstheme="minorBidi"/>
      <w:sz w:val="22"/>
      <w:lang w:eastAsia="en-US"/>
    </w:rPr>
  </w:style>
  <w:style w:type="paragraph" w:customStyle="1" w:styleId="SOBulletNote">
    <w:name w:val="SO BulletNote"/>
    <w:aliases w:val="sonb"/>
    <w:basedOn w:val="SOTextNote"/>
    <w:link w:val="SOBulletNoteChar"/>
    <w:qFormat/>
    <w:rsid w:val="006B3D66"/>
    <w:pPr>
      <w:tabs>
        <w:tab w:val="left" w:pos="1560"/>
      </w:tabs>
      <w:ind w:left="2268" w:hanging="1134"/>
    </w:pPr>
  </w:style>
  <w:style w:type="character" w:customStyle="1" w:styleId="SOBulletNoteChar">
    <w:name w:val="SO BulletNote Char"/>
    <w:aliases w:val="sonb Char"/>
    <w:basedOn w:val="DefaultParagraphFont"/>
    <w:link w:val="SOBulletNote"/>
    <w:rsid w:val="006B3D66"/>
    <w:rPr>
      <w:rFonts w:eastAsiaTheme="minorHAnsi" w:cstheme="minorBidi"/>
      <w:sz w:val="18"/>
      <w:lang w:eastAsia="en-US"/>
    </w:rPr>
  </w:style>
  <w:style w:type="paragraph" w:styleId="Revision">
    <w:name w:val="Revision"/>
    <w:hidden/>
    <w:uiPriority w:val="99"/>
    <w:semiHidden/>
    <w:rsid w:val="00C67BFB"/>
    <w:rPr>
      <w:rFonts w:eastAsiaTheme="minorHAnsi" w:cstheme="minorBidi"/>
      <w:sz w:val="22"/>
      <w:lang w:eastAsia="en-US"/>
    </w:rPr>
  </w:style>
  <w:style w:type="paragraph" w:customStyle="1" w:styleId="EnStatement">
    <w:name w:val="EnStatement"/>
    <w:basedOn w:val="Normal"/>
    <w:rsid w:val="006B3D66"/>
    <w:pPr>
      <w:numPr>
        <w:numId w:val="39"/>
      </w:numPr>
    </w:pPr>
    <w:rPr>
      <w:rFonts w:eastAsia="Times New Roman" w:cs="Times New Roman"/>
      <w:lang w:eastAsia="en-AU"/>
    </w:rPr>
  </w:style>
  <w:style w:type="paragraph" w:customStyle="1" w:styleId="EnStatementHeading">
    <w:name w:val="EnStatementHeading"/>
    <w:basedOn w:val="Normal"/>
    <w:rsid w:val="006B3D66"/>
    <w:rPr>
      <w:rFonts w:eastAsia="Times New Roman" w:cs="Times New Roman"/>
      <w:b/>
      <w:lang w:eastAsia="en-AU"/>
    </w:rPr>
  </w:style>
  <w:style w:type="character" w:customStyle="1" w:styleId="ActHead5Char">
    <w:name w:val="ActHead 5 Char"/>
    <w:aliases w:val="s Char"/>
    <w:link w:val="ActHead5"/>
    <w:locked/>
    <w:rsid w:val="0043673D"/>
    <w:rPr>
      <w:b/>
      <w:kern w:val="28"/>
      <w:sz w:val="24"/>
    </w:rPr>
  </w:style>
  <w:style w:type="paragraph" w:customStyle="1" w:styleId="Transitional">
    <w:name w:val="Transitional"/>
    <w:aliases w:val="tr"/>
    <w:basedOn w:val="Normal"/>
    <w:next w:val="Normal"/>
    <w:rsid w:val="006B3D66"/>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C3EB-62F8-42BF-B86D-49400542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35</Pages>
  <Words>6452</Words>
  <Characters>33933</Characters>
  <Application>Microsoft Office Word</Application>
  <DocSecurity>0</DocSecurity>
  <PresentationFormat/>
  <Lines>997</Lines>
  <Paragraphs>527</Paragraphs>
  <ScaleCrop>false</ScaleCrop>
  <HeadingPairs>
    <vt:vector size="2" baseType="variant">
      <vt:variant>
        <vt:lpstr>Title</vt:lpstr>
      </vt:variant>
      <vt:variant>
        <vt:i4>1</vt:i4>
      </vt:variant>
    </vt:vector>
  </HeadingPairs>
  <TitlesOfParts>
    <vt:vector size="1" baseType="lpstr">
      <vt:lpstr>Independent National Security Legislation Monitor Act 2010</vt:lpstr>
    </vt:vector>
  </TitlesOfParts>
  <Manager/>
  <Company/>
  <LinksUpToDate>false</LinksUpToDate>
  <CharactersWithSpaces>40130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National Security Legislation Monitor Act 2010</dc:title>
  <dc:subject/>
  <dc:creator/>
  <cp:keywords/>
  <dc:description/>
  <cp:lastModifiedBy/>
  <cp:revision>1</cp:revision>
  <cp:lastPrinted>2014-10-03T03:15:00Z</cp:lastPrinted>
  <dcterms:created xsi:type="dcterms:W3CDTF">2018-07-09T00:42:00Z</dcterms:created>
  <dcterms:modified xsi:type="dcterms:W3CDTF">2018-07-09T00:42:00Z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Independent National Security Legislation Monitor Act 2010</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10</vt:lpwstr>
  </property>
  <property fmtid="{D5CDD505-2E9C-101B-9397-08002B2CF9AE}" pid="13" name="StartDate">
    <vt:filetime>2018-06-29T14:00:00Z</vt:filetime>
  </property>
  <property fmtid="{D5CDD505-2E9C-101B-9397-08002B2CF9AE}" pid="14" name="PreparedDate">
    <vt:filetime>2016-01-21T13:00:00Z</vt:filetime>
  </property>
  <property fmtid="{D5CDD505-2E9C-101B-9397-08002B2CF9AE}" pid="15" name="RegisteredDate">
    <vt:filetime>2018-07-08T14:00:00Z</vt:filetime>
  </property>
  <property fmtid="{D5CDD505-2E9C-101B-9397-08002B2CF9AE}" pid="16" name="IncludesUpTo">
    <vt:lpwstr>Act No. 67, 2018</vt:lpwstr>
  </property>
</Properties>
</file>