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F7" w:rsidRPr="00787808" w:rsidRDefault="005F5AF7" w:rsidP="005F5AF7">
      <w:r w:rsidRPr="0078780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9" o:title=""/>
          </v:shape>
          <o:OLEObject Type="Embed" ProgID="Word.Picture.8" ShapeID="_x0000_i1025" DrawAspect="Content" ObjectID="_1524474103" r:id="rId10"/>
        </w:object>
      </w:r>
    </w:p>
    <w:p w:rsidR="005F5AF7" w:rsidRPr="00787808" w:rsidRDefault="005F5AF7" w:rsidP="005F5AF7">
      <w:pPr>
        <w:pStyle w:val="ShortT"/>
        <w:spacing w:before="240"/>
      </w:pPr>
      <w:r w:rsidRPr="00787808">
        <w:t>Screen Australia and the National Film and Sound Archive of Australia (Consequential and Transitional Provisions) Act 2008</w:t>
      </w:r>
    </w:p>
    <w:p w:rsidR="005F5AF7" w:rsidRPr="00787808" w:rsidRDefault="005F5AF7" w:rsidP="005F5AF7">
      <w:pPr>
        <w:pStyle w:val="CompiledActNo"/>
        <w:spacing w:before="240"/>
      </w:pPr>
      <w:r w:rsidRPr="00787808">
        <w:t>No.</w:t>
      </w:r>
      <w:r w:rsidR="00787808">
        <w:t> </w:t>
      </w:r>
      <w:r w:rsidRPr="00787808">
        <w:t>13, 2008</w:t>
      </w:r>
    </w:p>
    <w:p w:rsidR="005F5AF7" w:rsidRPr="00787808" w:rsidRDefault="005F5AF7" w:rsidP="005F5AF7">
      <w:pPr>
        <w:spacing w:before="1000"/>
        <w:rPr>
          <w:rFonts w:cs="Arial"/>
          <w:b/>
          <w:sz w:val="32"/>
          <w:szCs w:val="32"/>
        </w:rPr>
      </w:pPr>
      <w:r w:rsidRPr="00787808">
        <w:rPr>
          <w:rFonts w:cs="Arial"/>
          <w:b/>
          <w:sz w:val="32"/>
          <w:szCs w:val="32"/>
        </w:rPr>
        <w:t>Compilation No.</w:t>
      </w:r>
      <w:r w:rsidR="00787808">
        <w:rPr>
          <w:rFonts w:cs="Arial"/>
          <w:b/>
          <w:sz w:val="32"/>
          <w:szCs w:val="32"/>
        </w:rPr>
        <w:t> </w:t>
      </w:r>
      <w:r w:rsidRPr="00787808">
        <w:rPr>
          <w:rFonts w:cs="Arial"/>
          <w:b/>
          <w:sz w:val="32"/>
          <w:szCs w:val="32"/>
        </w:rPr>
        <w:fldChar w:fldCharType="begin"/>
      </w:r>
      <w:r w:rsidRPr="00787808">
        <w:rPr>
          <w:rFonts w:cs="Arial"/>
          <w:b/>
          <w:sz w:val="32"/>
          <w:szCs w:val="32"/>
        </w:rPr>
        <w:instrText xml:space="preserve"> DOCPROPERTY  CompilationNumber </w:instrText>
      </w:r>
      <w:r w:rsidRPr="00787808">
        <w:rPr>
          <w:rFonts w:cs="Arial"/>
          <w:b/>
          <w:sz w:val="32"/>
          <w:szCs w:val="32"/>
        </w:rPr>
        <w:fldChar w:fldCharType="separate"/>
      </w:r>
      <w:r w:rsidR="00787808">
        <w:rPr>
          <w:rFonts w:cs="Arial"/>
          <w:b/>
          <w:sz w:val="32"/>
          <w:szCs w:val="32"/>
        </w:rPr>
        <w:t>3</w:t>
      </w:r>
      <w:r w:rsidRPr="00787808">
        <w:rPr>
          <w:rFonts w:cs="Arial"/>
          <w:b/>
          <w:sz w:val="32"/>
          <w:szCs w:val="32"/>
        </w:rPr>
        <w:fldChar w:fldCharType="end"/>
      </w:r>
    </w:p>
    <w:p w:rsidR="005F5AF7" w:rsidRPr="00787808" w:rsidRDefault="005F5AF7" w:rsidP="005F5AF7">
      <w:pPr>
        <w:spacing w:before="480"/>
        <w:rPr>
          <w:rFonts w:cs="Arial"/>
          <w:sz w:val="24"/>
        </w:rPr>
      </w:pPr>
      <w:r w:rsidRPr="00787808">
        <w:rPr>
          <w:rFonts w:cs="Arial"/>
          <w:b/>
          <w:sz w:val="24"/>
        </w:rPr>
        <w:t xml:space="preserve">Compilation date: </w:t>
      </w:r>
      <w:r w:rsidRPr="00787808">
        <w:rPr>
          <w:rFonts w:cs="Arial"/>
          <w:b/>
          <w:sz w:val="24"/>
        </w:rPr>
        <w:tab/>
      </w:r>
      <w:r w:rsidRPr="00787808">
        <w:rPr>
          <w:rFonts w:cs="Arial"/>
          <w:b/>
          <w:sz w:val="24"/>
        </w:rPr>
        <w:tab/>
      </w:r>
      <w:r w:rsidRPr="00787808">
        <w:rPr>
          <w:rFonts w:cs="Arial"/>
          <w:b/>
          <w:sz w:val="24"/>
        </w:rPr>
        <w:tab/>
      </w:r>
      <w:r w:rsidRPr="00787808">
        <w:rPr>
          <w:rFonts w:cs="Arial"/>
          <w:sz w:val="24"/>
        </w:rPr>
        <w:fldChar w:fldCharType="begin"/>
      </w:r>
      <w:r w:rsidRPr="00787808">
        <w:rPr>
          <w:rFonts w:cs="Arial"/>
          <w:sz w:val="24"/>
        </w:rPr>
        <w:instrText xml:space="preserve"> DOCPROPERTY StartDate \@ "d MMMM yyyy" \*MERGEFORMAT </w:instrText>
      </w:r>
      <w:r w:rsidRPr="00787808">
        <w:rPr>
          <w:rFonts w:cs="Arial"/>
          <w:sz w:val="24"/>
        </w:rPr>
        <w:fldChar w:fldCharType="separate"/>
      </w:r>
      <w:r w:rsidR="00787808" w:rsidRPr="00787808">
        <w:rPr>
          <w:rFonts w:cs="Arial"/>
          <w:bCs/>
          <w:sz w:val="24"/>
        </w:rPr>
        <w:t>5 March</w:t>
      </w:r>
      <w:r w:rsidR="00787808">
        <w:rPr>
          <w:rFonts w:cs="Arial"/>
          <w:sz w:val="24"/>
        </w:rPr>
        <w:t xml:space="preserve"> 2016</w:t>
      </w:r>
      <w:r w:rsidRPr="00787808">
        <w:rPr>
          <w:rFonts w:cs="Arial"/>
          <w:sz w:val="24"/>
        </w:rPr>
        <w:fldChar w:fldCharType="end"/>
      </w:r>
    </w:p>
    <w:p w:rsidR="005F5AF7" w:rsidRPr="00787808" w:rsidRDefault="005F5AF7" w:rsidP="005F5AF7">
      <w:pPr>
        <w:spacing w:before="240"/>
        <w:rPr>
          <w:rFonts w:cs="Arial"/>
          <w:sz w:val="24"/>
        </w:rPr>
      </w:pPr>
      <w:r w:rsidRPr="00787808">
        <w:rPr>
          <w:rFonts w:cs="Arial"/>
          <w:b/>
          <w:sz w:val="24"/>
        </w:rPr>
        <w:t>Includes amendments up to:</w:t>
      </w:r>
      <w:r w:rsidRPr="00787808">
        <w:rPr>
          <w:rFonts w:cs="Arial"/>
          <w:b/>
          <w:sz w:val="24"/>
        </w:rPr>
        <w:tab/>
      </w:r>
      <w:r w:rsidRPr="00787808">
        <w:rPr>
          <w:rFonts w:cs="Arial"/>
          <w:sz w:val="24"/>
        </w:rPr>
        <w:t>Act No.</w:t>
      </w:r>
      <w:r w:rsidR="00787808">
        <w:rPr>
          <w:rFonts w:cs="Arial"/>
          <w:sz w:val="24"/>
        </w:rPr>
        <w:t> </w:t>
      </w:r>
      <w:r w:rsidRPr="00787808">
        <w:rPr>
          <w:rFonts w:cs="Arial"/>
          <w:sz w:val="24"/>
        </w:rPr>
        <w:t>126, 2015</w:t>
      </w:r>
      <w:bookmarkStart w:id="0" w:name="_GoBack"/>
      <w:bookmarkEnd w:id="0"/>
    </w:p>
    <w:p w:rsidR="005F5AF7" w:rsidRPr="00787808" w:rsidRDefault="005F5AF7" w:rsidP="005F5AF7">
      <w:pPr>
        <w:spacing w:before="240"/>
        <w:rPr>
          <w:rFonts w:cs="Arial"/>
          <w:sz w:val="28"/>
          <w:szCs w:val="28"/>
        </w:rPr>
      </w:pPr>
      <w:r w:rsidRPr="00787808">
        <w:rPr>
          <w:rFonts w:cs="Arial"/>
          <w:b/>
          <w:sz w:val="24"/>
        </w:rPr>
        <w:t>Registered:</w:t>
      </w:r>
      <w:r w:rsidRPr="00787808">
        <w:rPr>
          <w:rFonts w:cs="Arial"/>
          <w:b/>
          <w:sz w:val="24"/>
        </w:rPr>
        <w:tab/>
      </w:r>
      <w:r w:rsidRPr="00787808">
        <w:rPr>
          <w:rFonts w:cs="Arial"/>
          <w:b/>
          <w:sz w:val="24"/>
        </w:rPr>
        <w:tab/>
      </w:r>
      <w:r w:rsidRPr="00787808">
        <w:rPr>
          <w:rFonts w:cs="Arial"/>
          <w:b/>
          <w:sz w:val="24"/>
        </w:rPr>
        <w:tab/>
      </w:r>
      <w:r w:rsidRPr="00787808">
        <w:rPr>
          <w:rFonts w:cs="Arial"/>
          <w:b/>
          <w:sz w:val="24"/>
        </w:rPr>
        <w:tab/>
      </w:r>
      <w:r w:rsidRPr="00787808">
        <w:rPr>
          <w:rFonts w:cs="Arial"/>
          <w:sz w:val="24"/>
        </w:rPr>
        <w:fldChar w:fldCharType="begin"/>
      </w:r>
      <w:r w:rsidRPr="00787808">
        <w:rPr>
          <w:rFonts w:cs="Arial"/>
          <w:sz w:val="24"/>
        </w:rPr>
        <w:instrText xml:space="preserve"> IF </w:instrText>
      </w:r>
      <w:r w:rsidRPr="00787808">
        <w:rPr>
          <w:rFonts w:cs="Arial"/>
          <w:sz w:val="24"/>
        </w:rPr>
        <w:fldChar w:fldCharType="begin"/>
      </w:r>
      <w:r w:rsidRPr="00787808">
        <w:rPr>
          <w:rFonts w:cs="Arial"/>
          <w:sz w:val="24"/>
        </w:rPr>
        <w:instrText xml:space="preserve"> DOCPROPERTY RegisteredDate </w:instrText>
      </w:r>
      <w:r w:rsidRPr="00787808">
        <w:rPr>
          <w:rFonts w:cs="Arial"/>
          <w:sz w:val="24"/>
        </w:rPr>
        <w:fldChar w:fldCharType="separate"/>
      </w:r>
      <w:r w:rsidR="00787808">
        <w:rPr>
          <w:rFonts w:cs="Arial"/>
          <w:sz w:val="24"/>
        </w:rPr>
        <w:instrText>11/05/2016</w:instrText>
      </w:r>
      <w:r w:rsidRPr="00787808">
        <w:rPr>
          <w:rFonts w:cs="Arial"/>
          <w:sz w:val="24"/>
        </w:rPr>
        <w:fldChar w:fldCharType="end"/>
      </w:r>
      <w:r w:rsidRPr="00787808">
        <w:rPr>
          <w:rFonts w:cs="Arial"/>
          <w:sz w:val="24"/>
        </w:rPr>
        <w:instrText xml:space="preserve"> = #1/1/1901# "Unknown" </w:instrText>
      </w:r>
      <w:r w:rsidRPr="00787808">
        <w:rPr>
          <w:rFonts w:cs="Arial"/>
          <w:sz w:val="24"/>
        </w:rPr>
        <w:fldChar w:fldCharType="begin"/>
      </w:r>
      <w:r w:rsidRPr="00787808">
        <w:rPr>
          <w:rFonts w:cs="Arial"/>
          <w:sz w:val="24"/>
        </w:rPr>
        <w:instrText xml:space="preserve"> DOCPROPERTY RegisteredDate \@ "d MMMM yyyy" </w:instrText>
      </w:r>
      <w:r w:rsidRPr="00787808">
        <w:rPr>
          <w:rFonts w:cs="Arial"/>
          <w:sz w:val="24"/>
        </w:rPr>
        <w:fldChar w:fldCharType="separate"/>
      </w:r>
      <w:r w:rsidR="00787808">
        <w:rPr>
          <w:rFonts w:cs="Arial"/>
          <w:sz w:val="24"/>
        </w:rPr>
        <w:instrText>11 May 2016</w:instrText>
      </w:r>
      <w:r w:rsidRPr="00787808">
        <w:rPr>
          <w:rFonts w:cs="Arial"/>
          <w:sz w:val="24"/>
        </w:rPr>
        <w:fldChar w:fldCharType="end"/>
      </w:r>
      <w:r w:rsidRPr="00787808">
        <w:rPr>
          <w:rFonts w:cs="Arial"/>
          <w:sz w:val="24"/>
        </w:rPr>
        <w:instrText xml:space="preserve"> \*MERGEFORMAT </w:instrText>
      </w:r>
      <w:r w:rsidRPr="00787808">
        <w:rPr>
          <w:rFonts w:cs="Arial"/>
          <w:sz w:val="24"/>
        </w:rPr>
        <w:fldChar w:fldCharType="separate"/>
      </w:r>
      <w:r w:rsidR="00787808" w:rsidRPr="00787808">
        <w:rPr>
          <w:rFonts w:cs="Arial"/>
          <w:bCs/>
          <w:noProof/>
          <w:sz w:val="24"/>
        </w:rPr>
        <w:t>11</w:t>
      </w:r>
      <w:r w:rsidR="00787808">
        <w:rPr>
          <w:rFonts w:cs="Arial"/>
          <w:noProof/>
          <w:sz w:val="24"/>
        </w:rPr>
        <w:t xml:space="preserve"> May 2016</w:t>
      </w:r>
      <w:r w:rsidRPr="00787808">
        <w:rPr>
          <w:rFonts w:cs="Arial"/>
          <w:sz w:val="24"/>
        </w:rPr>
        <w:fldChar w:fldCharType="end"/>
      </w:r>
    </w:p>
    <w:p w:rsidR="005F5AF7" w:rsidRPr="00787808" w:rsidRDefault="005F5AF7" w:rsidP="005F5AF7">
      <w:pPr>
        <w:rPr>
          <w:b/>
          <w:szCs w:val="22"/>
        </w:rPr>
      </w:pPr>
    </w:p>
    <w:p w:rsidR="00ED320E" w:rsidRPr="00787808" w:rsidRDefault="00ED320E" w:rsidP="00ED320E">
      <w:pPr>
        <w:pageBreakBefore/>
        <w:rPr>
          <w:rFonts w:cs="Arial"/>
          <w:b/>
          <w:sz w:val="32"/>
          <w:szCs w:val="32"/>
        </w:rPr>
      </w:pPr>
      <w:r w:rsidRPr="00787808">
        <w:rPr>
          <w:rFonts w:cs="Arial"/>
          <w:b/>
          <w:sz w:val="32"/>
          <w:szCs w:val="32"/>
        </w:rPr>
        <w:lastRenderedPageBreak/>
        <w:t>About this compilation</w:t>
      </w:r>
    </w:p>
    <w:p w:rsidR="00ED320E" w:rsidRPr="00787808" w:rsidRDefault="00ED320E" w:rsidP="00ED320E">
      <w:pPr>
        <w:spacing w:before="240"/>
        <w:rPr>
          <w:rFonts w:cs="Arial"/>
        </w:rPr>
      </w:pPr>
      <w:r w:rsidRPr="00787808">
        <w:rPr>
          <w:rFonts w:cs="Arial"/>
          <w:b/>
          <w:szCs w:val="22"/>
        </w:rPr>
        <w:t>This compilation</w:t>
      </w:r>
    </w:p>
    <w:p w:rsidR="00ED320E" w:rsidRPr="00787808" w:rsidRDefault="00ED320E" w:rsidP="00ED320E">
      <w:pPr>
        <w:spacing w:before="120" w:after="120"/>
        <w:rPr>
          <w:rFonts w:cs="Arial"/>
          <w:szCs w:val="22"/>
        </w:rPr>
      </w:pPr>
      <w:r w:rsidRPr="00787808">
        <w:rPr>
          <w:rFonts w:cs="Arial"/>
          <w:szCs w:val="22"/>
        </w:rPr>
        <w:t xml:space="preserve">This is a compilation of the </w:t>
      </w:r>
      <w:r w:rsidRPr="00787808">
        <w:rPr>
          <w:rFonts w:cs="Arial"/>
          <w:i/>
          <w:szCs w:val="22"/>
        </w:rPr>
        <w:fldChar w:fldCharType="begin"/>
      </w:r>
      <w:r w:rsidRPr="00787808">
        <w:rPr>
          <w:rFonts w:cs="Arial"/>
          <w:i/>
          <w:szCs w:val="22"/>
        </w:rPr>
        <w:instrText xml:space="preserve"> STYLEREF  ShortT </w:instrText>
      </w:r>
      <w:r w:rsidRPr="00787808">
        <w:rPr>
          <w:rFonts w:cs="Arial"/>
          <w:i/>
          <w:szCs w:val="22"/>
        </w:rPr>
        <w:fldChar w:fldCharType="separate"/>
      </w:r>
      <w:r w:rsidR="00787808">
        <w:rPr>
          <w:rFonts w:cs="Arial"/>
          <w:i/>
          <w:noProof/>
          <w:szCs w:val="22"/>
        </w:rPr>
        <w:t>Screen Australia and the National Film and Sound Archive of Australia (Consequential and Transitional Provisions) Act 2008</w:t>
      </w:r>
      <w:r w:rsidRPr="00787808">
        <w:rPr>
          <w:rFonts w:cs="Arial"/>
          <w:i/>
          <w:szCs w:val="22"/>
        </w:rPr>
        <w:fldChar w:fldCharType="end"/>
      </w:r>
      <w:r w:rsidRPr="00787808">
        <w:rPr>
          <w:rFonts w:cs="Arial"/>
          <w:szCs w:val="22"/>
        </w:rPr>
        <w:t xml:space="preserve"> that shows the text of the law as amended and in force on </w:t>
      </w:r>
      <w:r w:rsidRPr="00787808">
        <w:rPr>
          <w:rFonts w:cs="Arial"/>
          <w:szCs w:val="22"/>
        </w:rPr>
        <w:fldChar w:fldCharType="begin"/>
      </w:r>
      <w:r w:rsidRPr="00787808">
        <w:rPr>
          <w:rFonts w:cs="Arial"/>
          <w:szCs w:val="22"/>
        </w:rPr>
        <w:instrText xml:space="preserve"> DOCPROPERTY StartDate \@ "d MMMM yyyy" </w:instrText>
      </w:r>
      <w:r w:rsidRPr="00787808">
        <w:rPr>
          <w:rFonts w:cs="Arial"/>
          <w:szCs w:val="22"/>
        </w:rPr>
        <w:fldChar w:fldCharType="separate"/>
      </w:r>
      <w:r w:rsidR="00787808">
        <w:rPr>
          <w:rFonts w:cs="Arial"/>
          <w:szCs w:val="22"/>
        </w:rPr>
        <w:t>5 March 2016</w:t>
      </w:r>
      <w:r w:rsidRPr="00787808">
        <w:rPr>
          <w:rFonts w:cs="Arial"/>
          <w:szCs w:val="22"/>
        </w:rPr>
        <w:fldChar w:fldCharType="end"/>
      </w:r>
      <w:r w:rsidRPr="00787808">
        <w:rPr>
          <w:rFonts w:cs="Arial"/>
          <w:szCs w:val="22"/>
        </w:rPr>
        <w:t xml:space="preserve"> (the </w:t>
      </w:r>
      <w:r w:rsidRPr="00787808">
        <w:rPr>
          <w:rFonts w:cs="Arial"/>
          <w:b/>
          <w:i/>
          <w:szCs w:val="22"/>
        </w:rPr>
        <w:t>compilation date</w:t>
      </w:r>
      <w:r w:rsidRPr="00787808">
        <w:rPr>
          <w:rFonts w:cs="Arial"/>
          <w:szCs w:val="22"/>
        </w:rPr>
        <w:t>).</w:t>
      </w:r>
    </w:p>
    <w:p w:rsidR="00ED320E" w:rsidRPr="00787808" w:rsidRDefault="00ED320E" w:rsidP="00ED320E">
      <w:pPr>
        <w:spacing w:after="120"/>
        <w:rPr>
          <w:rFonts w:cs="Arial"/>
          <w:szCs w:val="22"/>
        </w:rPr>
      </w:pPr>
      <w:r w:rsidRPr="00787808">
        <w:rPr>
          <w:rFonts w:cs="Arial"/>
          <w:szCs w:val="22"/>
        </w:rPr>
        <w:t xml:space="preserve">The notes at the end of this compilation (the </w:t>
      </w:r>
      <w:r w:rsidRPr="00787808">
        <w:rPr>
          <w:rFonts w:cs="Arial"/>
          <w:b/>
          <w:i/>
          <w:szCs w:val="22"/>
        </w:rPr>
        <w:t>endnotes</w:t>
      </w:r>
      <w:r w:rsidRPr="00787808">
        <w:rPr>
          <w:rFonts w:cs="Arial"/>
          <w:szCs w:val="22"/>
        </w:rPr>
        <w:t>) include information about amending laws and the amendment history of provisions of the compiled law.</w:t>
      </w:r>
    </w:p>
    <w:p w:rsidR="00ED320E" w:rsidRPr="00787808" w:rsidRDefault="00ED320E" w:rsidP="000F581B">
      <w:pPr>
        <w:spacing w:before="80" w:after="80"/>
        <w:rPr>
          <w:rFonts w:cs="Arial"/>
          <w:b/>
          <w:szCs w:val="22"/>
        </w:rPr>
      </w:pPr>
      <w:r w:rsidRPr="00787808">
        <w:rPr>
          <w:rFonts w:cs="Arial"/>
          <w:b/>
          <w:szCs w:val="22"/>
        </w:rPr>
        <w:t>Uncommenced amendments</w:t>
      </w:r>
    </w:p>
    <w:p w:rsidR="00ED320E" w:rsidRPr="00787808" w:rsidRDefault="00ED320E" w:rsidP="00ED320E">
      <w:pPr>
        <w:spacing w:after="120"/>
        <w:rPr>
          <w:rFonts w:cs="Arial"/>
          <w:szCs w:val="22"/>
        </w:rPr>
      </w:pPr>
      <w:r w:rsidRPr="0078780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D320E" w:rsidRPr="00787808" w:rsidRDefault="00ED320E" w:rsidP="000F581B">
      <w:pPr>
        <w:spacing w:before="80" w:after="80"/>
        <w:rPr>
          <w:rFonts w:cs="Arial"/>
          <w:b/>
          <w:szCs w:val="22"/>
        </w:rPr>
      </w:pPr>
      <w:r w:rsidRPr="00787808">
        <w:rPr>
          <w:rFonts w:cs="Arial"/>
          <w:b/>
          <w:szCs w:val="22"/>
        </w:rPr>
        <w:t>Application, saving and transitional provisions for provisions and amendments</w:t>
      </w:r>
    </w:p>
    <w:p w:rsidR="00ED320E" w:rsidRPr="00787808" w:rsidRDefault="00ED320E" w:rsidP="00ED320E">
      <w:pPr>
        <w:spacing w:after="120"/>
        <w:rPr>
          <w:rFonts w:cs="Arial"/>
          <w:szCs w:val="22"/>
        </w:rPr>
      </w:pPr>
      <w:r w:rsidRPr="00787808">
        <w:rPr>
          <w:rFonts w:cs="Arial"/>
          <w:szCs w:val="22"/>
        </w:rPr>
        <w:t>If the operation of a provision or amendment of the compiled law is affected by an application, saving or transitional provision that is not included in this compilation, details are included in the endnotes.</w:t>
      </w:r>
    </w:p>
    <w:p w:rsidR="00ED320E" w:rsidRPr="00787808" w:rsidRDefault="00ED320E" w:rsidP="000F581B">
      <w:pPr>
        <w:spacing w:before="80" w:after="80"/>
        <w:rPr>
          <w:rFonts w:cs="Arial"/>
          <w:b/>
          <w:szCs w:val="22"/>
        </w:rPr>
      </w:pPr>
      <w:r w:rsidRPr="00787808">
        <w:rPr>
          <w:rFonts w:cs="Arial"/>
          <w:b/>
          <w:szCs w:val="22"/>
        </w:rPr>
        <w:t>Editorial changes</w:t>
      </w:r>
    </w:p>
    <w:p w:rsidR="00ED320E" w:rsidRPr="00787808" w:rsidRDefault="00ED320E" w:rsidP="00ED320E">
      <w:pPr>
        <w:spacing w:after="120"/>
        <w:rPr>
          <w:rFonts w:cs="Arial"/>
          <w:szCs w:val="22"/>
        </w:rPr>
      </w:pPr>
      <w:r w:rsidRPr="00787808">
        <w:rPr>
          <w:rFonts w:cs="Arial"/>
          <w:szCs w:val="22"/>
        </w:rPr>
        <w:t>For more information about any editorial changes made in this compilation, see the endnotes.</w:t>
      </w:r>
    </w:p>
    <w:p w:rsidR="00ED320E" w:rsidRPr="00787808" w:rsidRDefault="00ED320E" w:rsidP="000F581B">
      <w:pPr>
        <w:spacing w:before="80" w:after="80"/>
        <w:rPr>
          <w:rFonts w:cs="Arial"/>
          <w:b/>
          <w:szCs w:val="22"/>
        </w:rPr>
      </w:pPr>
      <w:r w:rsidRPr="00787808">
        <w:rPr>
          <w:rFonts w:cs="Arial"/>
          <w:b/>
          <w:szCs w:val="22"/>
        </w:rPr>
        <w:t>Modifications</w:t>
      </w:r>
    </w:p>
    <w:p w:rsidR="00ED320E" w:rsidRPr="00787808" w:rsidRDefault="00ED320E" w:rsidP="00ED320E">
      <w:pPr>
        <w:spacing w:after="120"/>
        <w:rPr>
          <w:rFonts w:cs="Arial"/>
          <w:szCs w:val="22"/>
        </w:rPr>
      </w:pPr>
      <w:r w:rsidRPr="0078780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D320E" w:rsidRPr="00787808" w:rsidRDefault="00ED320E" w:rsidP="000F581B">
      <w:pPr>
        <w:spacing w:before="80" w:after="80"/>
        <w:rPr>
          <w:rFonts w:cs="Arial"/>
          <w:b/>
          <w:szCs w:val="22"/>
        </w:rPr>
      </w:pPr>
      <w:r w:rsidRPr="00787808">
        <w:rPr>
          <w:rFonts w:cs="Arial"/>
          <w:b/>
          <w:szCs w:val="22"/>
        </w:rPr>
        <w:t>Self</w:t>
      </w:r>
      <w:r w:rsidR="00787808">
        <w:rPr>
          <w:rFonts w:cs="Arial"/>
          <w:b/>
          <w:szCs w:val="22"/>
        </w:rPr>
        <w:noBreakHyphen/>
      </w:r>
      <w:r w:rsidRPr="00787808">
        <w:rPr>
          <w:rFonts w:cs="Arial"/>
          <w:b/>
          <w:szCs w:val="22"/>
        </w:rPr>
        <w:t>repealing provisions</w:t>
      </w:r>
    </w:p>
    <w:p w:rsidR="00ED320E" w:rsidRPr="00787808" w:rsidRDefault="00ED320E" w:rsidP="00ED320E">
      <w:pPr>
        <w:spacing w:after="120"/>
        <w:rPr>
          <w:rFonts w:cs="Arial"/>
          <w:szCs w:val="22"/>
        </w:rPr>
      </w:pPr>
      <w:r w:rsidRPr="00787808">
        <w:rPr>
          <w:rFonts w:cs="Arial"/>
          <w:szCs w:val="22"/>
        </w:rPr>
        <w:t>If a provision of the compiled law has been repealed in accordance with a provision of the law, details are included in the endnotes.</w:t>
      </w:r>
    </w:p>
    <w:p w:rsidR="00ED320E" w:rsidRPr="00787808" w:rsidRDefault="00ED320E" w:rsidP="00ED320E">
      <w:pPr>
        <w:pStyle w:val="Header"/>
        <w:tabs>
          <w:tab w:val="clear" w:pos="4150"/>
          <w:tab w:val="clear" w:pos="8307"/>
        </w:tabs>
      </w:pPr>
      <w:r w:rsidRPr="00787808">
        <w:rPr>
          <w:rStyle w:val="CharAmSchNo"/>
        </w:rPr>
        <w:t xml:space="preserve"> </w:t>
      </w:r>
      <w:r w:rsidRPr="00787808">
        <w:rPr>
          <w:rStyle w:val="CharAmSchText"/>
        </w:rPr>
        <w:t xml:space="preserve"> </w:t>
      </w:r>
    </w:p>
    <w:p w:rsidR="00ED320E" w:rsidRPr="00787808" w:rsidRDefault="00ED320E" w:rsidP="00ED320E">
      <w:pPr>
        <w:pStyle w:val="Header"/>
        <w:tabs>
          <w:tab w:val="clear" w:pos="4150"/>
          <w:tab w:val="clear" w:pos="8307"/>
        </w:tabs>
      </w:pPr>
      <w:r w:rsidRPr="00787808">
        <w:rPr>
          <w:rStyle w:val="CharAmPartNo"/>
        </w:rPr>
        <w:t xml:space="preserve"> </w:t>
      </w:r>
      <w:r w:rsidRPr="00787808">
        <w:rPr>
          <w:rStyle w:val="CharAmPartText"/>
        </w:rPr>
        <w:t xml:space="preserve"> </w:t>
      </w:r>
    </w:p>
    <w:p w:rsidR="00ED320E" w:rsidRPr="00787808" w:rsidRDefault="00ED320E" w:rsidP="00ED320E">
      <w:pPr>
        <w:pStyle w:val="Header"/>
        <w:tabs>
          <w:tab w:val="clear" w:pos="4150"/>
          <w:tab w:val="clear" w:pos="8307"/>
        </w:tabs>
      </w:pPr>
      <w:r w:rsidRPr="00787808">
        <w:t xml:space="preserve">  </w:t>
      </w:r>
    </w:p>
    <w:p w:rsidR="005F5AF7" w:rsidRPr="00787808" w:rsidRDefault="005F5AF7" w:rsidP="005F5AF7">
      <w:pPr>
        <w:sectPr w:rsidR="005F5AF7" w:rsidRPr="00787808" w:rsidSect="0083052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74CFF" w:rsidRPr="00787808" w:rsidRDefault="00174CFF" w:rsidP="003A0F88">
      <w:r w:rsidRPr="00787808">
        <w:rPr>
          <w:rFonts w:cs="Times New Roman"/>
          <w:sz w:val="36"/>
        </w:rPr>
        <w:lastRenderedPageBreak/>
        <w:t>Contents</w:t>
      </w:r>
    </w:p>
    <w:p w:rsidR="00907253" w:rsidRDefault="0031422E">
      <w:pPr>
        <w:pStyle w:val="TOC5"/>
        <w:rPr>
          <w:rFonts w:asciiTheme="minorHAnsi" w:eastAsiaTheme="minorEastAsia" w:hAnsiTheme="minorHAnsi" w:cstheme="minorBidi"/>
          <w:noProof/>
          <w:kern w:val="0"/>
          <w:sz w:val="22"/>
          <w:szCs w:val="22"/>
        </w:rPr>
      </w:pPr>
      <w:r w:rsidRPr="00787808">
        <w:rPr>
          <w:iCs/>
          <w:szCs w:val="26"/>
        </w:rPr>
        <w:fldChar w:fldCharType="begin"/>
      </w:r>
      <w:r w:rsidRPr="00787808">
        <w:instrText xml:space="preserve"> TOC \o "1-9" \t "ActHead 1,2,ActHead 2,2,ActHead 3,3,ActHead 4,4,ActHead 5,5, Schedule,2, Schedule Text,3, NotesSection,6" </w:instrText>
      </w:r>
      <w:r w:rsidRPr="00787808">
        <w:rPr>
          <w:iCs/>
          <w:szCs w:val="26"/>
        </w:rPr>
        <w:fldChar w:fldCharType="separate"/>
      </w:r>
      <w:r w:rsidR="00907253">
        <w:rPr>
          <w:noProof/>
        </w:rPr>
        <w:t>1</w:t>
      </w:r>
      <w:r w:rsidR="00907253">
        <w:rPr>
          <w:noProof/>
        </w:rPr>
        <w:tab/>
        <w:t>Short title</w:t>
      </w:r>
      <w:r w:rsidR="00907253" w:rsidRPr="00907253">
        <w:rPr>
          <w:noProof/>
        </w:rPr>
        <w:tab/>
      </w:r>
      <w:r w:rsidR="00907253" w:rsidRPr="00907253">
        <w:rPr>
          <w:noProof/>
        </w:rPr>
        <w:fldChar w:fldCharType="begin"/>
      </w:r>
      <w:r w:rsidR="00907253" w:rsidRPr="00907253">
        <w:rPr>
          <w:noProof/>
        </w:rPr>
        <w:instrText xml:space="preserve"> PAGEREF _Toc450732098 \h </w:instrText>
      </w:r>
      <w:r w:rsidR="00907253" w:rsidRPr="00907253">
        <w:rPr>
          <w:noProof/>
        </w:rPr>
      </w:r>
      <w:r w:rsidR="00907253" w:rsidRPr="00907253">
        <w:rPr>
          <w:noProof/>
        </w:rPr>
        <w:fldChar w:fldCharType="separate"/>
      </w:r>
      <w:r w:rsidR="00907253" w:rsidRPr="00907253">
        <w:rPr>
          <w:noProof/>
        </w:rPr>
        <w:t>1</w:t>
      </w:r>
      <w:r w:rsidR="00907253" w:rsidRPr="00907253">
        <w:rPr>
          <w:noProof/>
        </w:rPr>
        <w:fldChar w:fldCharType="end"/>
      </w:r>
    </w:p>
    <w:p w:rsidR="00907253" w:rsidRDefault="00907253">
      <w:pPr>
        <w:pStyle w:val="TOC5"/>
        <w:rPr>
          <w:rFonts w:asciiTheme="minorHAnsi" w:eastAsiaTheme="minorEastAsia" w:hAnsiTheme="minorHAnsi" w:cstheme="minorBidi"/>
          <w:noProof/>
          <w:kern w:val="0"/>
          <w:sz w:val="22"/>
          <w:szCs w:val="22"/>
        </w:rPr>
      </w:pPr>
      <w:r>
        <w:rPr>
          <w:noProof/>
        </w:rPr>
        <w:t>2</w:t>
      </w:r>
      <w:r>
        <w:rPr>
          <w:noProof/>
        </w:rPr>
        <w:tab/>
        <w:t>Commencement</w:t>
      </w:r>
      <w:r w:rsidRPr="00907253">
        <w:rPr>
          <w:noProof/>
        </w:rPr>
        <w:tab/>
      </w:r>
      <w:r w:rsidRPr="00907253">
        <w:rPr>
          <w:noProof/>
        </w:rPr>
        <w:fldChar w:fldCharType="begin"/>
      </w:r>
      <w:r w:rsidRPr="00907253">
        <w:rPr>
          <w:noProof/>
        </w:rPr>
        <w:instrText xml:space="preserve"> PAGEREF _Toc450732099 \h </w:instrText>
      </w:r>
      <w:r w:rsidRPr="00907253">
        <w:rPr>
          <w:noProof/>
        </w:rPr>
      </w:r>
      <w:r w:rsidRPr="00907253">
        <w:rPr>
          <w:noProof/>
        </w:rPr>
        <w:fldChar w:fldCharType="separate"/>
      </w:r>
      <w:r w:rsidRPr="00907253">
        <w:rPr>
          <w:noProof/>
        </w:rPr>
        <w:t>1</w:t>
      </w:r>
      <w:r w:rsidRPr="00907253">
        <w:rPr>
          <w:noProof/>
        </w:rPr>
        <w:fldChar w:fldCharType="end"/>
      </w:r>
    </w:p>
    <w:p w:rsidR="00907253" w:rsidRDefault="00907253">
      <w:pPr>
        <w:pStyle w:val="TOC5"/>
        <w:rPr>
          <w:rFonts w:asciiTheme="minorHAnsi" w:eastAsiaTheme="minorEastAsia" w:hAnsiTheme="minorHAnsi" w:cstheme="minorBidi"/>
          <w:noProof/>
          <w:kern w:val="0"/>
          <w:sz w:val="22"/>
          <w:szCs w:val="22"/>
        </w:rPr>
      </w:pPr>
      <w:r>
        <w:rPr>
          <w:noProof/>
        </w:rPr>
        <w:t>3</w:t>
      </w:r>
      <w:r>
        <w:rPr>
          <w:noProof/>
        </w:rPr>
        <w:tab/>
        <w:t>Schedule(s)</w:t>
      </w:r>
      <w:r w:rsidRPr="00907253">
        <w:rPr>
          <w:noProof/>
        </w:rPr>
        <w:tab/>
      </w:r>
      <w:r w:rsidRPr="00907253">
        <w:rPr>
          <w:noProof/>
        </w:rPr>
        <w:fldChar w:fldCharType="begin"/>
      </w:r>
      <w:r w:rsidRPr="00907253">
        <w:rPr>
          <w:noProof/>
        </w:rPr>
        <w:instrText xml:space="preserve"> PAGEREF _Toc450732100 \h </w:instrText>
      </w:r>
      <w:r w:rsidRPr="00907253">
        <w:rPr>
          <w:noProof/>
        </w:rPr>
      </w:r>
      <w:r w:rsidRPr="00907253">
        <w:rPr>
          <w:noProof/>
        </w:rPr>
        <w:fldChar w:fldCharType="separate"/>
      </w:r>
      <w:r w:rsidRPr="00907253">
        <w:rPr>
          <w:noProof/>
        </w:rPr>
        <w:t>2</w:t>
      </w:r>
      <w:r w:rsidRPr="00907253">
        <w:rPr>
          <w:noProof/>
        </w:rPr>
        <w:fldChar w:fldCharType="end"/>
      </w:r>
    </w:p>
    <w:p w:rsidR="00907253" w:rsidRDefault="00907253">
      <w:pPr>
        <w:pStyle w:val="TOC5"/>
        <w:rPr>
          <w:rFonts w:asciiTheme="minorHAnsi" w:eastAsiaTheme="minorEastAsia" w:hAnsiTheme="minorHAnsi" w:cstheme="minorBidi"/>
          <w:noProof/>
          <w:kern w:val="0"/>
          <w:sz w:val="22"/>
          <w:szCs w:val="22"/>
        </w:rPr>
      </w:pPr>
      <w:r>
        <w:rPr>
          <w:noProof/>
        </w:rPr>
        <w:t>4</w:t>
      </w:r>
      <w:r>
        <w:rPr>
          <w:noProof/>
        </w:rPr>
        <w:tab/>
        <w:t>Extended geographic application of this Act</w:t>
      </w:r>
      <w:r w:rsidRPr="00907253">
        <w:rPr>
          <w:noProof/>
        </w:rPr>
        <w:tab/>
      </w:r>
      <w:r w:rsidRPr="00907253">
        <w:rPr>
          <w:noProof/>
        </w:rPr>
        <w:fldChar w:fldCharType="begin"/>
      </w:r>
      <w:r w:rsidRPr="00907253">
        <w:rPr>
          <w:noProof/>
        </w:rPr>
        <w:instrText xml:space="preserve"> PAGEREF _Toc450732101 \h </w:instrText>
      </w:r>
      <w:r w:rsidRPr="00907253">
        <w:rPr>
          <w:noProof/>
        </w:rPr>
      </w:r>
      <w:r w:rsidRPr="00907253">
        <w:rPr>
          <w:noProof/>
        </w:rPr>
        <w:fldChar w:fldCharType="separate"/>
      </w:r>
      <w:r w:rsidRPr="00907253">
        <w:rPr>
          <w:noProof/>
        </w:rPr>
        <w:t>2</w:t>
      </w:r>
      <w:r w:rsidRPr="00907253">
        <w:rPr>
          <w:noProof/>
        </w:rPr>
        <w:fldChar w:fldCharType="end"/>
      </w:r>
    </w:p>
    <w:p w:rsidR="00907253" w:rsidRDefault="00907253">
      <w:pPr>
        <w:pStyle w:val="TOC6"/>
        <w:rPr>
          <w:rFonts w:asciiTheme="minorHAnsi" w:eastAsiaTheme="minorEastAsia" w:hAnsiTheme="minorHAnsi" w:cstheme="minorBidi"/>
          <w:b w:val="0"/>
          <w:noProof/>
          <w:kern w:val="0"/>
          <w:sz w:val="22"/>
          <w:szCs w:val="22"/>
        </w:rPr>
      </w:pPr>
      <w:r>
        <w:rPr>
          <w:noProof/>
        </w:rPr>
        <w:t>Schedule 1—Repeal and consequential amendments</w:t>
      </w:r>
      <w:r w:rsidRPr="00907253">
        <w:rPr>
          <w:b w:val="0"/>
          <w:noProof/>
          <w:sz w:val="18"/>
        </w:rPr>
        <w:tab/>
      </w:r>
      <w:r w:rsidRPr="00907253">
        <w:rPr>
          <w:b w:val="0"/>
          <w:noProof/>
          <w:sz w:val="18"/>
        </w:rPr>
        <w:fldChar w:fldCharType="begin"/>
      </w:r>
      <w:r w:rsidRPr="00907253">
        <w:rPr>
          <w:b w:val="0"/>
          <w:noProof/>
          <w:sz w:val="18"/>
        </w:rPr>
        <w:instrText xml:space="preserve"> PAGEREF _Toc450732102 \h </w:instrText>
      </w:r>
      <w:r w:rsidRPr="00907253">
        <w:rPr>
          <w:b w:val="0"/>
          <w:noProof/>
          <w:sz w:val="18"/>
        </w:rPr>
      </w:r>
      <w:r w:rsidRPr="00907253">
        <w:rPr>
          <w:b w:val="0"/>
          <w:noProof/>
          <w:sz w:val="18"/>
        </w:rPr>
        <w:fldChar w:fldCharType="separate"/>
      </w:r>
      <w:r w:rsidRPr="00907253">
        <w:rPr>
          <w:b w:val="0"/>
          <w:noProof/>
          <w:sz w:val="18"/>
        </w:rPr>
        <w:t>3</w:t>
      </w:r>
      <w:r w:rsidRPr="00907253">
        <w:rPr>
          <w:b w:val="0"/>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1—Repeal of the Australian Film Commission Act 1975</w:t>
      </w:r>
      <w:r w:rsidRPr="00907253">
        <w:rPr>
          <w:noProof/>
          <w:sz w:val="18"/>
        </w:rPr>
        <w:tab/>
      </w:r>
      <w:r w:rsidRPr="00907253">
        <w:rPr>
          <w:noProof/>
          <w:sz w:val="18"/>
        </w:rPr>
        <w:fldChar w:fldCharType="begin"/>
      </w:r>
      <w:r w:rsidRPr="00907253">
        <w:rPr>
          <w:noProof/>
          <w:sz w:val="18"/>
        </w:rPr>
        <w:instrText xml:space="preserve"> PAGEREF _Toc450732103 \h </w:instrText>
      </w:r>
      <w:r w:rsidRPr="00907253">
        <w:rPr>
          <w:noProof/>
          <w:sz w:val="18"/>
        </w:rPr>
      </w:r>
      <w:r w:rsidRPr="00907253">
        <w:rPr>
          <w:noProof/>
          <w:sz w:val="18"/>
        </w:rPr>
        <w:fldChar w:fldCharType="separate"/>
      </w:r>
      <w:r w:rsidRPr="00907253">
        <w:rPr>
          <w:noProof/>
          <w:sz w:val="18"/>
        </w:rPr>
        <w:t>3</w:t>
      </w:r>
      <w:r w:rsidRPr="00907253">
        <w:rPr>
          <w:noProof/>
          <w:sz w:val="18"/>
        </w:rPr>
        <w:fldChar w:fldCharType="end"/>
      </w:r>
    </w:p>
    <w:p w:rsidR="00907253" w:rsidRDefault="00907253">
      <w:pPr>
        <w:pStyle w:val="TOC9"/>
        <w:rPr>
          <w:rFonts w:asciiTheme="minorHAnsi" w:eastAsiaTheme="minorEastAsia" w:hAnsiTheme="minorHAnsi" w:cstheme="minorBidi"/>
          <w:i w:val="0"/>
          <w:noProof/>
          <w:kern w:val="0"/>
          <w:sz w:val="22"/>
          <w:szCs w:val="22"/>
        </w:rPr>
      </w:pPr>
      <w:r>
        <w:rPr>
          <w:noProof/>
        </w:rPr>
        <w:t>Australian Film Commission Act 1975</w:t>
      </w:r>
      <w:r w:rsidRPr="00907253">
        <w:rPr>
          <w:i w:val="0"/>
          <w:noProof/>
          <w:sz w:val="18"/>
        </w:rPr>
        <w:tab/>
      </w:r>
      <w:r w:rsidRPr="00907253">
        <w:rPr>
          <w:i w:val="0"/>
          <w:noProof/>
          <w:sz w:val="18"/>
        </w:rPr>
        <w:fldChar w:fldCharType="begin"/>
      </w:r>
      <w:r w:rsidRPr="00907253">
        <w:rPr>
          <w:i w:val="0"/>
          <w:noProof/>
          <w:sz w:val="18"/>
        </w:rPr>
        <w:instrText xml:space="preserve"> PAGEREF _Toc450732104 \h </w:instrText>
      </w:r>
      <w:r w:rsidRPr="00907253">
        <w:rPr>
          <w:i w:val="0"/>
          <w:noProof/>
          <w:sz w:val="18"/>
        </w:rPr>
      </w:r>
      <w:r w:rsidRPr="00907253">
        <w:rPr>
          <w:i w:val="0"/>
          <w:noProof/>
          <w:sz w:val="18"/>
        </w:rPr>
        <w:fldChar w:fldCharType="separate"/>
      </w:r>
      <w:r w:rsidRPr="00907253">
        <w:rPr>
          <w:i w:val="0"/>
          <w:noProof/>
          <w:sz w:val="18"/>
        </w:rPr>
        <w:t>3</w:t>
      </w:r>
      <w:r w:rsidRPr="00907253">
        <w:rPr>
          <w:i w:val="0"/>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2—Consequential amendments</w:t>
      </w:r>
      <w:r w:rsidRPr="00907253">
        <w:rPr>
          <w:noProof/>
          <w:sz w:val="18"/>
        </w:rPr>
        <w:tab/>
      </w:r>
      <w:r w:rsidRPr="00907253">
        <w:rPr>
          <w:noProof/>
          <w:sz w:val="18"/>
        </w:rPr>
        <w:fldChar w:fldCharType="begin"/>
      </w:r>
      <w:r w:rsidRPr="00907253">
        <w:rPr>
          <w:noProof/>
          <w:sz w:val="18"/>
        </w:rPr>
        <w:instrText xml:space="preserve"> PAGEREF _Toc450732105 \h </w:instrText>
      </w:r>
      <w:r w:rsidRPr="00907253">
        <w:rPr>
          <w:noProof/>
          <w:sz w:val="18"/>
        </w:rPr>
      </w:r>
      <w:r w:rsidRPr="00907253">
        <w:rPr>
          <w:noProof/>
          <w:sz w:val="18"/>
        </w:rPr>
        <w:fldChar w:fldCharType="separate"/>
      </w:r>
      <w:r w:rsidRPr="00907253">
        <w:rPr>
          <w:noProof/>
          <w:sz w:val="18"/>
        </w:rPr>
        <w:t>4</w:t>
      </w:r>
      <w:r w:rsidRPr="00907253">
        <w:rPr>
          <w:noProof/>
          <w:sz w:val="18"/>
        </w:rPr>
        <w:fldChar w:fldCharType="end"/>
      </w:r>
    </w:p>
    <w:p w:rsidR="00907253" w:rsidRDefault="00907253">
      <w:pPr>
        <w:pStyle w:val="TOC9"/>
        <w:rPr>
          <w:rFonts w:asciiTheme="minorHAnsi" w:eastAsiaTheme="minorEastAsia" w:hAnsiTheme="minorHAnsi" w:cstheme="minorBidi"/>
          <w:i w:val="0"/>
          <w:noProof/>
          <w:kern w:val="0"/>
          <w:sz w:val="22"/>
          <w:szCs w:val="22"/>
        </w:rPr>
      </w:pPr>
      <w:r>
        <w:rPr>
          <w:noProof/>
        </w:rPr>
        <w:t>Australian Film, Television and Radio School Act 1973</w:t>
      </w:r>
      <w:r w:rsidRPr="00907253">
        <w:rPr>
          <w:i w:val="0"/>
          <w:noProof/>
          <w:sz w:val="18"/>
        </w:rPr>
        <w:tab/>
      </w:r>
      <w:r w:rsidRPr="00907253">
        <w:rPr>
          <w:i w:val="0"/>
          <w:noProof/>
          <w:sz w:val="18"/>
        </w:rPr>
        <w:fldChar w:fldCharType="begin"/>
      </w:r>
      <w:r w:rsidRPr="00907253">
        <w:rPr>
          <w:i w:val="0"/>
          <w:noProof/>
          <w:sz w:val="18"/>
        </w:rPr>
        <w:instrText xml:space="preserve"> PAGEREF _Toc450732106 \h </w:instrText>
      </w:r>
      <w:r w:rsidRPr="00907253">
        <w:rPr>
          <w:i w:val="0"/>
          <w:noProof/>
          <w:sz w:val="18"/>
        </w:rPr>
      </w:r>
      <w:r w:rsidRPr="00907253">
        <w:rPr>
          <w:i w:val="0"/>
          <w:noProof/>
          <w:sz w:val="18"/>
        </w:rPr>
        <w:fldChar w:fldCharType="separate"/>
      </w:r>
      <w:r w:rsidRPr="00907253">
        <w:rPr>
          <w:i w:val="0"/>
          <w:noProof/>
          <w:sz w:val="18"/>
        </w:rPr>
        <w:t>4</w:t>
      </w:r>
      <w:r w:rsidRPr="00907253">
        <w:rPr>
          <w:i w:val="0"/>
          <w:noProof/>
          <w:sz w:val="18"/>
        </w:rPr>
        <w:fldChar w:fldCharType="end"/>
      </w:r>
    </w:p>
    <w:p w:rsidR="00907253" w:rsidRDefault="00907253">
      <w:pPr>
        <w:pStyle w:val="TOC9"/>
        <w:rPr>
          <w:rFonts w:asciiTheme="minorHAnsi" w:eastAsiaTheme="minorEastAsia" w:hAnsiTheme="minorHAnsi" w:cstheme="minorBidi"/>
          <w:i w:val="0"/>
          <w:noProof/>
          <w:kern w:val="0"/>
          <w:sz w:val="22"/>
          <w:szCs w:val="22"/>
        </w:rPr>
      </w:pPr>
      <w:r>
        <w:rPr>
          <w:noProof/>
        </w:rPr>
        <w:t>Income Tax Assessment Act 1997</w:t>
      </w:r>
      <w:r w:rsidRPr="00907253">
        <w:rPr>
          <w:i w:val="0"/>
          <w:noProof/>
          <w:sz w:val="18"/>
        </w:rPr>
        <w:tab/>
      </w:r>
      <w:r w:rsidRPr="00907253">
        <w:rPr>
          <w:i w:val="0"/>
          <w:noProof/>
          <w:sz w:val="18"/>
        </w:rPr>
        <w:fldChar w:fldCharType="begin"/>
      </w:r>
      <w:r w:rsidRPr="00907253">
        <w:rPr>
          <w:i w:val="0"/>
          <w:noProof/>
          <w:sz w:val="18"/>
        </w:rPr>
        <w:instrText xml:space="preserve"> PAGEREF _Toc450732108 \h </w:instrText>
      </w:r>
      <w:r w:rsidRPr="00907253">
        <w:rPr>
          <w:i w:val="0"/>
          <w:noProof/>
          <w:sz w:val="18"/>
        </w:rPr>
      </w:r>
      <w:r w:rsidRPr="00907253">
        <w:rPr>
          <w:i w:val="0"/>
          <w:noProof/>
          <w:sz w:val="18"/>
        </w:rPr>
        <w:fldChar w:fldCharType="separate"/>
      </w:r>
      <w:r w:rsidRPr="00907253">
        <w:rPr>
          <w:i w:val="0"/>
          <w:noProof/>
          <w:sz w:val="18"/>
        </w:rPr>
        <w:t>4</w:t>
      </w:r>
      <w:r w:rsidRPr="00907253">
        <w:rPr>
          <w:i w:val="0"/>
          <w:noProof/>
          <w:sz w:val="18"/>
        </w:rPr>
        <w:fldChar w:fldCharType="end"/>
      </w:r>
    </w:p>
    <w:p w:rsidR="00907253" w:rsidRDefault="00907253">
      <w:pPr>
        <w:pStyle w:val="TOC6"/>
        <w:rPr>
          <w:rFonts w:asciiTheme="minorHAnsi" w:eastAsiaTheme="minorEastAsia" w:hAnsiTheme="minorHAnsi" w:cstheme="minorBidi"/>
          <w:b w:val="0"/>
          <w:noProof/>
          <w:kern w:val="0"/>
          <w:sz w:val="22"/>
          <w:szCs w:val="22"/>
        </w:rPr>
      </w:pPr>
      <w:r>
        <w:rPr>
          <w:noProof/>
        </w:rPr>
        <w:t>Schedule 2—Transitional provisions</w:t>
      </w:r>
      <w:r w:rsidRPr="00907253">
        <w:rPr>
          <w:b w:val="0"/>
          <w:noProof/>
          <w:sz w:val="18"/>
        </w:rPr>
        <w:tab/>
      </w:r>
      <w:r w:rsidRPr="00907253">
        <w:rPr>
          <w:b w:val="0"/>
          <w:noProof/>
          <w:sz w:val="18"/>
        </w:rPr>
        <w:fldChar w:fldCharType="begin"/>
      </w:r>
      <w:r w:rsidRPr="00907253">
        <w:rPr>
          <w:b w:val="0"/>
          <w:noProof/>
          <w:sz w:val="18"/>
        </w:rPr>
        <w:instrText xml:space="preserve"> PAGEREF _Toc450732109 \h </w:instrText>
      </w:r>
      <w:r w:rsidRPr="00907253">
        <w:rPr>
          <w:b w:val="0"/>
          <w:noProof/>
          <w:sz w:val="18"/>
        </w:rPr>
      </w:r>
      <w:r w:rsidRPr="00907253">
        <w:rPr>
          <w:b w:val="0"/>
          <w:noProof/>
          <w:sz w:val="18"/>
        </w:rPr>
        <w:fldChar w:fldCharType="separate"/>
      </w:r>
      <w:r w:rsidRPr="00907253">
        <w:rPr>
          <w:b w:val="0"/>
          <w:noProof/>
          <w:sz w:val="18"/>
        </w:rPr>
        <w:t>5</w:t>
      </w:r>
      <w:r w:rsidRPr="00907253">
        <w:rPr>
          <w:b w:val="0"/>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1—Introduction</w:t>
      </w:r>
      <w:r w:rsidRPr="00907253">
        <w:rPr>
          <w:noProof/>
          <w:sz w:val="18"/>
        </w:rPr>
        <w:tab/>
      </w:r>
      <w:r w:rsidRPr="00907253">
        <w:rPr>
          <w:noProof/>
          <w:sz w:val="18"/>
        </w:rPr>
        <w:fldChar w:fldCharType="begin"/>
      </w:r>
      <w:r w:rsidRPr="00907253">
        <w:rPr>
          <w:noProof/>
          <w:sz w:val="18"/>
        </w:rPr>
        <w:instrText xml:space="preserve"> PAGEREF _Toc450732110 \h </w:instrText>
      </w:r>
      <w:r w:rsidRPr="00907253">
        <w:rPr>
          <w:noProof/>
          <w:sz w:val="18"/>
        </w:rPr>
      </w:r>
      <w:r w:rsidRPr="00907253">
        <w:rPr>
          <w:noProof/>
          <w:sz w:val="18"/>
        </w:rPr>
        <w:fldChar w:fldCharType="separate"/>
      </w:r>
      <w:r w:rsidRPr="00907253">
        <w:rPr>
          <w:noProof/>
          <w:sz w:val="18"/>
        </w:rPr>
        <w:t>5</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2—Assets and liabilities of AFC, FAL and FFC</w:t>
      </w:r>
      <w:r w:rsidRPr="00907253">
        <w:rPr>
          <w:noProof/>
          <w:sz w:val="18"/>
        </w:rPr>
        <w:tab/>
      </w:r>
      <w:r w:rsidRPr="00907253">
        <w:rPr>
          <w:noProof/>
          <w:sz w:val="18"/>
        </w:rPr>
        <w:fldChar w:fldCharType="begin"/>
      </w:r>
      <w:r w:rsidRPr="00907253">
        <w:rPr>
          <w:noProof/>
          <w:sz w:val="18"/>
        </w:rPr>
        <w:instrText xml:space="preserve"> PAGEREF _Toc450732111 \h </w:instrText>
      </w:r>
      <w:r w:rsidRPr="00907253">
        <w:rPr>
          <w:noProof/>
          <w:sz w:val="18"/>
        </w:rPr>
      </w:r>
      <w:r w:rsidRPr="00907253">
        <w:rPr>
          <w:noProof/>
          <w:sz w:val="18"/>
        </w:rPr>
        <w:fldChar w:fldCharType="separate"/>
      </w:r>
      <w:r w:rsidRPr="00907253">
        <w:rPr>
          <w:noProof/>
          <w:sz w:val="18"/>
        </w:rPr>
        <w:t>6</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3—Office holders of AFC, FAL and FFC</w:t>
      </w:r>
      <w:r w:rsidRPr="00907253">
        <w:rPr>
          <w:noProof/>
          <w:sz w:val="18"/>
        </w:rPr>
        <w:tab/>
      </w:r>
      <w:r w:rsidRPr="00907253">
        <w:rPr>
          <w:noProof/>
          <w:sz w:val="18"/>
        </w:rPr>
        <w:fldChar w:fldCharType="begin"/>
      </w:r>
      <w:r w:rsidRPr="00907253">
        <w:rPr>
          <w:noProof/>
          <w:sz w:val="18"/>
        </w:rPr>
        <w:instrText xml:space="preserve"> PAGEREF _Toc450732112 \h </w:instrText>
      </w:r>
      <w:r w:rsidRPr="00907253">
        <w:rPr>
          <w:noProof/>
          <w:sz w:val="18"/>
        </w:rPr>
      </w:r>
      <w:r w:rsidRPr="00907253">
        <w:rPr>
          <w:noProof/>
          <w:sz w:val="18"/>
        </w:rPr>
        <w:fldChar w:fldCharType="separate"/>
      </w:r>
      <w:r w:rsidRPr="00907253">
        <w:rPr>
          <w:noProof/>
          <w:sz w:val="18"/>
        </w:rPr>
        <w:t>10</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4—Staff of AFC, FAL and FFC</w:t>
      </w:r>
      <w:r w:rsidRPr="00907253">
        <w:rPr>
          <w:noProof/>
          <w:sz w:val="18"/>
        </w:rPr>
        <w:tab/>
      </w:r>
      <w:r w:rsidRPr="00907253">
        <w:rPr>
          <w:noProof/>
          <w:sz w:val="18"/>
        </w:rPr>
        <w:fldChar w:fldCharType="begin"/>
      </w:r>
      <w:r w:rsidRPr="00907253">
        <w:rPr>
          <w:noProof/>
          <w:sz w:val="18"/>
        </w:rPr>
        <w:instrText xml:space="preserve"> PAGEREF _Toc450732113 \h </w:instrText>
      </w:r>
      <w:r w:rsidRPr="00907253">
        <w:rPr>
          <w:noProof/>
          <w:sz w:val="18"/>
        </w:rPr>
      </w:r>
      <w:r w:rsidRPr="00907253">
        <w:rPr>
          <w:noProof/>
          <w:sz w:val="18"/>
        </w:rPr>
        <w:fldChar w:fldCharType="separate"/>
      </w:r>
      <w:r w:rsidRPr="00907253">
        <w:rPr>
          <w:noProof/>
          <w:sz w:val="18"/>
        </w:rPr>
        <w:t>12</w:t>
      </w:r>
      <w:r w:rsidRPr="00907253">
        <w:rPr>
          <w:noProof/>
          <w:sz w:val="18"/>
        </w:rPr>
        <w:fldChar w:fldCharType="end"/>
      </w:r>
    </w:p>
    <w:p w:rsidR="00907253" w:rsidRDefault="00907253">
      <w:pPr>
        <w:pStyle w:val="TOC8"/>
        <w:rPr>
          <w:rFonts w:asciiTheme="minorHAnsi" w:eastAsiaTheme="minorEastAsia" w:hAnsiTheme="minorHAnsi" w:cstheme="minorBidi"/>
          <w:noProof/>
          <w:kern w:val="0"/>
          <w:sz w:val="22"/>
          <w:szCs w:val="22"/>
        </w:rPr>
      </w:pPr>
      <w:r>
        <w:rPr>
          <w:noProof/>
        </w:rPr>
        <w:t>Division 1—Staff of AFC</w:t>
      </w:r>
      <w:r w:rsidRPr="00907253">
        <w:rPr>
          <w:noProof/>
          <w:sz w:val="18"/>
        </w:rPr>
        <w:tab/>
      </w:r>
      <w:r w:rsidRPr="00907253">
        <w:rPr>
          <w:noProof/>
          <w:sz w:val="18"/>
        </w:rPr>
        <w:fldChar w:fldCharType="begin"/>
      </w:r>
      <w:r w:rsidRPr="00907253">
        <w:rPr>
          <w:noProof/>
          <w:sz w:val="18"/>
        </w:rPr>
        <w:instrText xml:space="preserve"> PAGEREF _Toc450732114 \h </w:instrText>
      </w:r>
      <w:r w:rsidRPr="00907253">
        <w:rPr>
          <w:noProof/>
          <w:sz w:val="18"/>
        </w:rPr>
      </w:r>
      <w:r w:rsidRPr="00907253">
        <w:rPr>
          <w:noProof/>
          <w:sz w:val="18"/>
        </w:rPr>
        <w:fldChar w:fldCharType="separate"/>
      </w:r>
      <w:r w:rsidRPr="00907253">
        <w:rPr>
          <w:noProof/>
          <w:sz w:val="18"/>
        </w:rPr>
        <w:t>12</w:t>
      </w:r>
      <w:r w:rsidRPr="00907253">
        <w:rPr>
          <w:noProof/>
          <w:sz w:val="18"/>
        </w:rPr>
        <w:fldChar w:fldCharType="end"/>
      </w:r>
    </w:p>
    <w:p w:rsidR="00907253" w:rsidRDefault="00907253">
      <w:pPr>
        <w:pStyle w:val="TOC8"/>
        <w:rPr>
          <w:rFonts w:asciiTheme="minorHAnsi" w:eastAsiaTheme="minorEastAsia" w:hAnsiTheme="minorHAnsi" w:cstheme="minorBidi"/>
          <w:noProof/>
          <w:kern w:val="0"/>
          <w:sz w:val="22"/>
          <w:szCs w:val="22"/>
        </w:rPr>
      </w:pPr>
      <w:r>
        <w:rPr>
          <w:noProof/>
        </w:rPr>
        <w:t>Division 2—Staff of FAL and FFC</w:t>
      </w:r>
      <w:r w:rsidRPr="00907253">
        <w:rPr>
          <w:noProof/>
          <w:sz w:val="18"/>
        </w:rPr>
        <w:tab/>
      </w:r>
      <w:r w:rsidRPr="00907253">
        <w:rPr>
          <w:noProof/>
          <w:sz w:val="18"/>
        </w:rPr>
        <w:fldChar w:fldCharType="begin"/>
      </w:r>
      <w:r w:rsidRPr="00907253">
        <w:rPr>
          <w:noProof/>
          <w:sz w:val="18"/>
        </w:rPr>
        <w:instrText xml:space="preserve"> PAGEREF _Toc450732115 \h </w:instrText>
      </w:r>
      <w:r w:rsidRPr="00907253">
        <w:rPr>
          <w:noProof/>
          <w:sz w:val="18"/>
        </w:rPr>
      </w:r>
      <w:r w:rsidRPr="00907253">
        <w:rPr>
          <w:noProof/>
          <w:sz w:val="18"/>
        </w:rPr>
        <w:fldChar w:fldCharType="separate"/>
      </w:r>
      <w:r w:rsidRPr="00907253">
        <w:rPr>
          <w:noProof/>
          <w:sz w:val="18"/>
        </w:rPr>
        <w:t>14</w:t>
      </w:r>
      <w:r w:rsidRPr="00907253">
        <w:rPr>
          <w:noProof/>
          <w:sz w:val="18"/>
        </w:rPr>
        <w:fldChar w:fldCharType="end"/>
      </w:r>
    </w:p>
    <w:p w:rsidR="00907253" w:rsidRDefault="00907253">
      <w:pPr>
        <w:pStyle w:val="TOC8"/>
        <w:rPr>
          <w:rFonts w:asciiTheme="minorHAnsi" w:eastAsiaTheme="minorEastAsia" w:hAnsiTheme="minorHAnsi" w:cstheme="minorBidi"/>
          <w:noProof/>
          <w:kern w:val="0"/>
          <w:sz w:val="22"/>
          <w:szCs w:val="22"/>
        </w:rPr>
      </w:pPr>
      <w:r>
        <w:rPr>
          <w:noProof/>
        </w:rPr>
        <w:t>Division 3—Other matters relating to staff</w:t>
      </w:r>
      <w:r w:rsidRPr="00907253">
        <w:rPr>
          <w:noProof/>
          <w:sz w:val="18"/>
        </w:rPr>
        <w:tab/>
      </w:r>
      <w:r w:rsidRPr="00907253">
        <w:rPr>
          <w:noProof/>
          <w:sz w:val="18"/>
        </w:rPr>
        <w:fldChar w:fldCharType="begin"/>
      </w:r>
      <w:r w:rsidRPr="00907253">
        <w:rPr>
          <w:noProof/>
          <w:sz w:val="18"/>
        </w:rPr>
        <w:instrText xml:space="preserve"> PAGEREF _Toc450732116 \h </w:instrText>
      </w:r>
      <w:r w:rsidRPr="00907253">
        <w:rPr>
          <w:noProof/>
          <w:sz w:val="18"/>
        </w:rPr>
      </w:r>
      <w:r w:rsidRPr="00907253">
        <w:rPr>
          <w:noProof/>
          <w:sz w:val="18"/>
        </w:rPr>
        <w:fldChar w:fldCharType="separate"/>
      </w:r>
      <w:r w:rsidRPr="00907253">
        <w:rPr>
          <w:noProof/>
          <w:sz w:val="18"/>
        </w:rPr>
        <w:t>17</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5—Things done by, references in instruments to, legal proceedings of and records of AFC, FAL and FFC</w:t>
      </w:r>
      <w:r w:rsidRPr="00907253">
        <w:rPr>
          <w:noProof/>
          <w:sz w:val="18"/>
        </w:rPr>
        <w:tab/>
      </w:r>
      <w:r w:rsidRPr="00907253">
        <w:rPr>
          <w:noProof/>
          <w:sz w:val="18"/>
        </w:rPr>
        <w:fldChar w:fldCharType="begin"/>
      </w:r>
      <w:r w:rsidRPr="00907253">
        <w:rPr>
          <w:noProof/>
          <w:sz w:val="18"/>
        </w:rPr>
        <w:instrText xml:space="preserve"> PAGEREF _Toc450732117 \h </w:instrText>
      </w:r>
      <w:r w:rsidRPr="00907253">
        <w:rPr>
          <w:noProof/>
          <w:sz w:val="18"/>
        </w:rPr>
      </w:r>
      <w:r w:rsidRPr="00907253">
        <w:rPr>
          <w:noProof/>
          <w:sz w:val="18"/>
        </w:rPr>
        <w:fldChar w:fldCharType="separate"/>
      </w:r>
      <w:r w:rsidRPr="00907253">
        <w:rPr>
          <w:noProof/>
          <w:sz w:val="18"/>
        </w:rPr>
        <w:t>20</w:t>
      </w:r>
      <w:r w:rsidRPr="00907253">
        <w:rPr>
          <w:noProof/>
          <w:sz w:val="18"/>
        </w:rPr>
        <w:fldChar w:fldCharType="end"/>
      </w:r>
    </w:p>
    <w:p w:rsidR="00907253" w:rsidRDefault="00907253">
      <w:pPr>
        <w:pStyle w:val="TOC8"/>
        <w:rPr>
          <w:rFonts w:asciiTheme="minorHAnsi" w:eastAsiaTheme="minorEastAsia" w:hAnsiTheme="minorHAnsi" w:cstheme="minorBidi"/>
          <w:noProof/>
          <w:kern w:val="0"/>
          <w:sz w:val="22"/>
          <w:szCs w:val="22"/>
        </w:rPr>
      </w:pPr>
      <w:r>
        <w:rPr>
          <w:noProof/>
        </w:rPr>
        <w:t>Division 1—AFC</w:t>
      </w:r>
      <w:r w:rsidRPr="00907253">
        <w:rPr>
          <w:noProof/>
          <w:sz w:val="18"/>
        </w:rPr>
        <w:tab/>
      </w:r>
      <w:r w:rsidRPr="00907253">
        <w:rPr>
          <w:noProof/>
          <w:sz w:val="18"/>
        </w:rPr>
        <w:fldChar w:fldCharType="begin"/>
      </w:r>
      <w:r w:rsidRPr="00907253">
        <w:rPr>
          <w:noProof/>
          <w:sz w:val="18"/>
        </w:rPr>
        <w:instrText xml:space="preserve"> PAGEREF _Toc450732118 \h </w:instrText>
      </w:r>
      <w:r w:rsidRPr="00907253">
        <w:rPr>
          <w:noProof/>
          <w:sz w:val="18"/>
        </w:rPr>
      </w:r>
      <w:r w:rsidRPr="00907253">
        <w:rPr>
          <w:noProof/>
          <w:sz w:val="18"/>
        </w:rPr>
        <w:fldChar w:fldCharType="separate"/>
      </w:r>
      <w:r w:rsidRPr="00907253">
        <w:rPr>
          <w:noProof/>
          <w:sz w:val="18"/>
        </w:rPr>
        <w:t>20</w:t>
      </w:r>
      <w:r w:rsidRPr="00907253">
        <w:rPr>
          <w:noProof/>
          <w:sz w:val="18"/>
        </w:rPr>
        <w:fldChar w:fldCharType="end"/>
      </w:r>
    </w:p>
    <w:p w:rsidR="00907253" w:rsidRDefault="00907253">
      <w:pPr>
        <w:pStyle w:val="TOC8"/>
        <w:rPr>
          <w:rFonts w:asciiTheme="minorHAnsi" w:eastAsiaTheme="minorEastAsia" w:hAnsiTheme="minorHAnsi" w:cstheme="minorBidi"/>
          <w:noProof/>
          <w:kern w:val="0"/>
          <w:sz w:val="22"/>
          <w:szCs w:val="22"/>
        </w:rPr>
      </w:pPr>
      <w:r>
        <w:rPr>
          <w:noProof/>
        </w:rPr>
        <w:t>Division 2—FAL and FFC</w:t>
      </w:r>
      <w:r w:rsidRPr="00907253">
        <w:rPr>
          <w:noProof/>
          <w:sz w:val="18"/>
        </w:rPr>
        <w:tab/>
      </w:r>
      <w:r w:rsidRPr="00907253">
        <w:rPr>
          <w:noProof/>
          <w:sz w:val="18"/>
        </w:rPr>
        <w:fldChar w:fldCharType="begin"/>
      </w:r>
      <w:r w:rsidRPr="00907253">
        <w:rPr>
          <w:noProof/>
          <w:sz w:val="18"/>
        </w:rPr>
        <w:instrText xml:space="preserve"> PAGEREF _Toc450732119 \h </w:instrText>
      </w:r>
      <w:r w:rsidRPr="00907253">
        <w:rPr>
          <w:noProof/>
          <w:sz w:val="18"/>
        </w:rPr>
      </w:r>
      <w:r w:rsidRPr="00907253">
        <w:rPr>
          <w:noProof/>
          <w:sz w:val="18"/>
        </w:rPr>
        <w:fldChar w:fldCharType="separate"/>
      </w:r>
      <w:r w:rsidRPr="00907253">
        <w:rPr>
          <w:noProof/>
          <w:sz w:val="18"/>
        </w:rPr>
        <w:t>26</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6—Annual reports, returns etc. of AFC, FAL and FFC</w:t>
      </w:r>
      <w:r w:rsidRPr="00907253">
        <w:rPr>
          <w:noProof/>
          <w:sz w:val="18"/>
        </w:rPr>
        <w:tab/>
      </w:r>
      <w:r w:rsidRPr="00907253">
        <w:rPr>
          <w:noProof/>
          <w:sz w:val="18"/>
        </w:rPr>
        <w:fldChar w:fldCharType="begin"/>
      </w:r>
      <w:r w:rsidRPr="00907253">
        <w:rPr>
          <w:noProof/>
          <w:sz w:val="18"/>
        </w:rPr>
        <w:instrText xml:space="preserve"> PAGEREF _Toc450732120 \h </w:instrText>
      </w:r>
      <w:r w:rsidRPr="00907253">
        <w:rPr>
          <w:noProof/>
          <w:sz w:val="18"/>
        </w:rPr>
      </w:r>
      <w:r w:rsidRPr="00907253">
        <w:rPr>
          <w:noProof/>
          <w:sz w:val="18"/>
        </w:rPr>
        <w:fldChar w:fldCharType="separate"/>
      </w:r>
      <w:r w:rsidRPr="00907253">
        <w:rPr>
          <w:noProof/>
          <w:sz w:val="18"/>
        </w:rPr>
        <w:t>28</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t>Part 7—Appointment of first CEO of Screen Australia and NFSAA</w:t>
      </w:r>
      <w:r w:rsidRPr="00907253">
        <w:rPr>
          <w:noProof/>
          <w:sz w:val="18"/>
        </w:rPr>
        <w:tab/>
      </w:r>
      <w:r w:rsidRPr="00907253">
        <w:rPr>
          <w:noProof/>
          <w:sz w:val="18"/>
        </w:rPr>
        <w:fldChar w:fldCharType="begin"/>
      </w:r>
      <w:r w:rsidRPr="00907253">
        <w:rPr>
          <w:noProof/>
          <w:sz w:val="18"/>
        </w:rPr>
        <w:instrText xml:space="preserve"> PAGEREF _Toc450732121 \h </w:instrText>
      </w:r>
      <w:r w:rsidRPr="00907253">
        <w:rPr>
          <w:noProof/>
          <w:sz w:val="18"/>
        </w:rPr>
      </w:r>
      <w:r w:rsidRPr="00907253">
        <w:rPr>
          <w:noProof/>
          <w:sz w:val="18"/>
        </w:rPr>
        <w:fldChar w:fldCharType="separate"/>
      </w:r>
      <w:r w:rsidRPr="00907253">
        <w:rPr>
          <w:noProof/>
          <w:sz w:val="18"/>
        </w:rPr>
        <w:t>31</w:t>
      </w:r>
      <w:r w:rsidRPr="00907253">
        <w:rPr>
          <w:noProof/>
          <w:sz w:val="18"/>
        </w:rPr>
        <w:fldChar w:fldCharType="end"/>
      </w:r>
    </w:p>
    <w:p w:rsidR="00907253" w:rsidRDefault="00907253">
      <w:pPr>
        <w:pStyle w:val="TOC7"/>
        <w:rPr>
          <w:rFonts w:asciiTheme="minorHAnsi" w:eastAsiaTheme="minorEastAsia" w:hAnsiTheme="minorHAnsi" w:cstheme="minorBidi"/>
          <w:noProof/>
          <w:kern w:val="0"/>
          <w:sz w:val="22"/>
          <w:szCs w:val="22"/>
        </w:rPr>
      </w:pPr>
      <w:r>
        <w:rPr>
          <w:noProof/>
        </w:rPr>
        <w:lastRenderedPageBreak/>
        <w:t>Part 8—Other transitional matters</w:t>
      </w:r>
      <w:r w:rsidRPr="00907253">
        <w:rPr>
          <w:noProof/>
          <w:sz w:val="18"/>
        </w:rPr>
        <w:tab/>
      </w:r>
      <w:r w:rsidRPr="00907253">
        <w:rPr>
          <w:noProof/>
          <w:sz w:val="18"/>
        </w:rPr>
        <w:fldChar w:fldCharType="begin"/>
      </w:r>
      <w:r w:rsidRPr="00907253">
        <w:rPr>
          <w:noProof/>
          <w:sz w:val="18"/>
        </w:rPr>
        <w:instrText xml:space="preserve"> PAGEREF _Toc450732122 \h </w:instrText>
      </w:r>
      <w:r w:rsidRPr="00907253">
        <w:rPr>
          <w:noProof/>
          <w:sz w:val="18"/>
        </w:rPr>
      </w:r>
      <w:r w:rsidRPr="00907253">
        <w:rPr>
          <w:noProof/>
          <w:sz w:val="18"/>
        </w:rPr>
        <w:fldChar w:fldCharType="separate"/>
      </w:r>
      <w:r w:rsidRPr="00907253">
        <w:rPr>
          <w:noProof/>
          <w:sz w:val="18"/>
        </w:rPr>
        <w:t>32</w:t>
      </w:r>
      <w:r w:rsidRPr="00907253">
        <w:rPr>
          <w:noProof/>
          <w:sz w:val="18"/>
        </w:rPr>
        <w:fldChar w:fldCharType="end"/>
      </w:r>
    </w:p>
    <w:p w:rsidR="00907253" w:rsidRDefault="00907253" w:rsidP="00907253">
      <w:pPr>
        <w:pStyle w:val="TOC2"/>
        <w:rPr>
          <w:rFonts w:asciiTheme="minorHAnsi" w:eastAsiaTheme="minorEastAsia" w:hAnsiTheme="minorHAnsi" w:cstheme="minorBidi"/>
          <w:b w:val="0"/>
          <w:noProof/>
          <w:kern w:val="0"/>
          <w:sz w:val="22"/>
          <w:szCs w:val="22"/>
        </w:rPr>
      </w:pPr>
      <w:r>
        <w:rPr>
          <w:noProof/>
        </w:rPr>
        <w:t>Endnotes</w:t>
      </w:r>
      <w:r w:rsidRPr="00907253">
        <w:rPr>
          <w:b w:val="0"/>
          <w:noProof/>
          <w:sz w:val="18"/>
        </w:rPr>
        <w:tab/>
      </w:r>
      <w:r w:rsidRPr="00907253">
        <w:rPr>
          <w:b w:val="0"/>
          <w:noProof/>
          <w:sz w:val="18"/>
        </w:rPr>
        <w:fldChar w:fldCharType="begin"/>
      </w:r>
      <w:r w:rsidRPr="00907253">
        <w:rPr>
          <w:b w:val="0"/>
          <w:noProof/>
          <w:sz w:val="18"/>
        </w:rPr>
        <w:instrText xml:space="preserve"> PAGEREF _Toc450732123 \h </w:instrText>
      </w:r>
      <w:r w:rsidRPr="00907253">
        <w:rPr>
          <w:b w:val="0"/>
          <w:noProof/>
          <w:sz w:val="18"/>
        </w:rPr>
      </w:r>
      <w:r w:rsidRPr="00907253">
        <w:rPr>
          <w:b w:val="0"/>
          <w:noProof/>
          <w:sz w:val="18"/>
        </w:rPr>
        <w:fldChar w:fldCharType="separate"/>
      </w:r>
      <w:r w:rsidRPr="00907253">
        <w:rPr>
          <w:b w:val="0"/>
          <w:noProof/>
          <w:sz w:val="18"/>
        </w:rPr>
        <w:t>35</w:t>
      </w:r>
      <w:r w:rsidRPr="00907253">
        <w:rPr>
          <w:b w:val="0"/>
          <w:noProof/>
          <w:sz w:val="18"/>
        </w:rPr>
        <w:fldChar w:fldCharType="end"/>
      </w:r>
    </w:p>
    <w:p w:rsidR="00907253" w:rsidRDefault="00907253">
      <w:pPr>
        <w:pStyle w:val="TOC3"/>
        <w:rPr>
          <w:rFonts w:asciiTheme="minorHAnsi" w:eastAsiaTheme="minorEastAsia" w:hAnsiTheme="minorHAnsi" w:cstheme="minorBidi"/>
          <w:b w:val="0"/>
          <w:noProof/>
          <w:kern w:val="0"/>
          <w:szCs w:val="22"/>
        </w:rPr>
      </w:pPr>
      <w:r>
        <w:rPr>
          <w:noProof/>
        </w:rPr>
        <w:t>Endnote 1—About the endnotes</w:t>
      </w:r>
      <w:r w:rsidRPr="00907253">
        <w:rPr>
          <w:b w:val="0"/>
          <w:noProof/>
          <w:sz w:val="18"/>
        </w:rPr>
        <w:tab/>
      </w:r>
      <w:r w:rsidRPr="00907253">
        <w:rPr>
          <w:b w:val="0"/>
          <w:noProof/>
          <w:sz w:val="18"/>
        </w:rPr>
        <w:fldChar w:fldCharType="begin"/>
      </w:r>
      <w:r w:rsidRPr="00907253">
        <w:rPr>
          <w:b w:val="0"/>
          <w:noProof/>
          <w:sz w:val="18"/>
        </w:rPr>
        <w:instrText xml:space="preserve"> PAGEREF _Toc450732124 \h </w:instrText>
      </w:r>
      <w:r w:rsidRPr="00907253">
        <w:rPr>
          <w:b w:val="0"/>
          <w:noProof/>
          <w:sz w:val="18"/>
        </w:rPr>
      </w:r>
      <w:r w:rsidRPr="00907253">
        <w:rPr>
          <w:b w:val="0"/>
          <w:noProof/>
          <w:sz w:val="18"/>
        </w:rPr>
        <w:fldChar w:fldCharType="separate"/>
      </w:r>
      <w:r w:rsidRPr="00907253">
        <w:rPr>
          <w:b w:val="0"/>
          <w:noProof/>
          <w:sz w:val="18"/>
        </w:rPr>
        <w:t>35</w:t>
      </w:r>
      <w:r w:rsidRPr="00907253">
        <w:rPr>
          <w:b w:val="0"/>
          <w:noProof/>
          <w:sz w:val="18"/>
        </w:rPr>
        <w:fldChar w:fldCharType="end"/>
      </w:r>
    </w:p>
    <w:p w:rsidR="00907253" w:rsidRDefault="00907253">
      <w:pPr>
        <w:pStyle w:val="TOC3"/>
        <w:rPr>
          <w:rFonts w:asciiTheme="minorHAnsi" w:eastAsiaTheme="minorEastAsia" w:hAnsiTheme="minorHAnsi" w:cstheme="minorBidi"/>
          <w:b w:val="0"/>
          <w:noProof/>
          <w:kern w:val="0"/>
          <w:szCs w:val="22"/>
        </w:rPr>
      </w:pPr>
      <w:r>
        <w:rPr>
          <w:noProof/>
        </w:rPr>
        <w:t>Endnote 2—Abbreviation key</w:t>
      </w:r>
      <w:r w:rsidRPr="00907253">
        <w:rPr>
          <w:b w:val="0"/>
          <w:noProof/>
          <w:sz w:val="18"/>
        </w:rPr>
        <w:tab/>
      </w:r>
      <w:r w:rsidRPr="00907253">
        <w:rPr>
          <w:b w:val="0"/>
          <w:noProof/>
          <w:sz w:val="18"/>
        </w:rPr>
        <w:fldChar w:fldCharType="begin"/>
      </w:r>
      <w:r w:rsidRPr="00907253">
        <w:rPr>
          <w:b w:val="0"/>
          <w:noProof/>
          <w:sz w:val="18"/>
        </w:rPr>
        <w:instrText xml:space="preserve"> PAGEREF _Toc450732125 \h </w:instrText>
      </w:r>
      <w:r w:rsidRPr="00907253">
        <w:rPr>
          <w:b w:val="0"/>
          <w:noProof/>
          <w:sz w:val="18"/>
        </w:rPr>
      </w:r>
      <w:r w:rsidRPr="00907253">
        <w:rPr>
          <w:b w:val="0"/>
          <w:noProof/>
          <w:sz w:val="18"/>
        </w:rPr>
        <w:fldChar w:fldCharType="separate"/>
      </w:r>
      <w:r w:rsidRPr="00907253">
        <w:rPr>
          <w:b w:val="0"/>
          <w:noProof/>
          <w:sz w:val="18"/>
        </w:rPr>
        <w:t>37</w:t>
      </w:r>
      <w:r w:rsidRPr="00907253">
        <w:rPr>
          <w:b w:val="0"/>
          <w:noProof/>
          <w:sz w:val="18"/>
        </w:rPr>
        <w:fldChar w:fldCharType="end"/>
      </w:r>
    </w:p>
    <w:p w:rsidR="00907253" w:rsidRDefault="00907253">
      <w:pPr>
        <w:pStyle w:val="TOC3"/>
        <w:rPr>
          <w:rFonts w:asciiTheme="minorHAnsi" w:eastAsiaTheme="minorEastAsia" w:hAnsiTheme="minorHAnsi" w:cstheme="minorBidi"/>
          <w:b w:val="0"/>
          <w:noProof/>
          <w:kern w:val="0"/>
          <w:szCs w:val="22"/>
        </w:rPr>
      </w:pPr>
      <w:r>
        <w:rPr>
          <w:noProof/>
        </w:rPr>
        <w:t>Endnote 3—Legislation history</w:t>
      </w:r>
      <w:r w:rsidRPr="00907253">
        <w:rPr>
          <w:b w:val="0"/>
          <w:noProof/>
          <w:sz w:val="18"/>
        </w:rPr>
        <w:tab/>
      </w:r>
      <w:r w:rsidRPr="00907253">
        <w:rPr>
          <w:b w:val="0"/>
          <w:noProof/>
          <w:sz w:val="18"/>
        </w:rPr>
        <w:fldChar w:fldCharType="begin"/>
      </w:r>
      <w:r w:rsidRPr="00907253">
        <w:rPr>
          <w:b w:val="0"/>
          <w:noProof/>
          <w:sz w:val="18"/>
        </w:rPr>
        <w:instrText xml:space="preserve"> PAGEREF _Toc450732126 \h </w:instrText>
      </w:r>
      <w:r w:rsidRPr="00907253">
        <w:rPr>
          <w:b w:val="0"/>
          <w:noProof/>
          <w:sz w:val="18"/>
        </w:rPr>
      </w:r>
      <w:r w:rsidRPr="00907253">
        <w:rPr>
          <w:b w:val="0"/>
          <w:noProof/>
          <w:sz w:val="18"/>
        </w:rPr>
        <w:fldChar w:fldCharType="separate"/>
      </w:r>
      <w:r w:rsidRPr="00907253">
        <w:rPr>
          <w:b w:val="0"/>
          <w:noProof/>
          <w:sz w:val="18"/>
        </w:rPr>
        <w:t>38</w:t>
      </w:r>
      <w:r w:rsidRPr="00907253">
        <w:rPr>
          <w:b w:val="0"/>
          <w:noProof/>
          <w:sz w:val="18"/>
        </w:rPr>
        <w:fldChar w:fldCharType="end"/>
      </w:r>
    </w:p>
    <w:p w:rsidR="00907253" w:rsidRDefault="00907253">
      <w:pPr>
        <w:pStyle w:val="TOC3"/>
        <w:rPr>
          <w:rFonts w:asciiTheme="minorHAnsi" w:eastAsiaTheme="minorEastAsia" w:hAnsiTheme="minorHAnsi" w:cstheme="minorBidi"/>
          <w:b w:val="0"/>
          <w:noProof/>
          <w:kern w:val="0"/>
          <w:szCs w:val="22"/>
        </w:rPr>
      </w:pPr>
      <w:r>
        <w:rPr>
          <w:noProof/>
        </w:rPr>
        <w:t>Endnote 4—Amendment history</w:t>
      </w:r>
      <w:r w:rsidRPr="00907253">
        <w:rPr>
          <w:b w:val="0"/>
          <w:noProof/>
          <w:sz w:val="18"/>
        </w:rPr>
        <w:tab/>
      </w:r>
      <w:r w:rsidRPr="00907253">
        <w:rPr>
          <w:b w:val="0"/>
          <w:noProof/>
          <w:sz w:val="18"/>
        </w:rPr>
        <w:fldChar w:fldCharType="begin"/>
      </w:r>
      <w:r w:rsidRPr="00907253">
        <w:rPr>
          <w:b w:val="0"/>
          <w:noProof/>
          <w:sz w:val="18"/>
        </w:rPr>
        <w:instrText xml:space="preserve"> PAGEREF _Toc450732127 \h </w:instrText>
      </w:r>
      <w:r w:rsidRPr="00907253">
        <w:rPr>
          <w:b w:val="0"/>
          <w:noProof/>
          <w:sz w:val="18"/>
        </w:rPr>
      </w:r>
      <w:r w:rsidRPr="00907253">
        <w:rPr>
          <w:b w:val="0"/>
          <w:noProof/>
          <w:sz w:val="18"/>
        </w:rPr>
        <w:fldChar w:fldCharType="separate"/>
      </w:r>
      <w:r w:rsidRPr="00907253">
        <w:rPr>
          <w:b w:val="0"/>
          <w:noProof/>
          <w:sz w:val="18"/>
        </w:rPr>
        <w:t>39</w:t>
      </w:r>
      <w:r w:rsidRPr="00907253">
        <w:rPr>
          <w:b w:val="0"/>
          <w:noProof/>
          <w:sz w:val="18"/>
        </w:rPr>
        <w:fldChar w:fldCharType="end"/>
      </w:r>
    </w:p>
    <w:p w:rsidR="00817DBD" w:rsidRPr="00787808" w:rsidRDefault="0031422E" w:rsidP="00817DBD">
      <w:pPr>
        <w:sectPr w:rsidR="00817DBD" w:rsidRPr="00787808" w:rsidSect="0083052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787808">
        <w:fldChar w:fldCharType="end"/>
      </w:r>
    </w:p>
    <w:p w:rsidR="00337EE8" w:rsidRPr="00787808" w:rsidRDefault="00DE6DA8" w:rsidP="00817DBD">
      <w:pPr>
        <w:pStyle w:val="LongT"/>
      </w:pPr>
      <w:r w:rsidRPr="00787808">
        <w:lastRenderedPageBreak/>
        <w:t>An Act</w:t>
      </w:r>
      <w:r w:rsidR="00337EE8" w:rsidRPr="00787808">
        <w:t xml:space="preserve"> to deal with transitional and consequential matters in connection with the </w:t>
      </w:r>
      <w:r w:rsidR="00337EE8" w:rsidRPr="00787808">
        <w:rPr>
          <w:i/>
        </w:rPr>
        <w:t>Screen Australia Act 2008</w:t>
      </w:r>
      <w:r w:rsidR="00337EE8" w:rsidRPr="00787808">
        <w:t xml:space="preserve"> and the </w:t>
      </w:r>
      <w:r w:rsidR="00B90D43" w:rsidRPr="00787808">
        <w:rPr>
          <w:i/>
        </w:rPr>
        <w:t>National Film and Sound Archive of Australia Act 2008</w:t>
      </w:r>
      <w:r w:rsidR="00337EE8" w:rsidRPr="00787808">
        <w:t>, and for related purposes</w:t>
      </w:r>
    </w:p>
    <w:p w:rsidR="00337EE8" w:rsidRPr="00787808" w:rsidRDefault="00337EE8">
      <w:pPr>
        <w:pStyle w:val="ActHead5"/>
      </w:pPr>
      <w:bookmarkStart w:id="1" w:name="_Toc450732098"/>
      <w:r w:rsidRPr="00787808">
        <w:rPr>
          <w:rStyle w:val="CharSectno"/>
        </w:rPr>
        <w:t>1</w:t>
      </w:r>
      <w:r w:rsidRPr="00787808">
        <w:t xml:space="preserve">  Short title</w:t>
      </w:r>
      <w:bookmarkEnd w:id="1"/>
    </w:p>
    <w:p w:rsidR="00337EE8" w:rsidRPr="00787808" w:rsidRDefault="00337EE8">
      <w:pPr>
        <w:pStyle w:val="subsection"/>
      </w:pPr>
      <w:r w:rsidRPr="00787808">
        <w:tab/>
      </w:r>
      <w:r w:rsidRPr="00787808">
        <w:tab/>
        <w:t xml:space="preserve">This Act may be cited as the </w:t>
      </w:r>
      <w:r w:rsidRPr="00787808">
        <w:rPr>
          <w:i/>
        </w:rPr>
        <w:t xml:space="preserve">Screen Australia and the </w:t>
      </w:r>
      <w:r w:rsidR="00F24F80" w:rsidRPr="00787808">
        <w:rPr>
          <w:i/>
        </w:rPr>
        <w:t>National Film and Sound Archive of Australia</w:t>
      </w:r>
      <w:r w:rsidRPr="00787808">
        <w:rPr>
          <w:i/>
        </w:rPr>
        <w:t xml:space="preserve"> (Consequential and Transitional Provisions) Act 2008</w:t>
      </w:r>
      <w:r w:rsidRPr="00787808">
        <w:t>.</w:t>
      </w:r>
    </w:p>
    <w:p w:rsidR="00337EE8" w:rsidRPr="00787808" w:rsidRDefault="00337EE8">
      <w:pPr>
        <w:pStyle w:val="ActHead5"/>
      </w:pPr>
      <w:bookmarkStart w:id="2" w:name="_Toc450732099"/>
      <w:r w:rsidRPr="00787808">
        <w:rPr>
          <w:rStyle w:val="CharSectno"/>
        </w:rPr>
        <w:t>2</w:t>
      </w:r>
      <w:r w:rsidRPr="00787808">
        <w:t xml:space="preserve">  Commencement</w:t>
      </w:r>
      <w:bookmarkEnd w:id="2"/>
    </w:p>
    <w:p w:rsidR="00337EE8" w:rsidRPr="00787808" w:rsidRDefault="00337EE8">
      <w:pPr>
        <w:pStyle w:val="subsection"/>
      </w:pPr>
      <w:r w:rsidRPr="00787808">
        <w:tab/>
        <w:t>(1)</w:t>
      </w:r>
      <w:r w:rsidRPr="00787808">
        <w:tab/>
        <w:t>Each provision of this Act specified in column 1 of the table commences, or is taken to have commenced, in accordance with column 2 of the table. Any other statement in column 2 has effect according to its terms.</w:t>
      </w:r>
    </w:p>
    <w:p w:rsidR="00337EE8" w:rsidRPr="00787808" w:rsidRDefault="00337EE8" w:rsidP="003A0F8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37EE8" w:rsidRPr="00787808" w:rsidTr="003A0F88">
        <w:trPr>
          <w:tblHeader/>
        </w:trPr>
        <w:tc>
          <w:tcPr>
            <w:tcW w:w="7111" w:type="dxa"/>
            <w:gridSpan w:val="3"/>
            <w:tcBorders>
              <w:top w:val="single" w:sz="12" w:space="0" w:color="auto"/>
              <w:bottom w:val="single" w:sz="6" w:space="0" w:color="auto"/>
            </w:tcBorders>
            <w:shd w:val="clear" w:color="auto" w:fill="auto"/>
          </w:tcPr>
          <w:p w:rsidR="00337EE8" w:rsidRPr="00787808" w:rsidRDefault="00337EE8" w:rsidP="003A0F88">
            <w:pPr>
              <w:pStyle w:val="TableHeading"/>
            </w:pPr>
            <w:r w:rsidRPr="00787808">
              <w:t>Commencement information</w:t>
            </w:r>
          </w:p>
        </w:tc>
      </w:tr>
      <w:tr w:rsidR="00337EE8" w:rsidRPr="00787808" w:rsidTr="003A0F88">
        <w:trPr>
          <w:tblHeader/>
        </w:trPr>
        <w:tc>
          <w:tcPr>
            <w:tcW w:w="1701" w:type="dxa"/>
            <w:tcBorders>
              <w:top w:val="single" w:sz="6" w:space="0" w:color="auto"/>
              <w:bottom w:val="single" w:sz="6" w:space="0" w:color="auto"/>
            </w:tcBorders>
            <w:shd w:val="clear" w:color="auto" w:fill="auto"/>
          </w:tcPr>
          <w:p w:rsidR="00337EE8" w:rsidRPr="00787808" w:rsidRDefault="00337EE8">
            <w:pPr>
              <w:pStyle w:val="Tabletext"/>
              <w:keepNext/>
              <w:rPr>
                <w:b/>
              </w:rPr>
            </w:pPr>
            <w:r w:rsidRPr="00787808">
              <w:rPr>
                <w:b/>
              </w:rPr>
              <w:t>Column 1</w:t>
            </w:r>
          </w:p>
        </w:tc>
        <w:tc>
          <w:tcPr>
            <w:tcW w:w="3828" w:type="dxa"/>
            <w:tcBorders>
              <w:top w:val="single" w:sz="6" w:space="0" w:color="auto"/>
              <w:bottom w:val="single" w:sz="6" w:space="0" w:color="auto"/>
            </w:tcBorders>
            <w:shd w:val="clear" w:color="auto" w:fill="auto"/>
          </w:tcPr>
          <w:p w:rsidR="00337EE8" w:rsidRPr="00787808" w:rsidRDefault="00337EE8">
            <w:pPr>
              <w:pStyle w:val="Tabletext"/>
              <w:keepNext/>
              <w:rPr>
                <w:b/>
              </w:rPr>
            </w:pPr>
            <w:r w:rsidRPr="00787808">
              <w:rPr>
                <w:b/>
              </w:rPr>
              <w:t>Column 2</w:t>
            </w:r>
          </w:p>
        </w:tc>
        <w:tc>
          <w:tcPr>
            <w:tcW w:w="1582" w:type="dxa"/>
            <w:tcBorders>
              <w:top w:val="single" w:sz="6" w:space="0" w:color="auto"/>
              <w:bottom w:val="single" w:sz="6" w:space="0" w:color="auto"/>
            </w:tcBorders>
            <w:shd w:val="clear" w:color="auto" w:fill="auto"/>
          </w:tcPr>
          <w:p w:rsidR="00337EE8" w:rsidRPr="00787808" w:rsidRDefault="00337EE8">
            <w:pPr>
              <w:pStyle w:val="Tabletext"/>
              <w:keepNext/>
              <w:rPr>
                <w:b/>
              </w:rPr>
            </w:pPr>
            <w:r w:rsidRPr="00787808">
              <w:rPr>
                <w:b/>
              </w:rPr>
              <w:t>Column 3</w:t>
            </w:r>
          </w:p>
        </w:tc>
      </w:tr>
      <w:tr w:rsidR="00337EE8" w:rsidRPr="00787808" w:rsidTr="003A0F88">
        <w:trPr>
          <w:tblHeader/>
        </w:trPr>
        <w:tc>
          <w:tcPr>
            <w:tcW w:w="1701" w:type="dxa"/>
            <w:tcBorders>
              <w:top w:val="single" w:sz="6" w:space="0" w:color="auto"/>
              <w:bottom w:val="single" w:sz="12" w:space="0" w:color="auto"/>
            </w:tcBorders>
            <w:shd w:val="clear" w:color="auto" w:fill="auto"/>
          </w:tcPr>
          <w:p w:rsidR="00337EE8" w:rsidRPr="00787808" w:rsidRDefault="00337EE8">
            <w:pPr>
              <w:pStyle w:val="Tabletext"/>
              <w:keepNext/>
              <w:rPr>
                <w:b/>
              </w:rPr>
            </w:pPr>
            <w:r w:rsidRPr="00787808">
              <w:rPr>
                <w:b/>
              </w:rPr>
              <w:t>Provision(s)</w:t>
            </w:r>
          </w:p>
        </w:tc>
        <w:tc>
          <w:tcPr>
            <w:tcW w:w="3828" w:type="dxa"/>
            <w:tcBorders>
              <w:top w:val="single" w:sz="6" w:space="0" w:color="auto"/>
              <w:bottom w:val="single" w:sz="12" w:space="0" w:color="auto"/>
            </w:tcBorders>
            <w:shd w:val="clear" w:color="auto" w:fill="auto"/>
          </w:tcPr>
          <w:p w:rsidR="00337EE8" w:rsidRPr="00787808" w:rsidRDefault="00337EE8">
            <w:pPr>
              <w:pStyle w:val="Tabletext"/>
              <w:keepNext/>
              <w:rPr>
                <w:b/>
              </w:rPr>
            </w:pPr>
            <w:r w:rsidRPr="00787808">
              <w:rPr>
                <w:b/>
              </w:rPr>
              <w:t>Commencement</w:t>
            </w:r>
          </w:p>
        </w:tc>
        <w:tc>
          <w:tcPr>
            <w:tcW w:w="1582" w:type="dxa"/>
            <w:tcBorders>
              <w:top w:val="single" w:sz="6" w:space="0" w:color="auto"/>
              <w:bottom w:val="single" w:sz="12" w:space="0" w:color="auto"/>
            </w:tcBorders>
            <w:shd w:val="clear" w:color="auto" w:fill="auto"/>
          </w:tcPr>
          <w:p w:rsidR="00337EE8" w:rsidRPr="00787808" w:rsidRDefault="00337EE8">
            <w:pPr>
              <w:pStyle w:val="Tabletext"/>
              <w:keepNext/>
              <w:rPr>
                <w:b/>
              </w:rPr>
            </w:pPr>
            <w:r w:rsidRPr="00787808">
              <w:rPr>
                <w:b/>
              </w:rPr>
              <w:t>Date/Details</w:t>
            </w:r>
          </w:p>
        </w:tc>
      </w:tr>
      <w:tr w:rsidR="00337EE8" w:rsidRPr="00787808" w:rsidTr="003A0F88">
        <w:tc>
          <w:tcPr>
            <w:tcW w:w="1701" w:type="dxa"/>
            <w:tcBorders>
              <w:top w:val="single" w:sz="12" w:space="0" w:color="auto"/>
            </w:tcBorders>
            <w:shd w:val="clear" w:color="auto" w:fill="auto"/>
          </w:tcPr>
          <w:p w:rsidR="00337EE8" w:rsidRPr="00787808" w:rsidRDefault="00337EE8">
            <w:pPr>
              <w:pStyle w:val="Tabletext"/>
            </w:pPr>
            <w:r w:rsidRPr="00787808">
              <w:t>1.  Sections</w:t>
            </w:r>
            <w:r w:rsidR="00787808">
              <w:t> </w:t>
            </w:r>
            <w:r w:rsidRPr="00787808">
              <w:t>1 to 4 and anything in this Act not elsewhere covered by this table</w:t>
            </w:r>
          </w:p>
        </w:tc>
        <w:tc>
          <w:tcPr>
            <w:tcW w:w="3828" w:type="dxa"/>
            <w:tcBorders>
              <w:top w:val="single" w:sz="12" w:space="0" w:color="auto"/>
            </w:tcBorders>
            <w:shd w:val="clear" w:color="auto" w:fill="auto"/>
          </w:tcPr>
          <w:p w:rsidR="00337EE8" w:rsidRPr="00787808" w:rsidRDefault="00337EE8">
            <w:pPr>
              <w:pStyle w:val="Tabletext"/>
            </w:pPr>
            <w:r w:rsidRPr="00787808">
              <w:t>The day on which this Act receives the Royal Assent.</w:t>
            </w:r>
          </w:p>
        </w:tc>
        <w:tc>
          <w:tcPr>
            <w:tcW w:w="1582" w:type="dxa"/>
            <w:tcBorders>
              <w:top w:val="single" w:sz="12" w:space="0" w:color="auto"/>
            </w:tcBorders>
            <w:shd w:val="clear" w:color="auto" w:fill="auto"/>
          </w:tcPr>
          <w:p w:rsidR="00337EE8" w:rsidRPr="00787808" w:rsidRDefault="008D4889">
            <w:pPr>
              <w:pStyle w:val="Tabletext"/>
            </w:pPr>
            <w:r w:rsidRPr="00787808">
              <w:t>20</w:t>
            </w:r>
            <w:r w:rsidR="00787808">
              <w:t> </w:t>
            </w:r>
            <w:r w:rsidRPr="00787808">
              <w:t>March 2008</w:t>
            </w:r>
          </w:p>
        </w:tc>
      </w:tr>
      <w:tr w:rsidR="00337EE8" w:rsidRPr="00787808" w:rsidTr="003A0F88">
        <w:tc>
          <w:tcPr>
            <w:tcW w:w="1701" w:type="dxa"/>
            <w:tcBorders>
              <w:bottom w:val="single" w:sz="2" w:space="0" w:color="auto"/>
            </w:tcBorders>
            <w:shd w:val="clear" w:color="auto" w:fill="auto"/>
          </w:tcPr>
          <w:p w:rsidR="00337EE8" w:rsidRPr="00787808" w:rsidRDefault="00337EE8">
            <w:pPr>
              <w:pStyle w:val="Tabletext"/>
            </w:pPr>
            <w:r w:rsidRPr="00787808">
              <w:t>2.  Schedule</w:t>
            </w:r>
            <w:r w:rsidR="00787808">
              <w:t> </w:t>
            </w:r>
            <w:r w:rsidRPr="00787808">
              <w:t>1</w:t>
            </w:r>
          </w:p>
        </w:tc>
        <w:tc>
          <w:tcPr>
            <w:tcW w:w="3828" w:type="dxa"/>
            <w:tcBorders>
              <w:bottom w:val="single" w:sz="2" w:space="0" w:color="auto"/>
            </w:tcBorders>
            <w:shd w:val="clear" w:color="auto" w:fill="auto"/>
          </w:tcPr>
          <w:p w:rsidR="00337EE8" w:rsidRPr="00787808" w:rsidRDefault="00337EE8">
            <w:pPr>
              <w:pStyle w:val="Tabletext"/>
            </w:pPr>
            <w:r w:rsidRPr="00787808">
              <w:t>At the same time as subsection</w:t>
            </w:r>
            <w:r w:rsidR="00787808">
              <w:t> </w:t>
            </w:r>
            <w:r w:rsidRPr="00787808">
              <w:t xml:space="preserve">5(1) of the </w:t>
            </w:r>
            <w:r w:rsidRPr="00787808">
              <w:rPr>
                <w:i/>
              </w:rPr>
              <w:t>Screen Australia Act 2008</w:t>
            </w:r>
            <w:r w:rsidRPr="00787808">
              <w:t xml:space="preserve"> commences.</w:t>
            </w:r>
          </w:p>
        </w:tc>
        <w:tc>
          <w:tcPr>
            <w:tcW w:w="1582" w:type="dxa"/>
            <w:tcBorders>
              <w:bottom w:val="single" w:sz="2" w:space="0" w:color="auto"/>
            </w:tcBorders>
            <w:shd w:val="clear" w:color="auto" w:fill="auto"/>
          </w:tcPr>
          <w:p w:rsidR="00337EE8" w:rsidRPr="00787808" w:rsidRDefault="00E42D4A">
            <w:pPr>
              <w:pStyle w:val="Tabletext"/>
            </w:pPr>
            <w:r w:rsidRPr="00787808">
              <w:t>1</w:t>
            </w:r>
            <w:r w:rsidR="00787808">
              <w:t> </w:t>
            </w:r>
            <w:r w:rsidRPr="00787808">
              <w:t>July 2008</w:t>
            </w:r>
          </w:p>
        </w:tc>
      </w:tr>
      <w:tr w:rsidR="008D4889" w:rsidRPr="00787808" w:rsidTr="003A0F88">
        <w:tc>
          <w:tcPr>
            <w:tcW w:w="1701" w:type="dxa"/>
            <w:tcBorders>
              <w:top w:val="single" w:sz="2" w:space="0" w:color="auto"/>
              <w:bottom w:val="single" w:sz="12" w:space="0" w:color="auto"/>
            </w:tcBorders>
            <w:shd w:val="clear" w:color="auto" w:fill="auto"/>
          </w:tcPr>
          <w:p w:rsidR="008D4889" w:rsidRPr="00787808" w:rsidRDefault="008D4889">
            <w:pPr>
              <w:pStyle w:val="Tabletext"/>
            </w:pPr>
            <w:r w:rsidRPr="00787808">
              <w:t>3.  Schedule</w:t>
            </w:r>
            <w:r w:rsidR="00787808">
              <w:t> </w:t>
            </w:r>
            <w:r w:rsidRPr="00787808">
              <w:t>2</w:t>
            </w:r>
          </w:p>
        </w:tc>
        <w:tc>
          <w:tcPr>
            <w:tcW w:w="3828" w:type="dxa"/>
            <w:tcBorders>
              <w:top w:val="single" w:sz="2" w:space="0" w:color="auto"/>
              <w:bottom w:val="single" w:sz="12" w:space="0" w:color="auto"/>
            </w:tcBorders>
            <w:shd w:val="clear" w:color="auto" w:fill="auto"/>
          </w:tcPr>
          <w:p w:rsidR="008D4889" w:rsidRPr="00787808" w:rsidRDefault="008D4889">
            <w:pPr>
              <w:pStyle w:val="Tabletext"/>
            </w:pPr>
            <w:r w:rsidRPr="00787808">
              <w:t>The day on which this Act receives the Royal Assent.</w:t>
            </w:r>
          </w:p>
        </w:tc>
        <w:tc>
          <w:tcPr>
            <w:tcW w:w="1582" w:type="dxa"/>
            <w:tcBorders>
              <w:top w:val="single" w:sz="2" w:space="0" w:color="auto"/>
              <w:bottom w:val="single" w:sz="12" w:space="0" w:color="auto"/>
            </w:tcBorders>
            <w:shd w:val="clear" w:color="auto" w:fill="auto"/>
          </w:tcPr>
          <w:p w:rsidR="008D4889" w:rsidRPr="00787808" w:rsidRDefault="008D4889" w:rsidP="00A629CA">
            <w:pPr>
              <w:pStyle w:val="Tabletext"/>
            </w:pPr>
            <w:r w:rsidRPr="00787808">
              <w:t>20</w:t>
            </w:r>
            <w:r w:rsidR="00787808">
              <w:t> </w:t>
            </w:r>
            <w:r w:rsidRPr="00787808">
              <w:t>March 2008</w:t>
            </w:r>
          </w:p>
        </w:tc>
      </w:tr>
    </w:tbl>
    <w:p w:rsidR="00337EE8" w:rsidRPr="00787808" w:rsidRDefault="00337EE8">
      <w:pPr>
        <w:pStyle w:val="notetext"/>
      </w:pPr>
      <w:r w:rsidRPr="00787808">
        <w:t>Note:</w:t>
      </w:r>
      <w:r w:rsidRPr="00787808">
        <w:tab/>
      </w:r>
      <w:r w:rsidRPr="00787808">
        <w:rPr>
          <w:snapToGrid w:val="0"/>
          <w:lang w:eastAsia="en-US"/>
        </w:rPr>
        <w:t>This table relates only to the provisions of this Act as originally passed by both Houses of the Parliament and assented to. It will not be expanded to deal with provisions inserted in this Act after assent.</w:t>
      </w:r>
    </w:p>
    <w:p w:rsidR="00337EE8" w:rsidRPr="00787808" w:rsidRDefault="00337EE8">
      <w:pPr>
        <w:pStyle w:val="subsection"/>
      </w:pPr>
      <w:r w:rsidRPr="00787808">
        <w:lastRenderedPageBreak/>
        <w:tab/>
        <w:t>(2)</w:t>
      </w:r>
      <w:r w:rsidRPr="00787808">
        <w:tab/>
        <w:t>Column 3 of the table contains additional information that is not part of this Act. Information in this column may be added to or edited in any published version of this Act.</w:t>
      </w:r>
    </w:p>
    <w:p w:rsidR="00337EE8" w:rsidRPr="00787808" w:rsidRDefault="00337EE8">
      <w:pPr>
        <w:pStyle w:val="ActHead5"/>
      </w:pPr>
      <w:bookmarkStart w:id="3" w:name="_Toc450732100"/>
      <w:r w:rsidRPr="00787808">
        <w:rPr>
          <w:rStyle w:val="CharSectno"/>
        </w:rPr>
        <w:t>3</w:t>
      </w:r>
      <w:r w:rsidRPr="00787808">
        <w:t xml:space="preserve">  Schedule(s)</w:t>
      </w:r>
      <w:bookmarkEnd w:id="3"/>
    </w:p>
    <w:p w:rsidR="00337EE8" w:rsidRPr="00787808" w:rsidRDefault="00337EE8">
      <w:pPr>
        <w:pStyle w:val="subsection"/>
      </w:pPr>
      <w:r w:rsidRPr="00787808">
        <w:tab/>
      </w:r>
      <w:r w:rsidRPr="00787808">
        <w:tab/>
        <w:t>Each Act that is specified in a Schedule to this Act is amended or repealed as set out in the applicable items in the Schedule concerned, and any other item in a Schedule to this Act has effect according to its terms.</w:t>
      </w:r>
    </w:p>
    <w:p w:rsidR="00337EE8" w:rsidRPr="00787808" w:rsidRDefault="00337EE8">
      <w:pPr>
        <w:pStyle w:val="ActHead5"/>
      </w:pPr>
      <w:bookmarkStart w:id="4" w:name="_Toc450732101"/>
      <w:r w:rsidRPr="00787808">
        <w:rPr>
          <w:rStyle w:val="CharSectno"/>
        </w:rPr>
        <w:t>4</w:t>
      </w:r>
      <w:r w:rsidRPr="00787808">
        <w:t xml:space="preserve">  Extended geographic application of this Act</w:t>
      </w:r>
      <w:bookmarkEnd w:id="4"/>
    </w:p>
    <w:p w:rsidR="00337EE8" w:rsidRPr="00787808" w:rsidRDefault="00337EE8">
      <w:pPr>
        <w:pStyle w:val="subsection"/>
      </w:pPr>
      <w:r w:rsidRPr="00787808">
        <w:tab/>
        <w:t>(1)</w:t>
      </w:r>
      <w:r w:rsidRPr="00787808">
        <w:tab/>
        <w:t>This Act extends to every external Territory.</w:t>
      </w:r>
    </w:p>
    <w:p w:rsidR="00337EE8" w:rsidRPr="00787808" w:rsidRDefault="00337EE8">
      <w:pPr>
        <w:pStyle w:val="subsection"/>
      </w:pPr>
      <w:r w:rsidRPr="00787808">
        <w:tab/>
        <w:t>(2)</w:t>
      </w:r>
      <w:r w:rsidRPr="00787808">
        <w:tab/>
        <w:t>This Act applies both within and outside Australia.</w:t>
      </w:r>
    </w:p>
    <w:p w:rsidR="00337EE8" w:rsidRPr="00787808" w:rsidRDefault="00337EE8" w:rsidP="00447624">
      <w:pPr>
        <w:pStyle w:val="ActHead6"/>
        <w:pageBreakBefore/>
      </w:pPr>
      <w:bookmarkStart w:id="5" w:name="_Toc450732102"/>
      <w:r w:rsidRPr="00787808">
        <w:rPr>
          <w:rStyle w:val="CharAmSchNo"/>
        </w:rPr>
        <w:lastRenderedPageBreak/>
        <w:t>Schedule</w:t>
      </w:r>
      <w:r w:rsidR="00787808">
        <w:rPr>
          <w:rStyle w:val="CharAmSchNo"/>
        </w:rPr>
        <w:t> </w:t>
      </w:r>
      <w:r w:rsidRPr="00787808">
        <w:rPr>
          <w:rStyle w:val="CharAmSchNo"/>
        </w:rPr>
        <w:t>1</w:t>
      </w:r>
      <w:r w:rsidRPr="00787808">
        <w:t>—</w:t>
      </w:r>
      <w:r w:rsidRPr="00787808">
        <w:rPr>
          <w:rStyle w:val="CharAmSchText"/>
        </w:rPr>
        <w:t>Repeal and consequential amendments</w:t>
      </w:r>
      <w:bookmarkEnd w:id="5"/>
    </w:p>
    <w:p w:rsidR="00337EE8" w:rsidRPr="00787808" w:rsidRDefault="00337EE8">
      <w:pPr>
        <w:pStyle w:val="ActHead7"/>
      </w:pPr>
      <w:bookmarkStart w:id="6" w:name="_Toc450732103"/>
      <w:r w:rsidRPr="00787808">
        <w:rPr>
          <w:rStyle w:val="CharAmPartNo"/>
        </w:rPr>
        <w:t>Part</w:t>
      </w:r>
      <w:r w:rsidR="00787808">
        <w:rPr>
          <w:rStyle w:val="CharAmPartNo"/>
        </w:rPr>
        <w:t> </w:t>
      </w:r>
      <w:r w:rsidRPr="00787808">
        <w:rPr>
          <w:rStyle w:val="CharAmPartNo"/>
        </w:rPr>
        <w:t>1</w:t>
      </w:r>
      <w:r w:rsidRPr="00787808">
        <w:t>—</w:t>
      </w:r>
      <w:r w:rsidRPr="00787808">
        <w:rPr>
          <w:rStyle w:val="CharAmPartText"/>
        </w:rPr>
        <w:t>Repeal of the Australian Film Commission Act 1975</w:t>
      </w:r>
      <w:bookmarkEnd w:id="6"/>
    </w:p>
    <w:p w:rsidR="00337EE8" w:rsidRPr="00787808" w:rsidRDefault="00337EE8">
      <w:pPr>
        <w:pStyle w:val="ActHead9"/>
        <w:rPr>
          <w:i w:val="0"/>
        </w:rPr>
      </w:pPr>
      <w:bookmarkStart w:id="7" w:name="_Toc450732104"/>
      <w:r w:rsidRPr="00787808">
        <w:t>Australian Film Commission Act 1975</w:t>
      </w:r>
      <w:bookmarkEnd w:id="7"/>
    </w:p>
    <w:p w:rsidR="00337EE8" w:rsidRPr="00787808" w:rsidRDefault="00337EE8">
      <w:pPr>
        <w:pStyle w:val="ItemHead"/>
      </w:pPr>
      <w:r w:rsidRPr="00787808">
        <w:t>1  The whole of the Act</w:t>
      </w:r>
    </w:p>
    <w:p w:rsidR="00337EE8" w:rsidRPr="00787808" w:rsidRDefault="00337EE8">
      <w:pPr>
        <w:pStyle w:val="Item"/>
      </w:pPr>
      <w:r w:rsidRPr="00787808">
        <w:t>Repeal the Act.</w:t>
      </w:r>
    </w:p>
    <w:p w:rsidR="00337EE8" w:rsidRPr="00787808" w:rsidRDefault="00337EE8" w:rsidP="00C21F6D">
      <w:pPr>
        <w:pStyle w:val="ActHead7"/>
        <w:pageBreakBefore/>
      </w:pPr>
      <w:bookmarkStart w:id="8" w:name="_Toc450732105"/>
      <w:r w:rsidRPr="00787808">
        <w:rPr>
          <w:rStyle w:val="CharAmPartNo"/>
        </w:rPr>
        <w:lastRenderedPageBreak/>
        <w:t>Part</w:t>
      </w:r>
      <w:r w:rsidR="00787808">
        <w:rPr>
          <w:rStyle w:val="CharAmPartNo"/>
        </w:rPr>
        <w:t> </w:t>
      </w:r>
      <w:r w:rsidRPr="00787808">
        <w:rPr>
          <w:rStyle w:val="CharAmPartNo"/>
        </w:rPr>
        <w:t>2</w:t>
      </w:r>
      <w:r w:rsidRPr="00787808">
        <w:t>—</w:t>
      </w:r>
      <w:r w:rsidRPr="00787808">
        <w:rPr>
          <w:rStyle w:val="CharAmPartText"/>
        </w:rPr>
        <w:t>Consequential amendments</w:t>
      </w:r>
      <w:bookmarkEnd w:id="8"/>
    </w:p>
    <w:p w:rsidR="00337EE8" w:rsidRPr="00787808" w:rsidRDefault="00337EE8">
      <w:pPr>
        <w:pStyle w:val="ActHead9"/>
        <w:rPr>
          <w:i w:val="0"/>
        </w:rPr>
      </w:pPr>
      <w:bookmarkStart w:id="9" w:name="_Toc450732106"/>
      <w:r w:rsidRPr="00787808">
        <w:t>Australian Film, Television and Radio School Act 1973</w:t>
      </w:r>
      <w:bookmarkEnd w:id="9"/>
    </w:p>
    <w:p w:rsidR="00337EE8" w:rsidRPr="00787808" w:rsidRDefault="00337EE8">
      <w:pPr>
        <w:pStyle w:val="ItemHead"/>
      </w:pPr>
      <w:r w:rsidRPr="00787808">
        <w:t>2  At the end of Part</w:t>
      </w:r>
      <w:r w:rsidR="00163012" w:rsidRPr="00787808">
        <w:t> </w:t>
      </w:r>
      <w:r w:rsidRPr="00787808">
        <w:t>VI</w:t>
      </w:r>
    </w:p>
    <w:p w:rsidR="00337EE8" w:rsidRPr="00787808" w:rsidRDefault="00337EE8">
      <w:pPr>
        <w:pStyle w:val="Item"/>
      </w:pPr>
      <w:r w:rsidRPr="00787808">
        <w:t>Add:</w:t>
      </w:r>
    </w:p>
    <w:p w:rsidR="00337EE8" w:rsidRPr="00787808" w:rsidRDefault="00337EE8">
      <w:pPr>
        <w:pStyle w:val="ActHead5"/>
      </w:pPr>
      <w:bookmarkStart w:id="10" w:name="_Toc450732107"/>
      <w:r w:rsidRPr="00787808">
        <w:rPr>
          <w:rStyle w:val="CharSectno"/>
        </w:rPr>
        <w:t>35A</w:t>
      </w:r>
      <w:r w:rsidRPr="00787808">
        <w:t xml:space="preserve">  Long service leave for the School’s employees</w:t>
      </w:r>
      <w:bookmarkEnd w:id="10"/>
    </w:p>
    <w:p w:rsidR="00337EE8" w:rsidRPr="00787808" w:rsidRDefault="00337EE8">
      <w:pPr>
        <w:pStyle w:val="subsection"/>
      </w:pPr>
      <w:r w:rsidRPr="00787808">
        <w:tab/>
      </w:r>
      <w:r w:rsidRPr="00787808">
        <w:tab/>
        <w:t xml:space="preserve">The </w:t>
      </w:r>
      <w:r w:rsidRPr="00787808">
        <w:rPr>
          <w:i/>
        </w:rPr>
        <w:t>Long Service Leave (Commonwealth Employees) Act 1976</w:t>
      </w:r>
      <w:r w:rsidRPr="00787808">
        <w:t xml:space="preserve"> applies to a person employed by the School under section</w:t>
      </w:r>
      <w:r w:rsidR="00787808">
        <w:t> </w:t>
      </w:r>
      <w:r w:rsidRPr="00787808">
        <w:t xml:space="preserve">34 of this Act as if the person were engaged under the </w:t>
      </w:r>
      <w:r w:rsidRPr="00787808">
        <w:rPr>
          <w:i/>
        </w:rPr>
        <w:t>Public Service Act 1999</w:t>
      </w:r>
      <w:r w:rsidRPr="00787808">
        <w:t>.</w:t>
      </w:r>
    </w:p>
    <w:p w:rsidR="00337EE8" w:rsidRPr="00787808" w:rsidRDefault="00337EE8">
      <w:pPr>
        <w:pStyle w:val="ActHead9"/>
        <w:rPr>
          <w:i w:val="0"/>
        </w:rPr>
      </w:pPr>
      <w:bookmarkStart w:id="11" w:name="_Toc450732108"/>
      <w:r w:rsidRPr="00787808">
        <w:t>Income Tax Assessment Act 1997</w:t>
      </w:r>
      <w:bookmarkEnd w:id="11"/>
    </w:p>
    <w:p w:rsidR="00337EE8" w:rsidRPr="00787808" w:rsidRDefault="00337EE8">
      <w:pPr>
        <w:pStyle w:val="ItemHead"/>
      </w:pPr>
      <w:r w:rsidRPr="00787808">
        <w:t>3  Subsection</w:t>
      </w:r>
      <w:r w:rsidR="00787808">
        <w:t> </w:t>
      </w:r>
      <w:r w:rsidRPr="00787808">
        <w:t>376</w:t>
      </w:r>
      <w:r w:rsidR="00787808">
        <w:noBreakHyphen/>
      </w:r>
      <w:r w:rsidRPr="00787808">
        <w:t>55(3)</w:t>
      </w:r>
    </w:p>
    <w:p w:rsidR="00337EE8" w:rsidRPr="00787808" w:rsidRDefault="00337EE8">
      <w:pPr>
        <w:pStyle w:val="Item"/>
      </w:pPr>
      <w:r w:rsidRPr="00787808">
        <w:t>Omit all the words after “means”, substitute “Screen Australia”.</w:t>
      </w:r>
    </w:p>
    <w:p w:rsidR="00337EE8" w:rsidRPr="00787808" w:rsidRDefault="00337EE8">
      <w:pPr>
        <w:pStyle w:val="ItemHead"/>
      </w:pPr>
      <w:r w:rsidRPr="00787808">
        <w:t>4  After subparagraph</w:t>
      </w:r>
      <w:r w:rsidR="00787808">
        <w:t> </w:t>
      </w:r>
      <w:r w:rsidRPr="00787808">
        <w:t>376</w:t>
      </w:r>
      <w:r w:rsidR="00787808">
        <w:noBreakHyphen/>
      </w:r>
      <w:r w:rsidRPr="00787808">
        <w:t>170(4)(a)(iv)</w:t>
      </w:r>
    </w:p>
    <w:p w:rsidR="00337EE8" w:rsidRPr="00787808" w:rsidRDefault="00337EE8">
      <w:pPr>
        <w:pStyle w:val="Item"/>
      </w:pPr>
      <w:r w:rsidRPr="00787808">
        <w:t>Insert:</w:t>
      </w:r>
    </w:p>
    <w:p w:rsidR="00337EE8" w:rsidRPr="00787808" w:rsidRDefault="00337EE8">
      <w:pPr>
        <w:pStyle w:val="paragraphsub"/>
      </w:pPr>
      <w:r w:rsidRPr="00787808">
        <w:tab/>
        <w:t>(v)</w:t>
      </w:r>
      <w:r w:rsidRPr="00787808">
        <w:tab/>
        <w:t>Screen Australia;</w:t>
      </w:r>
    </w:p>
    <w:p w:rsidR="00337EE8" w:rsidRPr="00787808" w:rsidRDefault="00337EE8" w:rsidP="00C21F6D">
      <w:pPr>
        <w:pStyle w:val="ActHead6"/>
        <w:pageBreakBefore/>
      </w:pPr>
      <w:bookmarkStart w:id="12" w:name="_Toc450732109"/>
      <w:r w:rsidRPr="00787808">
        <w:rPr>
          <w:rStyle w:val="CharAmSchNo"/>
        </w:rPr>
        <w:lastRenderedPageBreak/>
        <w:t>Schedule</w:t>
      </w:r>
      <w:r w:rsidR="00787808">
        <w:rPr>
          <w:rStyle w:val="CharAmSchNo"/>
        </w:rPr>
        <w:t> </w:t>
      </w:r>
      <w:r w:rsidRPr="00787808">
        <w:rPr>
          <w:rStyle w:val="CharAmSchNo"/>
        </w:rPr>
        <w:t>2</w:t>
      </w:r>
      <w:r w:rsidRPr="00787808">
        <w:t>—</w:t>
      </w:r>
      <w:r w:rsidRPr="00787808">
        <w:rPr>
          <w:rStyle w:val="CharAmSchText"/>
        </w:rPr>
        <w:t>Transitional provisions</w:t>
      </w:r>
      <w:bookmarkEnd w:id="12"/>
    </w:p>
    <w:p w:rsidR="00337EE8" w:rsidRPr="00787808" w:rsidRDefault="00337EE8">
      <w:pPr>
        <w:pStyle w:val="ActHead7"/>
      </w:pPr>
      <w:bookmarkStart w:id="13" w:name="_Toc450732110"/>
      <w:r w:rsidRPr="00787808">
        <w:rPr>
          <w:rStyle w:val="CharAmPartNo"/>
        </w:rPr>
        <w:t>Part</w:t>
      </w:r>
      <w:r w:rsidR="00787808">
        <w:rPr>
          <w:rStyle w:val="CharAmPartNo"/>
        </w:rPr>
        <w:t> </w:t>
      </w:r>
      <w:r w:rsidRPr="00787808">
        <w:rPr>
          <w:rStyle w:val="CharAmPartNo"/>
        </w:rPr>
        <w:t>1</w:t>
      </w:r>
      <w:r w:rsidRPr="00787808">
        <w:t>—</w:t>
      </w:r>
      <w:r w:rsidRPr="00787808">
        <w:rPr>
          <w:rStyle w:val="CharAmPartText"/>
        </w:rPr>
        <w:t>Introduction</w:t>
      </w:r>
      <w:bookmarkEnd w:id="13"/>
    </w:p>
    <w:p w:rsidR="00337EE8" w:rsidRPr="00787808" w:rsidRDefault="00337EE8">
      <w:pPr>
        <w:pStyle w:val="ItemHead"/>
      </w:pPr>
      <w:r w:rsidRPr="00787808">
        <w:t>1  Definitions</w:t>
      </w:r>
    </w:p>
    <w:p w:rsidR="00337EE8" w:rsidRPr="00787808" w:rsidRDefault="00337EE8">
      <w:pPr>
        <w:pStyle w:val="Item"/>
      </w:pPr>
      <w:r w:rsidRPr="00787808">
        <w:t>In this Schedule:</w:t>
      </w:r>
    </w:p>
    <w:p w:rsidR="00337EE8" w:rsidRPr="00787808" w:rsidRDefault="00337EE8">
      <w:pPr>
        <w:pStyle w:val="Item"/>
      </w:pPr>
      <w:r w:rsidRPr="00787808">
        <w:rPr>
          <w:b/>
          <w:i/>
        </w:rPr>
        <w:t>AFC</w:t>
      </w:r>
      <w:r w:rsidRPr="00787808">
        <w:t xml:space="preserve"> means the Australian Film Commission established by subsection</w:t>
      </w:r>
      <w:r w:rsidR="00787808">
        <w:t> </w:t>
      </w:r>
      <w:r w:rsidRPr="00787808">
        <w:t xml:space="preserve">4(1) of the </w:t>
      </w:r>
      <w:r w:rsidRPr="00787808">
        <w:rPr>
          <w:i/>
        </w:rPr>
        <w:t>Australian Film Commission Act 1975</w:t>
      </w:r>
      <w:r w:rsidRPr="00787808">
        <w:t>.</w:t>
      </w:r>
    </w:p>
    <w:p w:rsidR="00337EE8" w:rsidRPr="00787808" w:rsidRDefault="00337EE8">
      <w:pPr>
        <w:pStyle w:val="Item"/>
      </w:pPr>
      <w:r w:rsidRPr="00787808">
        <w:rPr>
          <w:b/>
          <w:i/>
        </w:rPr>
        <w:t>AFTRS</w:t>
      </w:r>
      <w:r w:rsidRPr="00787808">
        <w:t xml:space="preserve"> means the Australian Film, Television and Radio School established by subsection</w:t>
      </w:r>
      <w:r w:rsidR="00787808">
        <w:t> </w:t>
      </w:r>
      <w:r w:rsidRPr="00787808">
        <w:t xml:space="preserve">4(1) of the </w:t>
      </w:r>
      <w:r w:rsidRPr="00787808">
        <w:rPr>
          <w:i/>
        </w:rPr>
        <w:t>Australian Film, Television and Radio School Act 1973</w:t>
      </w:r>
      <w:r w:rsidRPr="00787808">
        <w:t>.</w:t>
      </w:r>
    </w:p>
    <w:p w:rsidR="00337EE8" w:rsidRPr="00787808" w:rsidRDefault="00337EE8">
      <w:pPr>
        <w:pStyle w:val="Item"/>
      </w:pPr>
      <w:r w:rsidRPr="00787808">
        <w:rPr>
          <w:b/>
          <w:i/>
        </w:rPr>
        <w:t>asset</w:t>
      </w:r>
      <w:r w:rsidRPr="00787808">
        <w:t xml:space="preserve"> means:</w:t>
      </w:r>
    </w:p>
    <w:p w:rsidR="00337EE8" w:rsidRPr="00787808" w:rsidRDefault="00337EE8">
      <w:pPr>
        <w:pStyle w:val="paragraph"/>
      </w:pPr>
      <w:r w:rsidRPr="00787808">
        <w:tab/>
        <w:t>(a)</w:t>
      </w:r>
      <w:r w:rsidRPr="00787808">
        <w:tab/>
        <w:t>any legal or equitable estate or interest in real or personal property, whether actual, contingent or prospective; and</w:t>
      </w:r>
    </w:p>
    <w:p w:rsidR="00337EE8" w:rsidRPr="00787808" w:rsidRDefault="00337EE8">
      <w:pPr>
        <w:pStyle w:val="paragraph"/>
      </w:pPr>
      <w:r w:rsidRPr="00787808">
        <w:tab/>
        <w:t>(b)</w:t>
      </w:r>
      <w:r w:rsidRPr="00787808">
        <w:tab/>
        <w:t>any right, power, privilege or immunity, whether actual, contingent or prospective.</w:t>
      </w:r>
    </w:p>
    <w:p w:rsidR="00337EE8" w:rsidRPr="00787808" w:rsidRDefault="00337EE8">
      <w:pPr>
        <w:pStyle w:val="Item"/>
      </w:pPr>
      <w:r w:rsidRPr="00787808">
        <w:rPr>
          <w:b/>
          <w:i/>
        </w:rPr>
        <w:t>FAL</w:t>
      </w:r>
      <w:r w:rsidRPr="00787808">
        <w:t xml:space="preserve"> means Film Australia Limited (ACN 008</w:t>
      </w:r>
      <w:r w:rsidR="00787808">
        <w:t> </w:t>
      </w:r>
      <w:r w:rsidRPr="00787808">
        <w:t>639</w:t>
      </w:r>
      <w:r w:rsidR="00C21F6D" w:rsidRPr="00787808">
        <w:t> </w:t>
      </w:r>
      <w:r w:rsidRPr="00787808">
        <w:t>316).</w:t>
      </w:r>
    </w:p>
    <w:p w:rsidR="00337EE8" w:rsidRPr="00787808" w:rsidRDefault="00337EE8">
      <w:pPr>
        <w:pStyle w:val="Item"/>
      </w:pPr>
      <w:r w:rsidRPr="00787808">
        <w:rPr>
          <w:b/>
          <w:i/>
        </w:rPr>
        <w:t>FFC</w:t>
      </w:r>
      <w:r w:rsidRPr="00787808">
        <w:t xml:space="preserve"> means Film Finance Corporation Australia Limited (ACN 008</w:t>
      </w:r>
      <w:r w:rsidR="00787808">
        <w:t> </w:t>
      </w:r>
      <w:r w:rsidRPr="00787808">
        <w:t>642</w:t>
      </w:r>
      <w:r w:rsidR="00C21F6D" w:rsidRPr="00787808">
        <w:t> </w:t>
      </w:r>
      <w:r w:rsidRPr="00787808">
        <w:t>564).</w:t>
      </w:r>
    </w:p>
    <w:p w:rsidR="00337EE8" w:rsidRPr="00787808" w:rsidRDefault="00337EE8">
      <w:pPr>
        <w:pStyle w:val="Item"/>
      </w:pPr>
      <w:r w:rsidRPr="00787808">
        <w:rPr>
          <w:b/>
          <w:i/>
        </w:rPr>
        <w:t>liability</w:t>
      </w:r>
      <w:r w:rsidRPr="00787808">
        <w:t xml:space="preserve"> means any liability, duty or obligation, whether actual, contingent or prospective.</w:t>
      </w:r>
    </w:p>
    <w:p w:rsidR="00F40D25" w:rsidRPr="00787808" w:rsidRDefault="00F40D25" w:rsidP="00F40D25">
      <w:pPr>
        <w:pStyle w:val="Item"/>
      </w:pPr>
      <w:r w:rsidRPr="00787808">
        <w:rPr>
          <w:b/>
          <w:i/>
        </w:rPr>
        <w:t>NFSAA</w:t>
      </w:r>
      <w:r w:rsidRPr="00787808">
        <w:t xml:space="preserve"> means the National Film and Sound Archive of Australia established by subsection</w:t>
      </w:r>
      <w:r w:rsidR="00787808">
        <w:t> </w:t>
      </w:r>
      <w:r w:rsidRPr="00787808">
        <w:t xml:space="preserve">5(1) of the </w:t>
      </w:r>
      <w:r w:rsidRPr="00787808">
        <w:rPr>
          <w:i/>
        </w:rPr>
        <w:t>National Film and Sound Archive of Australia Act 2008</w:t>
      </w:r>
      <w:r w:rsidRPr="00787808">
        <w:t>.</w:t>
      </w:r>
    </w:p>
    <w:p w:rsidR="00337EE8" w:rsidRPr="00787808" w:rsidRDefault="00337EE8">
      <w:pPr>
        <w:pStyle w:val="Item"/>
        <w:rPr>
          <w:b/>
          <w:i/>
        </w:rPr>
      </w:pPr>
      <w:r w:rsidRPr="00787808">
        <w:rPr>
          <w:b/>
          <w:i/>
        </w:rPr>
        <w:t>Screen Australia</w:t>
      </w:r>
      <w:r w:rsidRPr="00787808">
        <w:t xml:space="preserve"> means Screen Australia established by subsection</w:t>
      </w:r>
      <w:r w:rsidR="00787808">
        <w:t> </w:t>
      </w:r>
      <w:r w:rsidRPr="00787808">
        <w:t xml:space="preserve">5(1) of the </w:t>
      </w:r>
      <w:r w:rsidRPr="00787808">
        <w:rPr>
          <w:i/>
        </w:rPr>
        <w:t>Screen Australia Act 2008</w:t>
      </w:r>
      <w:r w:rsidRPr="00787808">
        <w:t>.</w:t>
      </w:r>
    </w:p>
    <w:p w:rsidR="00337EE8" w:rsidRPr="00787808" w:rsidRDefault="00337EE8">
      <w:pPr>
        <w:pStyle w:val="Item"/>
      </w:pPr>
      <w:r w:rsidRPr="00787808">
        <w:rPr>
          <w:b/>
          <w:i/>
        </w:rPr>
        <w:t>transition time</w:t>
      </w:r>
      <w:r w:rsidRPr="00787808">
        <w:t xml:space="preserve"> means the commencement of subsection</w:t>
      </w:r>
      <w:r w:rsidR="00787808">
        <w:t> </w:t>
      </w:r>
      <w:r w:rsidRPr="00787808">
        <w:t xml:space="preserve">5(1) of the </w:t>
      </w:r>
      <w:r w:rsidRPr="00787808">
        <w:rPr>
          <w:i/>
        </w:rPr>
        <w:t>Screen Australia Act 2008</w:t>
      </w:r>
      <w:r w:rsidRPr="00787808">
        <w:t>.</w:t>
      </w:r>
    </w:p>
    <w:p w:rsidR="00337EE8" w:rsidRPr="00787808" w:rsidRDefault="00337EE8" w:rsidP="00C21F6D">
      <w:pPr>
        <w:pStyle w:val="ActHead7"/>
        <w:pageBreakBefore/>
      </w:pPr>
      <w:bookmarkStart w:id="14" w:name="_Toc450732111"/>
      <w:r w:rsidRPr="00787808">
        <w:rPr>
          <w:rStyle w:val="CharAmPartNo"/>
        </w:rPr>
        <w:lastRenderedPageBreak/>
        <w:t>Part</w:t>
      </w:r>
      <w:r w:rsidR="00787808">
        <w:rPr>
          <w:rStyle w:val="CharAmPartNo"/>
        </w:rPr>
        <w:t> </w:t>
      </w:r>
      <w:r w:rsidRPr="00787808">
        <w:rPr>
          <w:rStyle w:val="CharAmPartNo"/>
        </w:rPr>
        <w:t>2</w:t>
      </w:r>
      <w:r w:rsidRPr="00787808">
        <w:t>—</w:t>
      </w:r>
      <w:r w:rsidRPr="00787808">
        <w:rPr>
          <w:rStyle w:val="CharAmPartText"/>
        </w:rPr>
        <w:t>Assets and liabilities of AFC, FAL and FFC</w:t>
      </w:r>
      <w:bookmarkEnd w:id="14"/>
    </w:p>
    <w:p w:rsidR="00337EE8" w:rsidRPr="00787808" w:rsidRDefault="00337EE8">
      <w:pPr>
        <w:pStyle w:val="ItemHead"/>
      </w:pPr>
      <w:r w:rsidRPr="00787808">
        <w:t>2  Transfer of assets and liabilities of AFC</w:t>
      </w:r>
    </w:p>
    <w:p w:rsidR="00337EE8" w:rsidRPr="00787808" w:rsidRDefault="00337EE8">
      <w:pPr>
        <w:pStyle w:val="SubitemHead"/>
      </w:pPr>
      <w:r w:rsidRPr="00787808">
        <w:t>Application</w:t>
      </w:r>
    </w:p>
    <w:p w:rsidR="00337EE8" w:rsidRPr="00787808" w:rsidRDefault="00337EE8">
      <w:pPr>
        <w:pStyle w:val="Subitem"/>
      </w:pPr>
      <w:r w:rsidRPr="00787808">
        <w:t>(1)</w:t>
      </w:r>
      <w:r w:rsidRPr="00787808">
        <w:tab/>
        <w:t>This item applies to assets and liabilities of AFC immediately before the transition time.</w:t>
      </w:r>
    </w:p>
    <w:p w:rsidR="00337EE8" w:rsidRPr="00787808" w:rsidRDefault="00337EE8">
      <w:pPr>
        <w:pStyle w:val="SubitemHead"/>
      </w:pPr>
      <w:r w:rsidRPr="00787808">
        <w:t>AFC to Screen Australia</w:t>
      </w:r>
    </w:p>
    <w:p w:rsidR="00337EE8" w:rsidRPr="00787808" w:rsidRDefault="00337EE8">
      <w:pPr>
        <w:pStyle w:val="Subitem"/>
      </w:pPr>
      <w:r w:rsidRPr="00787808">
        <w:t>(2)</w:t>
      </w:r>
      <w:r w:rsidRPr="00787808">
        <w:tab/>
        <w:t>Subject to this item, at the transition time, the assets and liabilities cease to be assets and liabilities of AFC and become assets and liabilities of Screen Australia without any conveyance, transfer or assignment. Screen Australia becomes the successor in law in relation to those assets and liabilities.</w:t>
      </w:r>
    </w:p>
    <w:p w:rsidR="00337EE8" w:rsidRPr="00787808" w:rsidRDefault="00337EE8">
      <w:pPr>
        <w:pStyle w:val="SubitemHead"/>
      </w:pPr>
      <w:r w:rsidRPr="00787808">
        <w:t xml:space="preserve">AFC to </w:t>
      </w:r>
      <w:r w:rsidR="00E96CB0" w:rsidRPr="00787808">
        <w:t>NFSAA</w:t>
      </w:r>
      <w:r w:rsidRPr="00787808">
        <w:t xml:space="preserve"> or AFTRS</w:t>
      </w:r>
    </w:p>
    <w:p w:rsidR="00337EE8" w:rsidRPr="00787808" w:rsidRDefault="00337EE8">
      <w:pPr>
        <w:pStyle w:val="Subitem"/>
      </w:pPr>
      <w:r w:rsidRPr="00787808">
        <w:t>(3)</w:t>
      </w:r>
      <w:r w:rsidRPr="00787808">
        <w:tab/>
        <w:t xml:space="preserve">Before the transition time, the Minister may determine, in writing, that some of the assets or liabilities are to become assets or liabilities of </w:t>
      </w:r>
      <w:r w:rsidR="00E96CB0" w:rsidRPr="00787808">
        <w:t>NFSAA</w:t>
      </w:r>
      <w:r w:rsidRPr="00787808">
        <w:t xml:space="preserve"> or AFTRS.</w:t>
      </w:r>
    </w:p>
    <w:p w:rsidR="00337EE8" w:rsidRPr="00787808" w:rsidRDefault="00337EE8">
      <w:pPr>
        <w:pStyle w:val="Subitem"/>
        <w:tabs>
          <w:tab w:val="left" w:pos="3520"/>
        </w:tabs>
      </w:pPr>
      <w:r w:rsidRPr="00787808">
        <w:t>(4)</w:t>
      </w:r>
      <w:r w:rsidRPr="00787808">
        <w:tab/>
        <w:t xml:space="preserve">If the Minister makes a determination that the assets or liabilities are to become the assets or liabilities of </w:t>
      </w:r>
      <w:r w:rsidR="00E96CB0" w:rsidRPr="00787808">
        <w:t>NFSAA</w:t>
      </w:r>
      <w:r w:rsidRPr="00787808">
        <w:t xml:space="preserve">, then, at the transition time, the assets or liabilities cease to be assets or liabilities of AFC and become assets or liabilities of </w:t>
      </w:r>
      <w:r w:rsidR="00E96CB0" w:rsidRPr="00787808">
        <w:t>NFSAA</w:t>
      </w:r>
      <w:r w:rsidRPr="00787808">
        <w:t xml:space="preserve"> without any conveyance, transfer or assignment. </w:t>
      </w:r>
      <w:r w:rsidR="00E96CB0" w:rsidRPr="00787808">
        <w:t>NFSAA</w:t>
      </w:r>
      <w:r w:rsidRPr="00787808">
        <w:t xml:space="preserve"> becomes the successor in law in relation to those assets or liabilities.</w:t>
      </w:r>
    </w:p>
    <w:p w:rsidR="00337EE8" w:rsidRPr="00787808" w:rsidRDefault="00337EE8">
      <w:pPr>
        <w:pStyle w:val="Subitem"/>
        <w:tabs>
          <w:tab w:val="left" w:pos="3520"/>
        </w:tabs>
      </w:pPr>
      <w:r w:rsidRPr="00787808">
        <w:t>(5)</w:t>
      </w:r>
      <w:r w:rsidRPr="00787808">
        <w:tab/>
        <w:t>If the Minister makes a determination that the assets or liabilities are to become the assets or liabilities of AFTRS, then, at the transition time, the assets or liabilities cease to be assets or liabilities of AFC and become assets or liabilities of AFTRS without any conveyance, transfer or assignment. AFTRS becomes the successor in law in relation to those assets or liabilities.</w:t>
      </w:r>
    </w:p>
    <w:p w:rsidR="00337EE8" w:rsidRPr="00787808" w:rsidRDefault="00337EE8">
      <w:pPr>
        <w:pStyle w:val="Subitem"/>
      </w:pPr>
      <w:r w:rsidRPr="00787808">
        <w:t>(6)</w:t>
      </w:r>
      <w:r w:rsidRPr="00787808">
        <w:tab/>
        <w:t xml:space="preserve">A determination made under </w:t>
      </w:r>
      <w:r w:rsidR="00787808">
        <w:t>subitem (</w:t>
      </w:r>
      <w:r w:rsidRPr="00787808">
        <w:t>3) is not a legislative instrument.</w:t>
      </w:r>
    </w:p>
    <w:p w:rsidR="00337EE8" w:rsidRPr="00787808" w:rsidRDefault="00337EE8">
      <w:pPr>
        <w:pStyle w:val="SubitemHead"/>
      </w:pPr>
      <w:r w:rsidRPr="00787808">
        <w:lastRenderedPageBreak/>
        <w:t>Assets subject to trust</w:t>
      </w:r>
    </w:p>
    <w:p w:rsidR="00337EE8" w:rsidRPr="00787808" w:rsidRDefault="00337EE8">
      <w:pPr>
        <w:pStyle w:val="Subitem"/>
      </w:pPr>
      <w:r w:rsidRPr="00787808">
        <w:t>(7)</w:t>
      </w:r>
      <w:r w:rsidRPr="00787808">
        <w:tab/>
        <w:t xml:space="preserve">If an asset that has become an asset of Screen Australia, </w:t>
      </w:r>
      <w:r w:rsidR="00E96CB0" w:rsidRPr="00787808">
        <w:t>NFSAA</w:t>
      </w:r>
      <w:r w:rsidRPr="00787808">
        <w:t xml:space="preserve"> or AFTRS under this item was, immediately before the transition time, held by AFC on trust, that asset is taken, at and after the transition time, to be held by the body to which it is transferred on trust and subject to the terms of the trust on which the asset was so held by AFC.</w:t>
      </w:r>
    </w:p>
    <w:p w:rsidR="00337EE8" w:rsidRPr="00787808" w:rsidRDefault="00337EE8">
      <w:pPr>
        <w:pStyle w:val="ItemHead"/>
      </w:pPr>
      <w:r w:rsidRPr="00787808">
        <w:t>3  Transfer of assets and liabilities of FAL and FFC</w:t>
      </w:r>
    </w:p>
    <w:p w:rsidR="00337EE8" w:rsidRPr="00787808" w:rsidRDefault="00337EE8">
      <w:pPr>
        <w:pStyle w:val="Subitem"/>
      </w:pPr>
      <w:r w:rsidRPr="00787808">
        <w:t>(1)</w:t>
      </w:r>
      <w:r w:rsidRPr="00787808">
        <w:tab/>
        <w:t>This item applies to assets and liabilities of FAL and FFC immediately before the transition time.</w:t>
      </w:r>
    </w:p>
    <w:p w:rsidR="00337EE8" w:rsidRPr="00787808" w:rsidRDefault="00337EE8">
      <w:pPr>
        <w:pStyle w:val="Subitem"/>
      </w:pPr>
      <w:r w:rsidRPr="00787808">
        <w:t>(2)</w:t>
      </w:r>
      <w:r w:rsidRPr="00787808">
        <w:tab/>
        <w:t>At the transition time, the assets and liabilities cease to be assets and liabilities of FAL and FFC and become assets and liabilities of Screen Australia without any conveyance, transfer or assignment. Screen Australia becomes the successor in law in relation to those assets and liabilities.</w:t>
      </w:r>
    </w:p>
    <w:p w:rsidR="00337EE8" w:rsidRPr="00787808" w:rsidRDefault="00337EE8">
      <w:pPr>
        <w:pStyle w:val="Subitem"/>
      </w:pPr>
      <w:r w:rsidRPr="00787808">
        <w:t>(3)</w:t>
      </w:r>
      <w:r w:rsidRPr="00787808">
        <w:tab/>
        <w:t>If an asset that has become an asset of Screen Australia under this item was, immediately before the transition time, held by FAL and FFC on trust, that asset is taken, at and after the transition time, to be held by Screen Australia on trust and subject to the terms of the trust on which the asset was so held by FAL and FFC.</w:t>
      </w:r>
    </w:p>
    <w:p w:rsidR="00337EE8" w:rsidRPr="00787808" w:rsidRDefault="00337EE8">
      <w:pPr>
        <w:pStyle w:val="ItemHead"/>
      </w:pPr>
      <w:r w:rsidRPr="00787808">
        <w:t>4  Certificates relating to vesting of land</w:t>
      </w:r>
    </w:p>
    <w:p w:rsidR="00337EE8" w:rsidRPr="00787808" w:rsidRDefault="00337EE8">
      <w:pPr>
        <w:pStyle w:val="Subitem"/>
      </w:pPr>
      <w:r w:rsidRPr="00787808">
        <w:t>(1)</w:t>
      </w:r>
      <w:r w:rsidRPr="00787808">
        <w:tab/>
        <w:t>This item applies if:</w:t>
      </w:r>
    </w:p>
    <w:p w:rsidR="00337EE8" w:rsidRPr="00787808" w:rsidRDefault="00337EE8">
      <w:pPr>
        <w:pStyle w:val="paragraph"/>
      </w:pPr>
      <w:r w:rsidRPr="00787808">
        <w:tab/>
        <w:t>(a)</w:t>
      </w:r>
      <w:r w:rsidRPr="00787808">
        <w:tab/>
        <w:t xml:space="preserve">any land vests in Screen Australia, </w:t>
      </w:r>
      <w:r w:rsidR="00E96CB0" w:rsidRPr="00787808">
        <w:t>NFSAA</w:t>
      </w:r>
      <w:r w:rsidRPr="00787808">
        <w:t xml:space="preserve"> or AFTRS under item</w:t>
      </w:r>
      <w:r w:rsidR="00787808">
        <w:t> </w:t>
      </w:r>
      <w:r w:rsidRPr="00787808">
        <w:t>2 or 3; and</w:t>
      </w:r>
    </w:p>
    <w:p w:rsidR="00337EE8" w:rsidRPr="00787808" w:rsidRDefault="00337EE8">
      <w:pPr>
        <w:pStyle w:val="paragraph"/>
      </w:pPr>
      <w:r w:rsidRPr="00787808">
        <w:tab/>
        <w:t>(b)</w:t>
      </w:r>
      <w:r w:rsidRPr="00787808">
        <w:tab/>
        <w:t>there is lodged with a land registration official a certificate that:</w:t>
      </w:r>
    </w:p>
    <w:p w:rsidR="00337EE8" w:rsidRPr="00787808" w:rsidRDefault="00337EE8">
      <w:pPr>
        <w:pStyle w:val="paragraphsub"/>
      </w:pPr>
      <w:r w:rsidRPr="00787808">
        <w:tab/>
        <w:t>(i)</w:t>
      </w:r>
      <w:r w:rsidRPr="00787808">
        <w:tab/>
        <w:t>is signed by the Minister; and</w:t>
      </w:r>
    </w:p>
    <w:p w:rsidR="00337EE8" w:rsidRPr="00787808" w:rsidRDefault="00337EE8">
      <w:pPr>
        <w:pStyle w:val="paragraphsub"/>
      </w:pPr>
      <w:r w:rsidRPr="00787808">
        <w:tab/>
        <w:t>(ii)</w:t>
      </w:r>
      <w:r w:rsidRPr="00787808">
        <w:tab/>
        <w:t>identifies the land, whether by reference to a map or otherwise; and</w:t>
      </w:r>
    </w:p>
    <w:p w:rsidR="00337EE8" w:rsidRPr="00787808" w:rsidRDefault="00337EE8">
      <w:pPr>
        <w:pStyle w:val="paragraphsub"/>
      </w:pPr>
      <w:r w:rsidRPr="00787808">
        <w:tab/>
        <w:t>(iii)</w:t>
      </w:r>
      <w:r w:rsidRPr="00787808">
        <w:tab/>
        <w:t xml:space="preserve">states that the land has become vested in Screen Australia, </w:t>
      </w:r>
      <w:r w:rsidR="00E96CB0" w:rsidRPr="00787808">
        <w:t>NFSAA</w:t>
      </w:r>
      <w:r w:rsidRPr="00787808">
        <w:t xml:space="preserve"> or AFTRS under this Act.</w:t>
      </w:r>
    </w:p>
    <w:p w:rsidR="00337EE8" w:rsidRPr="00787808" w:rsidRDefault="00337EE8">
      <w:pPr>
        <w:pStyle w:val="Subitem"/>
      </w:pPr>
      <w:r w:rsidRPr="00787808">
        <w:t>(2)</w:t>
      </w:r>
      <w:r w:rsidRPr="00787808">
        <w:tab/>
        <w:t>The land registration official may:</w:t>
      </w:r>
    </w:p>
    <w:p w:rsidR="00337EE8" w:rsidRPr="00787808" w:rsidRDefault="00337EE8">
      <w:pPr>
        <w:pStyle w:val="paragraph"/>
      </w:pPr>
      <w:r w:rsidRPr="00787808">
        <w:lastRenderedPageBreak/>
        <w:tab/>
        <w:t>(a)</w:t>
      </w:r>
      <w:r w:rsidRPr="00787808">
        <w:tab/>
        <w:t>register the matter in a way that is the same as, or similar to, the way in which dealings in land of that kind are registered; and</w:t>
      </w:r>
    </w:p>
    <w:p w:rsidR="00337EE8" w:rsidRPr="00787808" w:rsidRDefault="00337EE8">
      <w:pPr>
        <w:pStyle w:val="paragraph"/>
      </w:pPr>
      <w:r w:rsidRPr="00787808">
        <w:tab/>
        <w:t>(b)</w:t>
      </w:r>
      <w:r w:rsidRPr="00787808">
        <w:tab/>
        <w:t>deal with, and give effect to, the certificate.</w:t>
      </w:r>
    </w:p>
    <w:p w:rsidR="00337EE8" w:rsidRPr="00787808" w:rsidRDefault="00337EE8">
      <w:pPr>
        <w:pStyle w:val="Subitem"/>
      </w:pPr>
      <w:r w:rsidRPr="00787808">
        <w:t>(3)</w:t>
      </w:r>
      <w:r w:rsidRPr="00787808">
        <w:tab/>
        <w:t xml:space="preserve">A certificate made under </w:t>
      </w:r>
      <w:r w:rsidR="00787808">
        <w:t>subitem (</w:t>
      </w:r>
      <w:r w:rsidRPr="00787808">
        <w:t>1) is not a legislative instrument.</w:t>
      </w:r>
    </w:p>
    <w:p w:rsidR="00337EE8" w:rsidRPr="00787808" w:rsidRDefault="00337EE8">
      <w:pPr>
        <w:pStyle w:val="Subitem"/>
      </w:pPr>
      <w:r w:rsidRPr="00787808">
        <w:t>(4)</w:t>
      </w:r>
      <w:r w:rsidRPr="00787808">
        <w:tab/>
        <w:t>In this item:</w:t>
      </w:r>
    </w:p>
    <w:p w:rsidR="00337EE8" w:rsidRPr="00787808" w:rsidRDefault="00337EE8">
      <w:pPr>
        <w:pStyle w:val="Item"/>
      </w:pPr>
      <w:r w:rsidRPr="00787808">
        <w:rPr>
          <w:b/>
          <w:i/>
        </w:rPr>
        <w:t>land registration official</w:t>
      </w:r>
      <w:r w:rsidRPr="00787808">
        <w:t>, in relation to land, means the Registrar of Titles or other proper officer of the State or Territory in which the land is situated.</w:t>
      </w:r>
    </w:p>
    <w:p w:rsidR="00337EE8" w:rsidRPr="00787808" w:rsidRDefault="00337EE8">
      <w:pPr>
        <w:pStyle w:val="ItemHead"/>
      </w:pPr>
      <w:r w:rsidRPr="00787808">
        <w:t>5  Certificates for vesting of assets other than land</w:t>
      </w:r>
    </w:p>
    <w:p w:rsidR="00337EE8" w:rsidRPr="00787808" w:rsidRDefault="00337EE8">
      <w:pPr>
        <w:pStyle w:val="Subitem"/>
      </w:pPr>
      <w:r w:rsidRPr="00787808">
        <w:t>(1)</w:t>
      </w:r>
      <w:r w:rsidRPr="00787808">
        <w:tab/>
        <w:t>This item applies if:</w:t>
      </w:r>
    </w:p>
    <w:p w:rsidR="00337EE8" w:rsidRPr="00787808" w:rsidRDefault="00337EE8">
      <w:pPr>
        <w:pStyle w:val="paragraph"/>
      </w:pPr>
      <w:r w:rsidRPr="00787808">
        <w:tab/>
        <w:t>(a)</w:t>
      </w:r>
      <w:r w:rsidRPr="00787808">
        <w:tab/>
        <w:t xml:space="preserve">an asset other than land becomes an asset of Screen Australia, </w:t>
      </w:r>
      <w:r w:rsidR="00E96CB0" w:rsidRPr="00787808">
        <w:t>NFSAA</w:t>
      </w:r>
      <w:r w:rsidRPr="00787808">
        <w:t xml:space="preserve"> or AFTRS under item</w:t>
      </w:r>
      <w:r w:rsidR="00787808">
        <w:t> </w:t>
      </w:r>
      <w:r w:rsidRPr="00787808">
        <w:t>2 or 3; and</w:t>
      </w:r>
    </w:p>
    <w:p w:rsidR="00337EE8" w:rsidRPr="00787808" w:rsidRDefault="00337EE8">
      <w:pPr>
        <w:pStyle w:val="paragraph"/>
      </w:pPr>
      <w:r w:rsidRPr="00787808">
        <w:tab/>
        <w:t>(b)</w:t>
      </w:r>
      <w:r w:rsidRPr="00787808">
        <w:tab/>
        <w:t>there is lodged with an assets official a certificate that:</w:t>
      </w:r>
    </w:p>
    <w:p w:rsidR="00337EE8" w:rsidRPr="00787808" w:rsidRDefault="00337EE8">
      <w:pPr>
        <w:pStyle w:val="paragraphsub"/>
      </w:pPr>
      <w:r w:rsidRPr="00787808">
        <w:tab/>
        <w:t>(i)</w:t>
      </w:r>
      <w:r w:rsidRPr="00787808">
        <w:tab/>
        <w:t>is signed by the Minister; and</w:t>
      </w:r>
    </w:p>
    <w:p w:rsidR="00337EE8" w:rsidRPr="00787808" w:rsidRDefault="00337EE8">
      <w:pPr>
        <w:pStyle w:val="paragraphsub"/>
      </w:pPr>
      <w:r w:rsidRPr="00787808">
        <w:tab/>
        <w:t>(ii)</w:t>
      </w:r>
      <w:r w:rsidRPr="00787808">
        <w:tab/>
        <w:t>identifies the asset; and</w:t>
      </w:r>
    </w:p>
    <w:p w:rsidR="00337EE8" w:rsidRPr="00787808" w:rsidRDefault="00337EE8">
      <w:pPr>
        <w:pStyle w:val="paragraphsub"/>
      </w:pPr>
      <w:r w:rsidRPr="00787808">
        <w:tab/>
        <w:t>(iii)</w:t>
      </w:r>
      <w:r w:rsidRPr="00787808">
        <w:tab/>
        <w:t xml:space="preserve">states that the asset has become vested in Screen Australia, </w:t>
      </w:r>
      <w:r w:rsidR="00E96CB0" w:rsidRPr="00787808">
        <w:t>NFSAA</w:t>
      </w:r>
      <w:r w:rsidRPr="00787808">
        <w:t xml:space="preserve"> or AFTRS under this Act.</w:t>
      </w:r>
    </w:p>
    <w:p w:rsidR="00337EE8" w:rsidRPr="00787808" w:rsidRDefault="00337EE8">
      <w:pPr>
        <w:pStyle w:val="Subitem"/>
      </w:pPr>
      <w:r w:rsidRPr="00787808">
        <w:t>(2)</w:t>
      </w:r>
      <w:r w:rsidRPr="00787808">
        <w:tab/>
        <w:t>The assets official may:</w:t>
      </w:r>
    </w:p>
    <w:p w:rsidR="00337EE8" w:rsidRPr="00787808" w:rsidRDefault="00337EE8">
      <w:pPr>
        <w:pStyle w:val="paragraph"/>
      </w:pPr>
      <w:r w:rsidRPr="00787808">
        <w:tab/>
        <w:t>(a)</w:t>
      </w:r>
      <w:r w:rsidRPr="00787808">
        <w:tab/>
        <w:t>deal with, and give effect to, the certificate as if it were a proper and appropriate instrument for transactions in relation to assets of that kind; and</w:t>
      </w:r>
    </w:p>
    <w:p w:rsidR="00337EE8" w:rsidRPr="00787808" w:rsidRDefault="00337EE8">
      <w:pPr>
        <w:pStyle w:val="paragraph"/>
      </w:pPr>
      <w:r w:rsidRPr="00787808">
        <w:tab/>
        <w:t>(b)</w:t>
      </w:r>
      <w:r w:rsidRPr="00787808">
        <w:tab/>
        <w:t>make such entries in the register in relation to assets of that kind as are necessary, having regard to the effect of this Part.</w:t>
      </w:r>
    </w:p>
    <w:p w:rsidR="00337EE8" w:rsidRPr="00787808" w:rsidRDefault="00337EE8">
      <w:pPr>
        <w:pStyle w:val="Subitem"/>
      </w:pPr>
      <w:r w:rsidRPr="00787808">
        <w:t>(3)</w:t>
      </w:r>
      <w:r w:rsidRPr="00787808">
        <w:tab/>
        <w:t xml:space="preserve">A certificate made under </w:t>
      </w:r>
      <w:r w:rsidR="00787808">
        <w:t>subitem (</w:t>
      </w:r>
      <w:r w:rsidRPr="00787808">
        <w:t>1) is not a legislative instrument.</w:t>
      </w:r>
    </w:p>
    <w:p w:rsidR="00337EE8" w:rsidRPr="00787808" w:rsidRDefault="00337EE8">
      <w:pPr>
        <w:pStyle w:val="Subitem"/>
      </w:pPr>
      <w:r w:rsidRPr="00787808">
        <w:t>(4)</w:t>
      </w:r>
      <w:r w:rsidRPr="00787808">
        <w:tab/>
        <w:t>In this item:</w:t>
      </w:r>
    </w:p>
    <w:p w:rsidR="00337EE8" w:rsidRPr="00787808" w:rsidRDefault="00337EE8">
      <w:pPr>
        <w:pStyle w:val="Item"/>
      </w:pPr>
      <w:r w:rsidRPr="00787808">
        <w:rPr>
          <w:b/>
          <w:i/>
        </w:rPr>
        <w:t>assets official</w:t>
      </w:r>
      <w:r w:rsidRPr="00787808">
        <w:t>, in relation to an asset other than land, means the person or authority who, under a law of the Commonwealth, a State or a Territory, under a trust instrument or otherwise, has responsibility for keeping a register in relation to assets of the kind concerned.</w:t>
      </w:r>
    </w:p>
    <w:p w:rsidR="00337EE8" w:rsidRPr="00787808" w:rsidRDefault="00337EE8">
      <w:pPr>
        <w:pStyle w:val="ItemHead"/>
      </w:pPr>
      <w:r w:rsidRPr="00787808">
        <w:lastRenderedPageBreak/>
        <w:t>6  Certificates taken to be authentic</w:t>
      </w:r>
    </w:p>
    <w:p w:rsidR="00337EE8" w:rsidRPr="00787808" w:rsidRDefault="00337EE8">
      <w:pPr>
        <w:pStyle w:val="Item"/>
      </w:pPr>
      <w:r w:rsidRPr="00787808">
        <w:t>A document that appears to be a certificate made under item</w:t>
      </w:r>
      <w:r w:rsidR="00787808">
        <w:t> </w:t>
      </w:r>
      <w:r w:rsidRPr="00787808">
        <w:t>4 or 5:</w:t>
      </w:r>
    </w:p>
    <w:p w:rsidR="00337EE8" w:rsidRPr="00787808" w:rsidRDefault="00337EE8">
      <w:pPr>
        <w:pStyle w:val="paragraph"/>
      </w:pPr>
      <w:r w:rsidRPr="00787808">
        <w:tab/>
        <w:t>(a)</w:t>
      </w:r>
      <w:r w:rsidRPr="00787808">
        <w:tab/>
        <w:t>is taken to be such a certificate; and</w:t>
      </w:r>
    </w:p>
    <w:p w:rsidR="00337EE8" w:rsidRPr="00787808" w:rsidRDefault="00337EE8">
      <w:pPr>
        <w:pStyle w:val="paragraph"/>
      </w:pPr>
      <w:r w:rsidRPr="00787808">
        <w:tab/>
        <w:t>(b)</w:t>
      </w:r>
      <w:r w:rsidRPr="00787808">
        <w:tab/>
        <w:t>is taken to have been properly given;</w:t>
      </w:r>
    </w:p>
    <w:p w:rsidR="00337EE8" w:rsidRPr="00787808" w:rsidRDefault="00337EE8">
      <w:pPr>
        <w:pStyle w:val="Item"/>
      </w:pPr>
      <w:r w:rsidRPr="00787808">
        <w:t>unless the contrary is established.</w:t>
      </w:r>
    </w:p>
    <w:p w:rsidR="00337EE8" w:rsidRPr="00787808" w:rsidRDefault="00337EE8">
      <w:pPr>
        <w:pStyle w:val="ItemHead"/>
      </w:pPr>
      <w:r w:rsidRPr="00787808">
        <w:t>7  Exemption from stamp duty and other State or Territory taxes</w:t>
      </w:r>
    </w:p>
    <w:p w:rsidR="00337EE8" w:rsidRPr="00787808" w:rsidRDefault="00337EE8">
      <w:pPr>
        <w:pStyle w:val="Subitem"/>
      </w:pPr>
      <w:r w:rsidRPr="00787808">
        <w:t>(1)</w:t>
      </w:r>
      <w:r w:rsidRPr="00787808">
        <w:tab/>
        <w:t>No stamp duty or other tax is payable under a law of a State or a Territory in respect of an exempt matter, or anything connected with an exempt matter.</w:t>
      </w:r>
    </w:p>
    <w:p w:rsidR="00337EE8" w:rsidRPr="00787808" w:rsidRDefault="00337EE8">
      <w:pPr>
        <w:pStyle w:val="Subitem"/>
      </w:pPr>
      <w:r w:rsidRPr="00787808">
        <w:t>(2)</w:t>
      </w:r>
      <w:r w:rsidRPr="00787808">
        <w:tab/>
        <w:t xml:space="preserve">For the purposes of this item, an </w:t>
      </w:r>
      <w:r w:rsidRPr="00787808">
        <w:rPr>
          <w:b/>
          <w:i/>
        </w:rPr>
        <w:t>exempt matter</w:t>
      </w:r>
      <w:r w:rsidRPr="00787808">
        <w:t xml:space="preserve"> is:</w:t>
      </w:r>
    </w:p>
    <w:p w:rsidR="00337EE8" w:rsidRPr="00787808" w:rsidRDefault="00337EE8">
      <w:pPr>
        <w:pStyle w:val="paragraph"/>
      </w:pPr>
      <w:r w:rsidRPr="00787808">
        <w:tab/>
        <w:t>(a)</w:t>
      </w:r>
      <w:r w:rsidRPr="00787808">
        <w:tab/>
        <w:t>the vesting of an asset or liability under item</w:t>
      </w:r>
      <w:r w:rsidR="00787808">
        <w:t> </w:t>
      </w:r>
      <w:r w:rsidRPr="00787808">
        <w:t>2 or 3; or</w:t>
      </w:r>
    </w:p>
    <w:p w:rsidR="00337EE8" w:rsidRPr="00787808" w:rsidRDefault="00337EE8">
      <w:pPr>
        <w:pStyle w:val="paragraph"/>
      </w:pPr>
      <w:r w:rsidRPr="00787808">
        <w:tab/>
        <w:t>(b)</w:t>
      </w:r>
      <w:r w:rsidRPr="00787808">
        <w:tab/>
        <w:t>the operation of this Schedule in any other respect.</w:t>
      </w:r>
    </w:p>
    <w:p w:rsidR="00337EE8" w:rsidRPr="00787808" w:rsidRDefault="00337EE8">
      <w:pPr>
        <w:pStyle w:val="Subitem"/>
      </w:pPr>
      <w:r w:rsidRPr="00787808">
        <w:t>(3)</w:t>
      </w:r>
      <w:r w:rsidRPr="00787808">
        <w:tab/>
        <w:t>The Minister may certify in writing:</w:t>
      </w:r>
    </w:p>
    <w:p w:rsidR="00337EE8" w:rsidRPr="00787808" w:rsidRDefault="00337EE8">
      <w:pPr>
        <w:pStyle w:val="paragraph"/>
      </w:pPr>
      <w:r w:rsidRPr="00787808">
        <w:tab/>
        <w:t>(a)</w:t>
      </w:r>
      <w:r w:rsidRPr="00787808">
        <w:tab/>
        <w:t>that a specified matter is an exempt matter; or</w:t>
      </w:r>
    </w:p>
    <w:p w:rsidR="00337EE8" w:rsidRPr="00787808" w:rsidRDefault="00337EE8">
      <w:pPr>
        <w:pStyle w:val="paragraph"/>
      </w:pPr>
      <w:r w:rsidRPr="00787808">
        <w:tab/>
        <w:t>(b)</w:t>
      </w:r>
      <w:r w:rsidRPr="00787808">
        <w:tab/>
        <w:t>that a specified thing was connected with a specified exempt matter.</w:t>
      </w:r>
    </w:p>
    <w:p w:rsidR="00337EE8" w:rsidRPr="00787808" w:rsidRDefault="00337EE8">
      <w:pPr>
        <w:pStyle w:val="Subitem"/>
      </w:pPr>
      <w:r w:rsidRPr="00787808">
        <w:t>(4)</w:t>
      </w:r>
      <w:r w:rsidRPr="00787808">
        <w:tab/>
        <w:t xml:space="preserve">In all courts, and for all purposes (other than for the purposes of criminal proceedings), a certificate under </w:t>
      </w:r>
      <w:r w:rsidR="00787808">
        <w:t>subitem (</w:t>
      </w:r>
      <w:r w:rsidRPr="00787808">
        <w:t>3) is prima facie evidence of the matters stated in the certificate.</w:t>
      </w:r>
    </w:p>
    <w:p w:rsidR="00337EE8" w:rsidRPr="00787808" w:rsidRDefault="00337EE8">
      <w:pPr>
        <w:pStyle w:val="Subitem"/>
      </w:pPr>
      <w:r w:rsidRPr="00787808">
        <w:t>(5)</w:t>
      </w:r>
      <w:r w:rsidRPr="00787808">
        <w:tab/>
        <w:t xml:space="preserve">A certificate made under </w:t>
      </w:r>
      <w:r w:rsidR="00787808">
        <w:t>subitem (</w:t>
      </w:r>
      <w:r w:rsidRPr="00787808">
        <w:t>3) is not a legislative instrument.</w:t>
      </w:r>
    </w:p>
    <w:p w:rsidR="00337EE8" w:rsidRPr="00787808" w:rsidRDefault="00337EE8" w:rsidP="00C21F6D">
      <w:pPr>
        <w:pStyle w:val="ActHead7"/>
        <w:pageBreakBefore/>
      </w:pPr>
      <w:bookmarkStart w:id="15" w:name="_Toc450732112"/>
      <w:r w:rsidRPr="00787808">
        <w:rPr>
          <w:rStyle w:val="CharAmPartNo"/>
        </w:rPr>
        <w:lastRenderedPageBreak/>
        <w:t>Part</w:t>
      </w:r>
      <w:r w:rsidR="00787808">
        <w:rPr>
          <w:rStyle w:val="CharAmPartNo"/>
        </w:rPr>
        <w:t> </w:t>
      </w:r>
      <w:r w:rsidRPr="00787808">
        <w:rPr>
          <w:rStyle w:val="CharAmPartNo"/>
        </w:rPr>
        <w:t>3</w:t>
      </w:r>
      <w:r w:rsidRPr="00787808">
        <w:t>—</w:t>
      </w:r>
      <w:r w:rsidRPr="00787808">
        <w:rPr>
          <w:rStyle w:val="CharAmPartText"/>
        </w:rPr>
        <w:t>Office holders of AFC, FAL and FFC</w:t>
      </w:r>
      <w:bookmarkEnd w:id="15"/>
    </w:p>
    <w:p w:rsidR="00337EE8" w:rsidRPr="00787808" w:rsidRDefault="00337EE8">
      <w:pPr>
        <w:pStyle w:val="ItemHead"/>
      </w:pPr>
      <w:r w:rsidRPr="00787808">
        <w:t>8  Termination of office holders of FAL and FFC</w:t>
      </w:r>
    </w:p>
    <w:p w:rsidR="00337EE8" w:rsidRPr="00787808" w:rsidRDefault="00337EE8">
      <w:pPr>
        <w:pStyle w:val="Subitem"/>
      </w:pPr>
      <w:r w:rsidRPr="00787808">
        <w:t>(1)</w:t>
      </w:r>
      <w:r w:rsidRPr="00787808">
        <w:tab/>
        <w:t>Before the transition time, the Minister may, in writing:</w:t>
      </w:r>
    </w:p>
    <w:p w:rsidR="00337EE8" w:rsidRPr="00787808" w:rsidRDefault="00337EE8">
      <w:pPr>
        <w:pStyle w:val="paragraph"/>
      </w:pPr>
      <w:r w:rsidRPr="00787808">
        <w:tab/>
        <w:t>(a)</w:t>
      </w:r>
      <w:r w:rsidRPr="00787808">
        <w:tab/>
        <w:t>terminate the appointment, engagement or employment of any of the following:</w:t>
      </w:r>
    </w:p>
    <w:p w:rsidR="00337EE8" w:rsidRPr="00787808" w:rsidRDefault="00337EE8">
      <w:pPr>
        <w:pStyle w:val="paragraphsub"/>
      </w:pPr>
      <w:r w:rsidRPr="00787808">
        <w:tab/>
        <w:t>(i)</w:t>
      </w:r>
      <w:r w:rsidRPr="00787808">
        <w:tab/>
        <w:t>a director of FAL or FFC;</w:t>
      </w:r>
    </w:p>
    <w:p w:rsidR="00337EE8" w:rsidRPr="00787808" w:rsidRDefault="00337EE8">
      <w:pPr>
        <w:pStyle w:val="paragraphsub"/>
      </w:pPr>
      <w:r w:rsidRPr="00787808">
        <w:tab/>
        <w:t>(ii)</w:t>
      </w:r>
      <w:r w:rsidRPr="00787808">
        <w:tab/>
        <w:t>the Managing Director/Chief Executive of FAL;</w:t>
      </w:r>
    </w:p>
    <w:p w:rsidR="00337EE8" w:rsidRPr="00787808" w:rsidRDefault="00337EE8">
      <w:pPr>
        <w:pStyle w:val="paragraphsub"/>
      </w:pPr>
      <w:r w:rsidRPr="00787808">
        <w:tab/>
        <w:t>(iii)</w:t>
      </w:r>
      <w:r w:rsidRPr="00787808">
        <w:tab/>
        <w:t>the Chief Executive of FFC; and</w:t>
      </w:r>
    </w:p>
    <w:p w:rsidR="00337EE8" w:rsidRPr="00787808" w:rsidRDefault="00337EE8">
      <w:pPr>
        <w:pStyle w:val="paragraph"/>
      </w:pPr>
      <w:r w:rsidRPr="00787808">
        <w:tab/>
        <w:t>(b)</w:t>
      </w:r>
      <w:r w:rsidRPr="00787808">
        <w:tab/>
        <w:t>terminate any contract, agreement or other instrument relating to that appointment, engagement or employment; and</w:t>
      </w:r>
    </w:p>
    <w:p w:rsidR="00337EE8" w:rsidRPr="00787808" w:rsidRDefault="00337EE8">
      <w:pPr>
        <w:pStyle w:val="paragraph"/>
      </w:pPr>
      <w:r w:rsidRPr="00787808">
        <w:tab/>
        <w:t>(c)</w:t>
      </w:r>
      <w:r w:rsidRPr="00787808">
        <w:tab/>
        <w:t xml:space="preserve">make provision in relation to a termination under </w:t>
      </w:r>
      <w:r w:rsidR="00787808">
        <w:t>paragraph (</w:t>
      </w:r>
      <w:r w:rsidRPr="00787808">
        <w:t>a) or (b).</w:t>
      </w:r>
    </w:p>
    <w:p w:rsidR="00337EE8" w:rsidRPr="00787808" w:rsidRDefault="00337EE8">
      <w:pPr>
        <w:pStyle w:val="notemargin"/>
      </w:pPr>
      <w:r w:rsidRPr="00787808">
        <w:t>Note:</w:t>
      </w:r>
      <w:r w:rsidRPr="00787808">
        <w:tab/>
        <w:t xml:space="preserve">The appointment of a member of AFC and the Chief Executive Officer of AFC is terminated at the transition time because of the repeal of the </w:t>
      </w:r>
      <w:r w:rsidRPr="00787808">
        <w:rPr>
          <w:i/>
        </w:rPr>
        <w:t>Australian Film Commission Act 1975</w:t>
      </w:r>
      <w:r w:rsidRPr="00787808">
        <w:t xml:space="preserve"> (see item</w:t>
      </w:r>
      <w:r w:rsidR="00787808">
        <w:t> </w:t>
      </w:r>
      <w:r w:rsidRPr="00787808">
        <w:t>1 of Schedule</w:t>
      </w:r>
      <w:r w:rsidR="00787808">
        <w:t> </w:t>
      </w:r>
      <w:r w:rsidRPr="00787808">
        <w:t>1 to this Act).</w:t>
      </w:r>
    </w:p>
    <w:p w:rsidR="00337EE8" w:rsidRPr="00787808" w:rsidRDefault="00337EE8">
      <w:pPr>
        <w:pStyle w:val="Subitem"/>
      </w:pPr>
      <w:r w:rsidRPr="00787808">
        <w:t>(2)</w:t>
      </w:r>
      <w:r w:rsidRPr="00787808">
        <w:tab/>
        <w:t xml:space="preserve">An instrument made under </w:t>
      </w:r>
      <w:r w:rsidR="00787808">
        <w:t>subitem (</w:t>
      </w:r>
      <w:r w:rsidRPr="00787808">
        <w:t>1) has effect accordingly and takes effect immediately before the transition time.</w:t>
      </w:r>
    </w:p>
    <w:p w:rsidR="00337EE8" w:rsidRPr="00787808" w:rsidRDefault="00337EE8">
      <w:pPr>
        <w:pStyle w:val="Subitem"/>
      </w:pPr>
      <w:r w:rsidRPr="00787808">
        <w:t>(3)</w:t>
      </w:r>
      <w:r w:rsidRPr="00787808">
        <w:tab/>
        <w:t xml:space="preserve">An instrument made under </w:t>
      </w:r>
      <w:r w:rsidR="00787808">
        <w:t>subitem (</w:t>
      </w:r>
      <w:r w:rsidRPr="00787808">
        <w:t>1) is not a legislative instrument.</w:t>
      </w:r>
    </w:p>
    <w:p w:rsidR="00337EE8" w:rsidRPr="00787808" w:rsidRDefault="00337EE8">
      <w:pPr>
        <w:pStyle w:val="ItemHead"/>
      </w:pPr>
      <w:r w:rsidRPr="00787808">
        <w:t>9  No transfer of appointment, engagement or employment etc. of office holders</w:t>
      </w:r>
    </w:p>
    <w:p w:rsidR="00337EE8" w:rsidRPr="00787808" w:rsidRDefault="00337EE8">
      <w:pPr>
        <w:pStyle w:val="Subitem"/>
      </w:pPr>
      <w:r w:rsidRPr="00787808">
        <w:t>(1)</w:t>
      </w:r>
      <w:r w:rsidRPr="00787808">
        <w:tab/>
        <w:t xml:space="preserve">Nothing in this Act produces the result that the appointment, engagement or employment of an office holder has effect at or after the transition time as if it were an appointment, engagement or employment of the office holder in relation to Screen Australia, </w:t>
      </w:r>
      <w:r w:rsidR="00E96CB0" w:rsidRPr="00787808">
        <w:t>NFSAA</w:t>
      </w:r>
      <w:r w:rsidRPr="00787808">
        <w:t xml:space="preserve"> or AFTRS.</w:t>
      </w:r>
    </w:p>
    <w:p w:rsidR="00337EE8" w:rsidRPr="00787808" w:rsidRDefault="00337EE8">
      <w:pPr>
        <w:pStyle w:val="Subitem"/>
      </w:pPr>
      <w:r w:rsidRPr="00787808">
        <w:t>(2)</w:t>
      </w:r>
      <w:r w:rsidRPr="00787808">
        <w:tab/>
        <w:t xml:space="preserve">Nothing in this Act produces the result that a contract, agreement or other instrument relating to the appointment, engagement or employment of an office holder has effect at or after the transition time as if it were a contract, agreement or instrument made by, or in relation to, Screen Australia, </w:t>
      </w:r>
      <w:r w:rsidR="00E96CB0" w:rsidRPr="00787808">
        <w:t>NFSAA</w:t>
      </w:r>
      <w:r w:rsidRPr="00787808">
        <w:t xml:space="preserve"> or AFTRS.</w:t>
      </w:r>
    </w:p>
    <w:p w:rsidR="00337EE8" w:rsidRPr="00787808" w:rsidRDefault="00337EE8">
      <w:pPr>
        <w:pStyle w:val="Subitem"/>
      </w:pPr>
      <w:r w:rsidRPr="00787808">
        <w:t>(3)</w:t>
      </w:r>
      <w:r w:rsidRPr="00787808">
        <w:tab/>
        <w:t>In this item:</w:t>
      </w:r>
    </w:p>
    <w:p w:rsidR="00337EE8" w:rsidRPr="00787808" w:rsidRDefault="00337EE8">
      <w:pPr>
        <w:pStyle w:val="Item"/>
      </w:pPr>
      <w:r w:rsidRPr="00787808">
        <w:rPr>
          <w:b/>
          <w:i/>
        </w:rPr>
        <w:lastRenderedPageBreak/>
        <w:t>office holder</w:t>
      </w:r>
      <w:r w:rsidRPr="00787808">
        <w:t xml:space="preserve"> means the following:</w:t>
      </w:r>
    </w:p>
    <w:p w:rsidR="00337EE8" w:rsidRPr="00787808" w:rsidRDefault="00337EE8">
      <w:pPr>
        <w:pStyle w:val="paragraph"/>
      </w:pPr>
      <w:r w:rsidRPr="00787808">
        <w:tab/>
        <w:t>(a)</w:t>
      </w:r>
      <w:r w:rsidRPr="00787808">
        <w:tab/>
        <w:t>a member of AFC;</w:t>
      </w:r>
    </w:p>
    <w:p w:rsidR="00337EE8" w:rsidRPr="00787808" w:rsidRDefault="00337EE8">
      <w:pPr>
        <w:pStyle w:val="paragraph"/>
      </w:pPr>
      <w:r w:rsidRPr="00787808">
        <w:tab/>
        <w:t>(b)</w:t>
      </w:r>
      <w:r w:rsidRPr="00787808">
        <w:tab/>
        <w:t>the Chief Executive Officer of AFC;</w:t>
      </w:r>
    </w:p>
    <w:p w:rsidR="00337EE8" w:rsidRPr="00787808" w:rsidRDefault="00337EE8">
      <w:pPr>
        <w:pStyle w:val="paragraph"/>
      </w:pPr>
      <w:r w:rsidRPr="00787808">
        <w:tab/>
        <w:t>(c)</w:t>
      </w:r>
      <w:r w:rsidRPr="00787808">
        <w:tab/>
        <w:t>a director of FAL or FFC;</w:t>
      </w:r>
    </w:p>
    <w:p w:rsidR="00337EE8" w:rsidRPr="00787808" w:rsidRDefault="00337EE8">
      <w:pPr>
        <w:pStyle w:val="paragraph"/>
      </w:pPr>
      <w:r w:rsidRPr="00787808">
        <w:tab/>
        <w:t>(d)</w:t>
      </w:r>
      <w:r w:rsidRPr="00787808">
        <w:tab/>
        <w:t>the Managing Director/Chief Executive of FAL;</w:t>
      </w:r>
    </w:p>
    <w:p w:rsidR="00337EE8" w:rsidRPr="00787808" w:rsidRDefault="00337EE8">
      <w:pPr>
        <w:pStyle w:val="paragraph"/>
      </w:pPr>
      <w:r w:rsidRPr="00787808">
        <w:tab/>
        <w:t>(e)</w:t>
      </w:r>
      <w:r w:rsidRPr="00787808">
        <w:tab/>
        <w:t>the Chief Executive of FFC.</w:t>
      </w:r>
    </w:p>
    <w:p w:rsidR="00337EE8" w:rsidRPr="00787808" w:rsidRDefault="00337EE8" w:rsidP="00C21F6D">
      <w:pPr>
        <w:pStyle w:val="ActHead7"/>
        <w:pageBreakBefore/>
      </w:pPr>
      <w:bookmarkStart w:id="16" w:name="_Toc450732113"/>
      <w:r w:rsidRPr="00787808">
        <w:rPr>
          <w:rStyle w:val="CharAmPartNo"/>
        </w:rPr>
        <w:lastRenderedPageBreak/>
        <w:t>Part</w:t>
      </w:r>
      <w:r w:rsidR="00787808">
        <w:rPr>
          <w:rStyle w:val="CharAmPartNo"/>
        </w:rPr>
        <w:t> </w:t>
      </w:r>
      <w:r w:rsidRPr="00787808">
        <w:rPr>
          <w:rStyle w:val="CharAmPartNo"/>
        </w:rPr>
        <w:t>4</w:t>
      </w:r>
      <w:r w:rsidRPr="00787808">
        <w:t>—</w:t>
      </w:r>
      <w:r w:rsidRPr="00787808">
        <w:rPr>
          <w:rStyle w:val="CharAmPartText"/>
        </w:rPr>
        <w:t>Staff of AFC, FAL and FFC</w:t>
      </w:r>
      <w:bookmarkEnd w:id="16"/>
    </w:p>
    <w:p w:rsidR="00337EE8" w:rsidRPr="00787808" w:rsidRDefault="00337EE8">
      <w:pPr>
        <w:pStyle w:val="ActHead8"/>
      </w:pPr>
      <w:bookmarkStart w:id="17" w:name="_Toc450732114"/>
      <w:r w:rsidRPr="00787808">
        <w:t>Division</w:t>
      </w:r>
      <w:r w:rsidR="00787808">
        <w:t> </w:t>
      </w:r>
      <w:r w:rsidRPr="00787808">
        <w:t>1—Staff of AFC</w:t>
      </w:r>
      <w:bookmarkEnd w:id="17"/>
    </w:p>
    <w:p w:rsidR="00337EE8" w:rsidRPr="00787808" w:rsidRDefault="00337EE8">
      <w:pPr>
        <w:pStyle w:val="ItemHead"/>
      </w:pPr>
      <w:r w:rsidRPr="00787808">
        <w:t>10  Non</w:t>
      </w:r>
      <w:r w:rsidR="00787808">
        <w:noBreakHyphen/>
      </w:r>
      <w:r w:rsidRPr="00787808">
        <w:t>APS employees in AFC transferred to Screen Australia as non</w:t>
      </w:r>
      <w:r w:rsidR="00787808">
        <w:noBreakHyphen/>
      </w:r>
      <w:r w:rsidRPr="00787808">
        <w:t>APS employees</w:t>
      </w:r>
    </w:p>
    <w:p w:rsidR="00337EE8" w:rsidRPr="00787808" w:rsidRDefault="00337EE8">
      <w:pPr>
        <w:pStyle w:val="Subitem"/>
      </w:pPr>
      <w:r w:rsidRPr="00787808">
        <w:t>(1)</w:t>
      </w:r>
      <w:r w:rsidRPr="00787808">
        <w:tab/>
        <w:t>This item applies to a person who:</w:t>
      </w:r>
    </w:p>
    <w:p w:rsidR="00337EE8" w:rsidRPr="00787808" w:rsidRDefault="00337EE8">
      <w:pPr>
        <w:pStyle w:val="paragraph"/>
      </w:pPr>
      <w:r w:rsidRPr="00787808">
        <w:tab/>
        <w:t>(a)</w:t>
      </w:r>
      <w:r w:rsidRPr="00787808">
        <w:tab/>
        <w:t>is an officer appointed, or employee engaged, by AFC under subsection</w:t>
      </w:r>
      <w:r w:rsidR="00787808">
        <w:t> </w:t>
      </w:r>
      <w:r w:rsidRPr="00787808">
        <w:t xml:space="preserve">29(1) of the </w:t>
      </w:r>
      <w:r w:rsidRPr="00787808">
        <w:rPr>
          <w:i/>
        </w:rPr>
        <w:t>Australian Film Commission Act 1975</w:t>
      </w:r>
      <w:r w:rsidRPr="00787808">
        <w:t xml:space="preserve"> immediately before the transition time; and</w:t>
      </w:r>
    </w:p>
    <w:p w:rsidR="00337EE8" w:rsidRPr="00787808" w:rsidRDefault="00337EE8">
      <w:pPr>
        <w:pStyle w:val="paragraph"/>
      </w:pPr>
      <w:r w:rsidRPr="00787808">
        <w:tab/>
        <w:t>(b)</w:t>
      </w:r>
      <w:r w:rsidRPr="00787808">
        <w:tab/>
        <w:t>is not covered by a determination that:</w:t>
      </w:r>
    </w:p>
    <w:p w:rsidR="00337EE8" w:rsidRPr="00787808" w:rsidRDefault="00337EE8">
      <w:pPr>
        <w:pStyle w:val="paragraphsub"/>
      </w:pPr>
      <w:r w:rsidRPr="00787808">
        <w:tab/>
        <w:t>(i)</w:t>
      </w:r>
      <w:r w:rsidRPr="00787808">
        <w:tab/>
        <w:t>is made under section</w:t>
      </w:r>
      <w:r w:rsidR="00787808">
        <w:t> </w:t>
      </w:r>
      <w:r w:rsidRPr="00787808">
        <w:t xml:space="preserve">72 of the </w:t>
      </w:r>
      <w:r w:rsidRPr="00787808">
        <w:rPr>
          <w:i/>
        </w:rPr>
        <w:t>Public Service Act 1999</w:t>
      </w:r>
      <w:r w:rsidRPr="00787808">
        <w:t>; and</w:t>
      </w:r>
    </w:p>
    <w:p w:rsidR="00337EE8" w:rsidRPr="00787808" w:rsidRDefault="00337EE8">
      <w:pPr>
        <w:pStyle w:val="paragraphsub"/>
      </w:pPr>
      <w:r w:rsidRPr="00787808">
        <w:tab/>
        <w:t>(ii)</w:t>
      </w:r>
      <w:r w:rsidRPr="00787808">
        <w:tab/>
        <w:t xml:space="preserve">causes the person, at the transition time, to become a member of the staff of </w:t>
      </w:r>
      <w:r w:rsidR="00E96CB0" w:rsidRPr="00787808">
        <w:t>NFSAA</w:t>
      </w:r>
      <w:r w:rsidRPr="00787808">
        <w:t xml:space="preserve"> engaged under the </w:t>
      </w:r>
      <w:r w:rsidRPr="00787808">
        <w:rPr>
          <w:i/>
        </w:rPr>
        <w:t>Public Service Act 1999</w:t>
      </w:r>
      <w:r w:rsidRPr="00787808">
        <w:t>.</w:t>
      </w:r>
    </w:p>
    <w:p w:rsidR="00337EE8" w:rsidRPr="00787808" w:rsidRDefault="00337EE8">
      <w:pPr>
        <w:pStyle w:val="Subitem"/>
      </w:pPr>
      <w:r w:rsidRPr="00787808">
        <w:t>(2)</w:t>
      </w:r>
      <w:r w:rsidRPr="00787808">
        <w:tab/>
        <w:t>At the transition time, the person ceases to be appointed or engaged by AFC and is taken to have been employed by Screen Australia under subsection</w:t>
      </w:r>
      <w:r w:rsidR="00787808">
        <w:t> </w:t>
      </w:r>
      <w:r w:rsidRPr="00787808">
        <w:t xml:space="preserve">31(2) of the </w:t>
      </w:r>
      <w:r w:rsidRPr="00787808">
        <w:rPr>
          <w:i/>
        </w:rPr>
        <w:t>Screen Australia Act 2008</w:t>
      </w:r>
      <w:r w:rsidRPr="00787808">
        <w:t>.</w:t>
      </w:r>
    </w:p>
    <w:p w:rsidR="00337EE8" w:rsidRPr="00787808" w:rsidRDefault="00337EE8">
      <w:pPr>
        <w:pStyle w:val="notemargin"/>
      </w:pPr>
      <w:r w:rsidRPr="00787808">
        <w:t>Note:</w:t>
      </w:r>
      <w:r w:rsidRPr="00787808">
        <w:tab/>
        <w:t xml:space="preserve">This item does not deal with the transfer of staff of AFC who are APS employees. Those employees will be transferred to Screen Australia, </w:t>
      </w:r>
      <w:r w:rsidR="00E96CB0" w:rsidRPr="00787808">
        <w:t>NFSAA</w:t>
      </w:r>
      <w:r w:rsidRPr="00787808">
        <w:t xml:space="preserve"> or AFTRS by a determination made under section</w:t>
      </w:r>
      <w:r w:rsidR="00787808">
        <w:t> </w:t>
      </w:r>
      <w:r w:rsidRPr="00787808">
        <w:t xml:space="preserve">72 of the </w:t>
      </w:r>
      <w:r w:rsidRPr="00787808">
        <w:rPr>
          <w:i/>
        </w:rPr>
        <w:t>Public Service Act 1999</w:t>
      </w:r>
      <w:r w:rsidRPr="00787808">
        <w:t>.</w:t>
      </w:r>
    </w:p>
    <w:p w:rsidR="00337EE8" w:rsidRPr="00787808" w:rsidRDefault="00337EE8">
      <w:pPr>
        <w:pStyle w:val="Subitem"/>
      </w:pPr>
      <w:r w:rsidRPr="00787808">
        <w:t>(3)</w:t>
      </w:r>
      <w:r w:rsidRPr="00787808">
        <w:tab/>
        <w:t>The person is taken to have accrued an entitlement to benefits, in connection with that employment by Screen Australia, that is equivalent to the entitlement that the person had as an officer or employee of AFC immediately before the transition time.</w:t>
      </w:r>
    </w:p>
    <w:p w:rsidR="00337EE8" w:rsidRPr="00787808" w:rsidRDefault="00337EE8">
      <w:pPr>
        <w:pStyle w:val="Subitem"/>
      </w:pPr>
      <w:r w:rsidRPr="00787808">
        <w:t>(4)</w:t>
      </w:r>
      <w:r w:rsidRPr="00787808">
        <w:tab/>
        <w:t>The service of the person as an employee of Screen Australia is taken, for all purposes, to be continuous with his or her service as an officer or employee of AFC.</w:t>
      </w:r>
    </w:p>
    <w:p w:rsidR="00337EE8" w:rsidRPr="00787808" w:rsidRDefault="00337EE8">
      <w:pPr>
        <w:pStyle w:val="ItemHead"/>
      </w:pPr>
      <w:r w:rsidRPr="00787808">
        <w:lastRenderedPageBreak/>
        <w:t>11  Non</w:t>
      </w:r>
      <w:r w:rsidR="00787808">
        <w:noBreakHyphen/>
      </w:r>
      <w:r w:rsidRPr="00787808">
        <w:t xml:space="preserve">APS employees in AFC transferred to </w:t>
      </w:r>
      <w:r w:rsidR="00E96CB0" w:rsidRPr="00787808">
        <w:t>NFSAA</w:t>
      </w:r>
      <w:r w:rsidRPr="00787808">
        <w:t xml:space="preserve"> as APS employees</w:t>
      </w:r>
    </w:p>
    <w:p w:rsidR="00337EE8" w:rsidRPr="00787808" w:rsidRDefault="00337EE8">
      <w:pPr>
        <w:pStyle w:val="Subitem"/>
      </w:pPr>
      <w:r w:rsidRPr="00787808">
        <w:t>(1)</w:t>
      </w:r>
      <w:r w:rsidRPr="00787808">
        <w:tab/>
        <w:t>This item applies to a person who:</w:t>
      </w:r>
    </w:p>
    <w:p w:rsidR="00337EE8" w:rsidRPr="00787808" w:rsidRDefault="00337EE8">
      <w:pPr>
        <w:pStyle w:val="paragraph"/>
      </w:pPr>
      <w:r w:rsidRPr="00787808">
        <w:tab/>
        <w:t>(a)</w:t>
      </w:r>
      <w:r w:rsidRPr="00787808">
        <w:tab/>
        <w:t>is an officer appointed, or employee engaged, by AFC under subsection</w:t>
      </w:r>
      <w:r w:rsidR="00787808">
        <w:t> </w:t>
      </w:r>
      <w:r w:rsidRPr="00787808">
        <w:t xml:space="preserve">29(1) of the </w:t>
      </w:r>
      <w:r w:rsidRPr="00787808">
        <w:rPr>
          <w:i/>
        </w:rPr>
        <w:t>Australian Film Commission Act 1975</w:t>
      </w:r>
      <w:r w:rsidRPr="00787808">
        <w:t xml:space="preserve"> immediately before the transition time; and</w:t>
      </w:r>
    </w:p>
    <w:p w:rsidR="00337EE8" w:rsidRPr="00787808" w:rsidRDefault="00337EE8">
      <w:pPr>
        <w:pStyle w:val="paragraph"/>
      </w:pPr>
      <w:r w:rsidRPr="00787808">
        <w:tab/>
        <w:t>(b)</w:t>
      </w:r>
      <w:r w:rsidRPr="00787808">
        <w:tab/>
        <w:t>is covered by a determination that:</w:t>
      </w:r>
    </w:p>
    <w:p w:rsidR="00337EE8" w:rsidRPr="00787808" w:rsidRDefault="00337EE8">
      <w:pPr>
        <w:pStyle w:val="paragraphsub"/>
      </w:pPr>
      <w:r w:rsidRPr="00787808">
        <w:tab/>
        <w:t>(i)</w:t>
      </w:r>
      <w:r w:rsidRPr="00787808">
        <w:tab/>
        <w:t>is made under section</w:t>
      </w:r>
      <w:r w:rsidR="00787808">
        <w:t> </w:t>
      </w:r>
      <w:r w:rsidRPr="00787808">
        <w:t xml:space="preserve">72 of the </w:t>
      </w:r>
      <w:r w:rsidRPr="00787808">
        <w:rPr>
          <w:i/>
        </w:rPr>
        <w:t>Public Service Act 1999</w:t>
      </w:r>
      <w:r w:rsidRPr="00787808">
        <w:t>; and</w:t>
      </w:r>
    </w:p>
    <w:p w:rsidR="00337EE8" w:rsidRPr="00787808" w:rsidRDefault="00337EE8">
      <w:pPr>
        <w:pStyle w:val="paragraphsub"/>
      </w:pPr>
      <w:r w:rsidRPr="00787808">
        <w:tab/>
        <w:t>(ii)</w:t>
      </w:r>
      <w:r w:rsidRPr="00787808">
        <w:tab/>
        <w:t xml:space="preserve">causes the person, at the transition time, to become a member of the staff of </w:t>
      </w:r>
      <w:r w:rsidR="00E96CB0" w:rsidRPr="00787808">
        <w:t>NFSAA</w:t>
      </w:r>
      <w:r w:rsidRPr="00787808">
        <w:t xml:space="preserve"> engaged under the </w:t>
      </w:r>
      <w:r w:rsidRPr="00787808">
        <w:rPr>
          <w:i/>
        </w:rPr>
        <w:t>Public Service Act 1999</w:t>
      </w:r>
      <w:r w:rsidRPr="00787808">
        <w:t>.</w:t>
      </w:r>
    </w:p>
    <w:p w:rsidR="00337EE8" w:rsidRPr="00787808" w:rsidRDefault="00337EE8">
      <w:pPr>
        <w:pStyle w:val="Subitem"/>
      </w:pPr>
      <w:r w:rsidRPr="00787808">
        <w:t>(2)</w:t>
      </w:r>
      <w:r w:rsidRPr="00787808">
        <w:tab/>
        <w:t xml:space="preserve">The person is taken to have accrued an entitlement to benefits, in connection with becoming a member of the staff of </w:t>
      </w:r>
      <w:r w:rsidR="00E96CB0" w:rsidRPr="00787808">
        <w:t>NFSAA</w:t>
      </w:r>
      <w:r w:rsidRPr="00787808">
        <w:t xml:space="preserve"> engaged under the </w:t>
      </w:r>
      <w:r w:rsidRPr="00787808">
        <w:rPr>
          <w:i/>
        </w:rPr>
        <w:t>Public Service Act 1999</w:t>
      </w:r>
      <w:r w:rsidRPr="00787808">
        <w:t>, that is equivalent to the entitlement that the person had as an officer or employee of AFC immediately before the transition time.</w:t>
      </w:r>
    </w:p>
    <w:p w:rsidR="00337EE8" w:rsidRPr="00787808" w:rsidRDefault="00337EE8">
      <w:pPr>
        <w:pStyle w:val="Subitem"/>
      </w:pPr>
      <w:r w:rsidRPr="00787808">
        <w:t>(3)</w:t>
      </w:r>
      <w:r w:rsidRPr="00787808">
        <w:tab/>
        <w:t xml:space="preserve">The service of the person as a member of the staff of </w:t>
      </w:r>
      <w:r w:rsidR="00E96CB0" w:rsidRPr="00787808">
        <w:t>NFSAA</w:t>
      </w:r>
      <w:r w:rsidRPr="00787808">
        <w:t xml:space="preserve"> engaged under the </w:t>
      </w:r>
      <w:r w:rsidRPr="00787808">
        <w:rPr>
          <w:i/>
        </w:rPr>
        <w:t>Public Service Act 1999</w:t>
      </w:r>
      <w:r w:rsidRPr="00787808">
        <w:t xml:space="preserve"> is taken, for all purposes, to have been continuous with his or her service as an officer or employee of AFC.</w:t>
      </w:r>
    </w:p>
    <w:p w:rsidR="00337EE8" w:rsidRPr="00787808" w:rsidRDefault="00337EE8">
      <w:pPr>
        <w:pStyle w:val="ItemHead"/>
      </w:pPr>
      <w:r w:rsidRPr="00787808">
        <w:t>12  APS employees in AFC transferred to AFTRS as employees of AFTRS</w:t>
      </w:r>
    </w:p>
    <w:p w:rsidR="00337EE8" w:rsidRPr="00787808" w:rsidRDefault="00337EE8">
      <w:pPr>
        <w:pStyle w:val="Subitem"/>
      </w:pPr>
      <w:r w:rsidRPr="00787808">
        <w:t>(1)</w:t>
      </w:r>
      <w:r w:rsidRPr="00787808">
        <w:tab/>
        <w:t>This item applies to a person who:</w:t>
      </w:r>
    </w:p>
    <w:p w:rsidR="00337EE8" w:rsidRPr="00787808" w:rsidRDefault="00337EE8">
      <w:pPr>
        <w:pStyle w:val="paragraph"/>
      </w:pPr>
      <w:r w:rsidRPr="00787808">
        <w:tab/>
        <w:t>(a)</w:t>
      </w:r>
      <w:r w:rsidRPr="00787808">
        <w:tab/>
        <w:t xml:space="preserve">is a member of the staff of AFC engaged under the </w:t>
      </w:r>
      <w:r w:rsidRPr="00787808">
        <w:rPr>
          <w:i/>
        </w:rPr>
        <w:t>Public Service Act 1999</w:t>
      </w:r>
      <w:r w:rsidRPr="00787808">
        <w:t xml:space="preserve"> immediately before the transition time; and</w:t>
      </w:r>
    </w:p>
    <w:p w:rsidR="00337EE8" w:rsidRPr="00787808" w:rsidRDefault="00337EE8">
      <w:pPr>
        <w:pStyle w:val="paragraph"/>
      </w:pPr>
      <w:r w:rsidRPr="00787808">
        <w:tab/>
        <w:t>(b)</w:t>
      </w:r>
      <w:r w:rsidRPr="00787808">
        <w:tab/>
        <w:t>is covered by a determination made under section</w:t>
      </w:r>
      <w:r w:rsidR="00787808">
        <w:t> </w:t>
      </w:r>
      <w:r w:rsidRPr="00787808">
        <w:t xml:space="preserve">72 of the </w:t>
      </w:r>
      <w:r w:rsidRPr="00787808">
        <w:rPr>
          <w:i/>
        </w:rPr>
        <w:t>Public Service Act 1999</w:t>
      </w:r>
      <w:r w:rsidRPr="00787808">
        <w:t xml:space="preserve"> that causes the person, at the transition time:</w:t>
      </w:r>
    </w:p>
    <w:p w:rsidR="00337EE8" w:rsidRPr="00787808" w:rsidRDefault="00337EE8">
      <w:pPr>
        <w:pStyle w:val="paragraphsub"/>
      </w:pPr>
      <w:r w:rsidRPr="00787808">
        <w:tab/>
        <w:t>(i)</w:t>
      </w:r>
      <w:r w:rsidRPr="00787808">
        <w:tab/>
        <w:t xml:space="preserve">to cease to be engaged under the </w:t>
      </w:r>
      <w:r w:rsidRPr="00787808">
        <w:rPr>
          <w:i/>
        </w:rPr>
        <w:t>Public Service Act 1999</w:t>
      </w:r>
      <w:r w:rsidRPr="00787808">
        <w:t>; and</w:t>
      </w:r>
    </w:p>
    <w:p w:rsidR="00337EE8" w:rsidRPr="00787808" w:rsidRDefault="00337EE8">
      <w:pPr>
        <w:pStyle w:val="paragraphsub"/>
      </w:pPr>
      <w:r w:rsidRPr="00787808">
        <w:lastRenderedPageBreak/>
        <w:tab/>
        <w:t>(ii)</w:t>
      </w:r>
      <w:r w:rsidRPr="00787808">
        <w:tab/>
        <w:t>to become an employee of AFTRS under section</w:t>
      </w:r>
      <w:r w:rsidR="00787808">
        <w:t> </w:t>
      </w:r>
      <w:r w:rsidRPr="00787808">
        <w:t xml:space="preserve">34 of the </w:t>
      </w:r>
      <w:r w:rsidRPr="00787808">
        <w:rPr>
          <w:i/>
        </w:rPr>
        <w:t>Australian Film, Television and Radio School Act 1973</w:t>
      </w:r>
      <w:r w:rsidRPr="00787808">
        <w:t>.</w:t>
      </w:r>
    </w:p>
    <w:p w:rsidR="00337EE8" w:rsidRPr="00787808" w:rsidRDefault="00337EE8">
      <w:pPr>
        <w:pStyle w:val="Subitem"/>
      </w:pPr>
      <w:r w:rsidRPr="00787808">
        <w:t>(2)</w:t>
      </w:r>
      <w:r w:rsidRPr="00787808">
        <w:tab/>
        <w:t xml:space="preserve">The person is taken to have accrued an entitlement to benefits, in connection with becoming an employee of AFTRS, that is equivalent to the entitlement that the person had as a member of the staff of AFC engaged under the </w:t>
      </w:r>
      <w:r w:rsidRPr="00787808">
        <w:rPr>
          <w:i/>
        </w:rPr>
        <w:t xml:space="preserve">Public Service Act 1999 </w:t>
      </w:r>
      <w:r w:rsidRPr="00787808">
        <w:t>immediately before the transition time.</w:t>
      </w:r>
    </w:p>
    <w:p w:rsidR="00337EE8" w:rsidRPr="00787808" w:rsidRDefault="00337EE8">
      <w:pPr>
        <w:pStyle w:val="Subitem"/>
      </w:pPr>
      <w:r w:rsidRPr="00787808">
        <w:t>(3)</w:t>
      </w:r>
      <w:r w:rsidRPr="00787808">
        <w:tab/>
        <w:t xml:space="preserve">The service of the person as an employee of AFTRS is taken, for all purposes, to have been continuous with his or her service as a member of the staff of AFC engaged under the </w:t>
      </w:r>
      <w:r w:rsidRPr="00787808">
        <w:rPr>
          <w:i/>
        </w:rPr>
        <w:t>Public Service Act 1999</w:t>
      </w:r>
      <w:r w:rsidRPr="00787808">
        <w:t>.</w:t>
      </w:r>
    </w:p>
    <w:p w:rsidR="00337EE8" w:rsidRPr="00787808" w:rsidRDefault="00337EE8">
      <w:pPr>
        <w:pStyle w:val="ActHead8"/>
      </w:pPr>
      <w:bookmarkStart w:id="18" w:name="_Toc450732115"/>
      <w:r w:rsidRPr="00787808">
        <w:t>Division</w:t>
      </w:r>
      <w:r w:rsidR="00787808">
        <w:t> </w:t>
      </w:r>
      <w:r w:rsidRPr="00787808">
        <w:t>2—Staff of FAL and FFC</w:t>
      </w:r>
      <w:bookmarkEnd w:id="18"/>
    </w:p>
    <w:p w:rsidR="00337EE8" w:rsidRPr="00787808" w:rsidRDefault="00337EE8">
      <w:pPr>
        <w:pStyle w:val="ItemHead"/>
      </w:pPr>
      <w:r w:rsidRPr="00787808">
        <w:t>13  Non</w:t>
      </w:r>
      <w:r w:rsidR="00787808">
        <w:noBreakHyphen/>
      </w:r>
      <w:r w:rsidRPr="00787808">
        <w:t>APS employees in FAL or FFC on contract of employment transferred to Screen Australia as non</w:t>
      </w:r>
      <w:r w:rsidR="00787808">
        <w:noBreakHyphen/>
      </w:r>
      <w:r w:rsidRPr="00787808">
        <w:t>APS employees</w:t>
      </w:r>
    </w:p>
    <w:p w:rsidR="00337EE8" w:rsidRPr="00787808" w:rsidRDefault="00337EE8">
      <w:pPr>
        <w:pStyle w:val="Subitem"/>
      </w:pPr>
      <w:r w:rsidRPr="00787808">
        <w:t>(1)</w:t>
      </w:r>
      <w:r w:rsidRPr="00787808">
        <w:tab/>
        <w:t>This item applies to a person if:</w:t>
      </w:r>
    </w:p>
    <w:p w:rsidR="00337EE8" w:rsidRPr="00787808" w:rsidRDefault="00337EE8">
      <w:pPr>
        <w:pStyle w:val="paragraph"/>
      </w:pPr>
      <w:r w:rsidRPr="00787808">
        <w:tab/>
        <w:t>(a)</w:t>
      </w:r>
      <w:r w:rsidRPr="00787808">
        <w:tab/>
        <w:t>the person is employed by FAL or FFC, on a contract of employment, immediately before the transition time; and</w:t>
      </w:r>
    </w:p>
    <w:p w:rsidR="00337EE8" w:rsidRPr="00787808" w:rsidRDefault="00337EE8">
      <w:pPr>
        <w:pStyle w:val="paragraph"/>
      </w:pPr>
      <w:r w:rsidRPr="00787808">
        <w:tab/>
        <w:t>(b)</w:t>
      </w:r>
      <w:r w:rsidRPr="00787808">
        <w:tab/>
        <w:t>Part</w:t>
      </w:r>
      <w:r w:rsidR="00787808">
        <w:t> </w:t>
      </w:r>
      <w:r w:rsidRPr="00787808">
        <w:t>11 of, and Schedule</w:t>
      </w:r>
      <w:r w:rsidR="00787808">
        <w:t> </w:t>
      </w:r>
      <w:r w:rsidRPr="00787808">
        <w:t xml:space="preserve">9 to, the </w:t>
      </w:r>
      <w:r w:rsidRPr="00787808">
        <w:rPr>
          <w:i/>
        </w:rPr>
        <w:t>Workplace Relations Act 1996</w:t>
      </w:r>
      <w:r w:rsidRPr="00787808">
        <w:t xml:space="preserve"> do not apply to the contract of employment; and</w:t>
      </w:r>
    </w:p>
    <w:p w:rsidR="00337EE8" w:rsidRPr="00787808" w:rsidRDefault="00337EE8">
      <w:pPr>
        <w:pStyle w:val="paragraph"/>
      </w:pPr>
      <w:r w:rsidRPr="00787808">
        <w:tab/>
        <w:t>(c)</w:t>
      </w:r>
      <w:r w:rsidRPr="00787808">
        <w:tab/>
        <w:t>the person is not covered by a determination that:</w:t>
      </w:r>
    </w:p>
    <w:p w:rsidR="00337EE8" w:rsidRPr="00787808" w:rsidRDefault="00337EE8">
      <w:pPr>
        <w:pStyle w:val="paragraphsub"/>
      </w:pPr>
      <w:r w:rsidRPr="00787808">
        <w:tab/>
        <w:t>(i)</w:t>
      </w:r>
      <w:r w:rsidRPr="00787808">
        <w:tab/>
        <w:t>is made under section</w:t>
      </w:r>
      <w:r w:rsidR="00787808">
        <w:t> </w:t>
      </w:r>
      <w:r w:rsidRPr="00787808">
        <w:t xml:space="preserve">72 of the </w:t>
      </w:r>
      <w:r w:rsidRPr="00787808">
        <w:rPr>
          <w:i/>
        </w:rPr>
        <w:t>Public Service Act 1999</w:t>
      </w:r>
      <w:r w:rsidRPr="00787808">
        <w:t>; and</w:t>
      </w:r>
    </w:p>
    <w:p w:rsidR="00337EE8" w:rsidRPr="00787808" w:rsidRDefault="00337EE8">
      <w:pPr>
        <w:pStyle w:val="paragraphsub"/>
      </w:pPr>
      <w:r w:rsidRPr="00787808">
        <w:tab/>
        <w:t>(ii)</w:t>
      </w:r>
      <w:r w:rsidRPr="00787808">
        <w:tab/>
        <w:t xml:space="preserve">causes the person, at the transition time, to become a member of the staff of Screen Australia engaged under the </w:t>
      </w:r>
      <w:r w:rsidRPr="00787808">
        <w:rPr>
          <w:i/>
        </w:rPr>
        <w:t>Public Service Act 1999</w:t>
      </w:r>
      <w:r w:rsidRPr="00787808">
        <w:t>.</w:t>
      </w:r>
    </w:p>
    <w:p w:rsidR="00337EE8" w:rsidRPr="00787808" w:rsidRDefault="00337EE8">
      <w:pPr>
        <w:pStyle w:val="Subitem"/>
      </w:pPr>
      <w:r w:rsidRPr="00787808">
        <w:t>(2)</w:t>
      </w:r>
      <w:r w:rsidRPr="00787808">
        <w:tab/>
        <w:t>At the transition time, the person ceases to be employed by FAL or FFC and is taken to have been employed by Screen Australia under subsection</w:t>
      </w:r>
      <w:r w:rsidR="00787808">
        <w:t> </w:t>
      </w:r>
      <w:r w:rsidRPr="00787808">
        <w:t xml:space="preserve">31(2) of the </w:t>
      </w:r>
      <w:r w:rsidRPr="00787808">
        <w:rPr>
          <w:i/>
        </w:rPr>
        <w:t>Screen Australia Act 2008</w:t>
      </w:r>
      <w:r w:rsidRPr="00787808">
        <w:t>.</w:t>
      </w:r>
    </w:p>
    <w:p w:rsidR="00337EE8" w:rsidRPr="00787808" w:rsidRDefault="00337EE8">
      <w:pPr>
        <w:pStyle w:val="Subitem"/>
      </w:pPr>
      <w:r w:rsidRPr="00787808">
        <w:lastRenderedPageBreak/>
        <w:t>(3)</w:t>
      </w:r>
      <w:r w:rsidRPr="00787808">
        <w:tab/>
        <w:t>The contract of employment continues in force at and after the transition time as if it were a contract of employment between the person and Screen Australia.</w:t>
      </w:r>
    </w:p>
    <w:p w:rsidR="00337EE8" w:rsidRPr="00787808" w:rsidRDefault="00337EE8">
      <w:pPr>
        <w:pStyle w:val="Subitem"/>
      </w:pPr>
      <w:r w:rsidRPr="00787808">
        <w:t>(4)</w:t>
      </w:r>
      <w:r w:rsidRPr="00787808">
        <w:tab/>
        <w:t>The person is taken to have accrued an entitlement to benefits, in connection with that employment by Screen Australia, that is equivalent to the entitlement that the person had as an employee of FAL or FFC immediately before the transition time.</w:t>
      </w:r>
    </w:p>
    <w:p w:rsidR="00337EE8" w:rsidRPr="00787808" w:rsidRDefault="00337EE8">
      <w:pPr>
        <w:pStyle w:val="Subitem"/>
      </w:pPr>
      <w:r w:rsidRPr="00787808">
        <w:t>(5)</w:t>
      </w:r>
      <w:r w:rsidRPr="00787808">
        <w:tab/>
        <w:t>The service of the person as an employee of Screen Australia is taken, for all purposes, to have been continuous with his or her service as an employee of FAL or FFC.</w:t>
      </w:r>
    </w:p>
    <w:p w:rsidR="00337EE8" w:rsidRPr="00787808" w:rsidRDefault="00337EE8">
      <w:pPr>
        <w:pStyle w:val="Subitem"/>
      </w:pPr>
      <w:r w:rsidRPr="00787808">
        <w:t>(6)</w:t>
      </w:r>
      <w:r w:rsidRPr="00787808">
        <w:tab/>
        <w:t>This item does not prevent the contract of employment of the person from being varied after the transition time:</w:t>
      </w:r>
    </w:p>
    <w:p w:rsidR="00337EE8" w:rsidRPr="00787808" w:rsidRDefault="00337EE8">
      <w:pPr>
        <w:pStyle w:val="paragraph"/>
      </w:pPr>
      <w:r w:rsidRPr="00787808">
        <w:tab/>
        <w:t>(a)</w:t>
      </w:r>
      <w:r w:rsidRPr="00787808">
        <w:tab/>
        <w:t>in accordance with that contract; or</w:t>
      </w:r>
    </w:p>
    <w:p w:rsidR="00337EE8" w:rsidRPr="00787808" w:rsidRDefault="00337EE8">
      <w:pPr>
        <w:pStyle w:val="paragraph"/>
      </w:pPr>
      <w:r w:rsidRPr="00787808">
        <w:tab/>
        <w:t>(b)</w:t>
      </w:r>
      <w:r w:rsidRPr="00787808">
        <w:tab/>
        <w:t>by or under a law, award, determination or agreement.</w:t>
      </w:r>
    </w:p>
    <w:p w:rsidR="00337EE8" w:rsidRPr="00787808" w:rsidRDefault="00337EE8">
      <w:pPr>
        <w:pStyle w:val="Subitem"/>
      </w:pPr>
      <w:r w:rsidRPr="00787808">
        <w:t>(7)</w:t>
      </w:r>
      <w:r w:rsidRPr="00787808">
        <w:tab/>
        <w:t>To avoid doubt, this item does not apply to the following:</w:t>
      </w:r>
    </w:p>
    <w:p w:rsidR="00337EE8" w:rsidRPr="00787808" w:rsidRDefault="00337EE8">
      <w:pPr>
        <w:pStyle w:val="paragraph"/>
      </w:pPr>
      <w:r w:rsidRPr="00787808">
        <w:tab/>
        <w:t>(a)</w:t>
      </w:r>
      <w:r w:rsidRPr="00787808">
        <w:tab/>
        <w:t>a director of FAL or FFC;</w:t>
      </w:r>
    </w:p>
    <w:p w:rsidR="00337EE8" w:rsidRPr="00787808" w:rsidRDefault="00337EE8">
      <w:pPr>
        <w:pStyle w:val="paragraph"/>
      </w:pPr>
      <w:r w:rsidRPr="00787808">
        <w:tab/>
        <w:t>(b)</w:t>
      </w:r>
      <w:r w:rsidRPr="00787808">
        <w:tab/>
        <w:t>the Managing Director/Chief Executive of FAL;</w:t>
      </w:r>
    </w:p>
    <w:p w:rsidR="00337EE8" w:rsidRPr="00787808" w:rsidRDefault="00337EE8">
      <w:pPr>
        <w:pStyle w:val="paragraph"/>
      </w:pPr>
      <w:r w:rsidRPr="00787808">
        <w:tab/>
        <w:t>(c)</w:t>
      </w:r>
      <w:r w:rsidRPr="00787808">
        <w:tab/>
        <w:t>the Chief Executive of FFC.</w:t>
      </w:r>
    </w:p>
    <w:p w:rsidR="00337EE8" w:rsidRPr="00787808" w:rsidRDefault="00337EE8">
      <w:pPr>
        <w:pStyle w:val="Subitem"/>
      </w:pPr>
      <w:r w:rsidRPr="00787808">
        <w:t>(8)</w:t>
      </w:r>
      <w:r w:rsidRPr="00787808">
        <w:tab/>
        <w:t>In this item:</w:t>
      </w:r>
    </w:p>
    <w:p w:rsidR="00337EE8" w:rsidRPr="00787808" w:rsidRDefault="00337EE8">
      <w:pPr>
        <w:pStyle w:val="Item"/>
      </w:pPr>
      <w:r w:rsidRPr="00787808">
        <w:rPr>
          <w:b/>
          <w:i/>
        </w:rPr>
        <w:t>vary</w:t>
      </w:r>
      <w:r w:rsidRPr="00787808">
        <w:t>, in relation to a contract of employment, includes:</w:t>
      </w:r>
    </w:p>
    <w:p w:rsidR="00337EE8" w:rsidRPr="00787808" w:rsidRDefault="00337EE8">
      <w:pPr>
        <w:pStyle w:val="paragraph"/>
      </w:pPr>
      <w:r w:rsidRPr="00787808">
        <w:tab/>
        <w:t>(a)</w:t>
      </w:r>
      <w:r w:rsidRPr="00787808">
        <w:tab/>
        <w:t>omitting any of the terms and conditions of the contract; or</w:t>
      </w:r>
    </w:p>
    <w:p w:rsidR="00337EE8" w:rsidRPr="00787808" w:rsidRDefault="00337EE8">
      <w:pPr>
        <w:pStyle w:val="paragraph"/>
      </w:pPr>
      <w:r w:rsidRPr="00787808">
        <w:tab/>
        <w:t>(b)</w:t>
      </w:r>
      <w:r w:rsidRPr="00787808">
        <w:tab/>
        <w:t>adding to the terms and conditions of the contract; or</w:t>
      </w:r>
    </w:p>
    <w:p w:rsidR="00337EE8" w:rsidRPr="00787808" w:rsidRDefault="00337EE8">
      <w:pPr>
        <w:pStyle w:val="paragraph"/>
      </w:pPr>
      <w:r w:rsidRPr="00787808">
        <w:tab/>
        <w:t>(c)</w:t>
      </w:r>
      <w:r w:rsidRPr="00787808">
        <w:tab/>
        <w:t>substituting new terms or conditions for any of the terms and conditions of the contract.</w:t>
      </w:r>
    </w:p>
    <w:p w:rsidR="00337EE8" w:rsidRPr="00787808" w:rsidRDefault="00337EE8">
      <w:pPr>
        <w:pStyle w:val="ItemHead"/>
      </w:pPr>
      <w:r w:rsidRPr="00787808">
        <w:t>14  Non</w:t>
      </w:r>
      <w:r w:rsidR="00787808">
        <w:noBreakHyphen/>
      </w:r>
      <w:r w:rsidRPr="00787808">
        <w:t>APS employees in FAL not on contract of employment transferred to Screen Australia as non</w:t>
      </w:r>
      <w:r w:rsidR="00787808">
        <w:noBreakHyphen/>
      </w:r>
      <w:r w:rsidRPr="00787808">
        <w:t>APS employees</w:t>
      </w:r>
    </w:p>
    <w:p w:rsidR="00337EE8" w:rsidRPr="00787808" w:rsidRDefault="00337EE8">
      <w:pPr>
        <w:pStyle w:val="Subitem"/>
      </w:pPr>
      <w:r w:rsidRPr="00787808">
        <w:t>(1)</w:t>
      </w:r>
      <w:r w:rsidRPr="00787808">
        <w:tab/>
        <w:t>This item applies to a person if:</w:t>
      </w:r>
    </w:p>
    <w:p w:rsidR="00337EE8" w:rsidRPr="00787808" w:rsidRDefault="00337EE8">
      <w:pPr>
        <w:pStyle w:val="paragraph"/>
      </w:pPr>
      <w:r w:rsidRPr="00787808">
        <w:tab/>
        <w:t>(a)</w:t>
      </w:r>
      <w:r w:rsidRPr="00787808">
        <w:tab/>
        <w:t>the person is employed by FAL immediately before the transition time; and</w:t>
      </w:r>
    </w:p>
    <w:p w:rsidR="00337EE8" w:rsidRPr="00787808" w:rsidRDefault="00337EE8">
      <w:pPr>
        <w:pStyle w:val="paragraph"/>
      </w:pPr>
      <w:r w:rsidRPr="00787808">
        <w:tab/>
        <w:t>(b)</w:t>
      </w:r>
      <w:r w:rsidRPr="00787808">
        <w:tab/>
        <w:t>item</w:t>
      </w:r>
      <w:r w:rsidR="00787808">
        <w:t> </w:t>
      </w:r>
      <w:r w:rsidRPr="00787808">
        <w:t>13 does not apply to the person; and</w:t>
      </w:r>
    </w:p>
    <w:p w:rsidR="00337EE8" w:rsidRPr="00787808" w:rsidRDefault="00337EE8">
      <w:pPr>
        <w:pStyle w:val="paragraph"/>
      </w:pPr>
      <w:r w:rsidRPr="00787808">
        <w:lastRenderedPageBreak/>
        <w:tab/>
        <w:t>(c)</w:t>
      </w:r>
      <w:r w:rsidRPr="00787808">
        <w:tab/>
        <w:t>the person is not covered by a determination that:</w:t>
      </w:r>
    </w:p>
    <w:p w:rsidR="00337EE8" w:rsidRPr="00787808" w:rsidRDefault="00337EE8">
      <w:pPr>
        <w:pStyle w:val="paragraphsub"/>
      </w:pPr>
      <w:r w:rsidRPr="00787808">
        <w:tab/>
        <w:t>(i)</w:t>
      </w:r>
      <w:r w:rsidRPr="00787808">
        <w:tab/>
        <w:t>is made under section</w:t>
      </w:r>
      <w:r w:rsidR="00787808">
        <w:t> </w:t>
      </w:r>
      <w:r w:rsidRPr="00787808">
        <w:t xml:space="preserve">72 of the </w:t>
      </w:r>
      <w:r w:rsidRPr="00787808">
        <w:rPr>
          <w:i/>
        </w:rPr>
        <w:t>Public Service Act 1999</w:t>
      </w:r>
      <w:r w:rsidRPr="00787808">
        <w:t>; and</w:t>
      </w:r>
    </w:p>
    <w:p w:rsidR="00337EE8" w:rsidRPr="00787808" w:rsidRDefault="00337EE8">
      <w:pPr>
        <w:pStyle w:val="paragraphsub"/>
      </w:pPr>
      <w:r w:rsidRPr="00787808">
        <w:tab/>
        <w:t>(ii)</w:t>
      </w:r>
      <w:r w:rsidRPr="00787808">
        <w:tab/>
        <w:t xml:space="preserve">causes the person, at the transition time, to become a member of the staff of Screen Australia engaged under the </w:t>
      </w:r>
      <w:r w:rsidRPr="00787808">
        <w:rPr>
          <w:i/>
        </w:rPr>
        <w:t>Public Service Act 1999</w:t>
      </w:r>
      <w:r w:rsidRPr="00787808">
        <w:t>.</w:t>
      </w:r>
    </w:p>
    <w:p w:rsidR="00337EE8" w:rsidRPr="00787808" w:rsidRDefault="00337EE8">
      <w:pPr>
        <w:pStyle w:val="Subitem"/>
      </w:pPr>
      <w:r w:rsidRPr="00787808">
        <w:t>(2)</w:t>
      </w:r>
      <w:r w:rsidRPr="00787808">
        <w:tab/>
        <w:t>At the transition time, the person ceases to be employed by FAL and is taken to have been employed by Screen Australia under subsection</w:t>
      </w:r>
      <w:r w:rsidR="00787808">
        <w:t> </w:t>
      </w:r>
      <w:r w:rsidRPr="00787808">
        <w:t xml:space="preserve">31(2) of the </w:t>
      </w:r>
      <w:r w:rsidRPr="00787808">
        <w:rPr>
          <w:i/>
        </w:rPr>
        <w:t>Screen Australia Act 2008</w:t>
      </w:r>
      <w:r w:rsidRPr="00787808">
        <w:t>.</w:t>
      </w:r>
    </w:p>
    <w:p w:rsidR="00337EE8" w:rsidRPr="00787808" w:rsidRDefault="00337EE8">
      <w:pPr>
        <w:pStyle w:val="Subitem"/>
      </w:pPr>
      <w:r w:rsidRPr="00787808">
        <w:t>(3)</w:t>
      </w:r>
      <w:r w:rsidRPr="00787808">
        <w:tab/>
        <w:t>The person is taken to have accrued an entitlement to benefits, in connection with that employment by Screen Australia, that is equivalent to the entitlement that the person had as an employee of FAL immediately before the transition time.</w:t>
      </w:r>
    </w:p>
    <w:p w:rsidR="00337EE8" w:rsidRPr="00787808" w:rsidRDefault="00337EE8">
      <w:pPr>
        <w:pStyle w:val="Subitem"/>
      </w:pPr>
      <w:r w:rsidRPr="00787808">
        <w:t>(4)</w:t>
      </w:r>
      <w:r w:rsidRPr="00787808">
        <w:tab/>
        <w:t>The service of the person as an employee of Screen Australia is taken, for all purposes, to have been continuous with his or her service as an employee of FAL.</w:t>
      </w:r>
    </w:p>
    <w:p w:rsidR="00337EE8" w:rsidRPr="00787808" w:rsidRDefault="00337EE8">
      <w:pPr>
        <w:pStyle w:val="Subitem"/>
      </w:pPr>
      <w:r w:rsidRPr="00787808">
        <w:t>(5)</w:t>
      </w:r>
      <w:r w:rsidRPr="00787808">
        <w:tab/>
        <w:t>To avoid doubt, this item does not apply to the following:</w:t>
      </w:r>
    </w:p>
    <w:p w:rsidR="00337EE8" w:rsidRPr="00787808" w:rsidRDefault="00337EE8">
      <w:pPr>
        <w:pStyle w:val="paragraph"/>
      </w:pPr>
      <w:r w:rsidRPr="00787808">
        <w:tab/>
        <w:t>(a)</w:t>
      </w:r>
      <w:r w:rsidRPr="00787808">
        <w:tab/>
        <w:t>a director of FAL;</w:t>
      </w:r>
    </w:p>
    <w:p w:rsidR="00337EE8" w:rsidRPr="00787808" w:rsidRDefault="00337EE8">
      <w:pPr>
        <w:pStyle w:val="paragraph"/>
      </w:pPr>
      <w:r w:rsidRPr="00787808">
        <w:tab/>
        <w:t>(b)</w:t>
      </w:r>
      <w:r w:rsidRPr="00787808">
        <w:tab/>
        <w:t>the Managing Director/Chief Executive of FAL.</w:t>
      </w:r>
    </w:p>
    <w:p w:rsidR="00337EE8" w:rsidRPr="00787808" w:rsidRDefault="00337EE8">
      <w:pPr>
        <w:pStyle w:val="ItemHead"/>
      </w:pPr>
      <w:r w:rsidRPr="00787808">
        <w:t>15  Non</w:t>
      </w:r>
      <w:r w:rsidR="00787808">
        <w:noBreakHyphen/>
      </w:r>
      <w:r w:rsidRPr="00787808">
        <w:t>APS employees in FAL or FFC, on a contract of employment or otherwise, transferred to Screen Australia as APS employees</w:t>
      </w:r>
    </w:p>
    <w:p w:rsidR="00337EE8" w:rsidRPr="00787808" w:rsidRDefault="00337EE8">
      <w:pPr>
        <w:pStyle w:val="Subitem"/>
      </w:pPr>
      <w:r w:rsidRPr="00787808">
        <w:t>(1)</w:t>
      </w:r>
      <w:r w:rsidRPr="00787808">
        <w:tab/>
        <w:t>This item applies to a person who:</w:t>
      </w:r>
    </w:p>
    <w:p w:rsidR="00337EE8" w:rsidRPr="00787808" w:rsidRDefault="00337EE8">
      <w:pPr>
        <w:pStyle w:val="paragraph"/>
      </w:pPr>
      <w:r w:rsidRPr="00787808">
        <w:tab/>
        <w:t>(a)</w:t>
      </w:r>
      <w:r w:rsidRPr="00787808">
        <w:tab/>
        <w:t>is employed by FAL or FFC, on a contract of employment or otherwise, immediately before the transition time; and</w:t>
      </w:r>
    </w:p>
    <w:p w:rsidR="00337EE8" w:rsidRPr="00787808" w:rsidRDefault="00337EE8">
      <w:pPr>
        <w:pStyle w:val="paragraph"/>
      </w:pPr>
      <w:r w:rsidRPr="00787808">
        <w:tab/>
        <w:t>(b)</w:t>
      </w:r>
      <w:r w:rsidRPr="00787808">
        <w:tab/>
        <w:t>is covered by a determination that:</w:t>
      </w:r>
    </w:p>
    <w:p w:rsidR="00337EE8" w:rsidRPr="00787808" w:rsidRDefault="00337EE8">
      <w:pPr>
        <w:pStyle w:val="paragraphsub"/>
      </w:pPr>
      <w:r w:rsidRPr="00787808">
        <w:tab/>
        <w:t>(i)</w:t>
      </w:r>
      <w:r w:rsidRPr="00787808">
        <w:tab/>
        <w:t>is made under section</w:t>
      </w:r>
      <w:r w:rsidR="00787808">
        <w:t> </w:t>
      </w:r>
      <w:r w:rsidRPr="00787808">
        <w:t xml:space="preserve">72 of the </w:t>
      </w:r>
      <w:r w:rsidRPr="00787808">
        <w:rPr>
          <w:i/>
        </w:rPr>
        <w:t>Public Service Act 1999</w:t>
      </w:r>
      <w:r w:rsidRPr="00787808">
        <w:t>; and</w:t>
      </w:r>
    </w:p>
    <w:p w:rsidR="00337EE8" w:rsidRPr="00787808" w:rsidRDefault="00337EE8">
      <w:pPr>
        <w:pStyle w:val="paragraphsub"/>
      </w:pPr>
      <w:r w:rsidRPr="00787808">
        <w:tab/>
        <w:t>(ii)</w:t>
      </w:r>
      <w:r w:rsidRPr="00787808">
        <w:tab/>
        <w:t xml:space="preserve">causes the person, at the transition time, to become a member of the staff of Screen Australia engaged under the </w:t>
      </w:r>
      <w:r w:rsidRPr="00787808">
        <w:rPr>
          <w:i/>
        </w:rPr>
        <w:t>Public Service Act 1999</w:t>
      </w:r>
      <w:r w:rsidRPr="00787808">
        <w:t>.</w:t>
      </w:r>
    </w:p>
    <w:p w:rsidR="00337EE8" w:rsidRPr="00787808" w:rsidRDefault="00337EE8">
      <w:pPr>
        <w:pStyle w:val="Subitem"/>
      </w:pPr>
      <w:r w:rsidRPr="00787808">
        <w:lastRenderedPageBreak/>
        <w:t>(2)</w:t>
      </w:r>
      <w:r w:rsidRPr="00787808">
        <w:tab/>
        <w:t xml:space="preserve">The person is taken to have accrued an entitlement to benefits, in connection with becoming a member of the staff of Screen Australia engaged under the </w:t>
      </w:r>
      <w:r w:rsidRPr="00787808">
        <w:rPr>
          <w:i/>
        </w:rPr>
        <w:t>Public Service Act 1999</w:t>
      </w:r>
      <w:r w:rsidRPr="00787808">
        <w:t>, that is equivalent to the entitlement that the person had as an employee of FAL or FFC immediately before the transition time.</w:t>
      </w:r>
    </w:p>
    <w:p w:rsidR="00337EE8" w:rsidRPr="00787808" w:rsidRDefault="00337EE8">
      <w:pPr>
        <w:pStyle w:val="Subitem"/>
      </w:pPr>
      <w:r w:rsidRPr="00787808">
        <w:t>(3)</w:t>
      </w:r>
      <w:r w:rsidRPr="00787808">
        <w:tab/>
        <w:t xml:space="preserve">The service of the person as a member of the staff of Screen Australia engaged under the </w:t>
      </w:r>
      <w:r w:rsidRPr="00787808">
        <w:rPr>
          <w:i/>
        </w:rPr>
        <w:t>Public Service Act 1999</w:t>
      </w:r>
      <w:r w:rsidRPr="00787808">
        <w:t xml:space="preserve"> is taken, for all purposes, to have been continuous with his or her service as an employee of FFC and FAL.</w:t>
      </w:r>
    </w:p>
    <w:p w:rsidR="00337EE8" w:rsidRPr="00787808" w:rsidRDefault="00337EE8">
      <w:pPr>
        <w:pStyle w:val="ActHead8"/>
      </w:pPr>
      <w:bookmarkStart w:id="19" w:name="_Toc450732116"/>
      <w:r w:rsidRPr="00787808">
        <w:t>Division</w:t>
      </w:r>
      <w:r w:rsidR="00787808">
        <w:t> </w:t>
      </w:r>
      <w:r w:rsidRPr="00787808">
        <w:t>3—Other matters relating to staff</w:t>
      </w:r>
      <w:bookmarkEnd w:id="19"/>
    </w:p>
    <w:p w:rsidR="00337EE8" w:rsidRPr="00787808" w:rsidRDefault="00337EE8">
      <w:pPr>
        <w:pStyle w:val="ItemHead"/>
      </w:pPr>
      <w:r w:rsidRPr="00787808">
        <w:t>16  Limited transfer of appointment, engagement or employment etc. of staff</w:t>
      </w:r>
    </w:p>
    <w:p w:rsidR="00337EE8" w:rsidRPr="00787808" w:rsidRDefault="00337EE8">
      <w:pPr>
        <w:pStyle w:val="Subitem"/>
      </w:pPr>
      <w:r w:rsidRPr="00787808">
        <w:t>(1)</w:t>
      </w:r>
      <w:r w:rsidRPr="00787808">
        <w:tab/>
        <w:t>Nothing in this Act (except items</w:t>
      </w:r>
      <w:r w:rsidR="00787808">
        <w:t> </w:t>
      </w:r>
      <w:r w:rsidRPr="00787808">
        <w:t xml:space="preserve">10, 13, and 14) produces the result that the appointment, engagement or employment of a person by AFC, FAL or FFC immediately before the transition time has effect at or after the transition time as if it were an appointment, engagement or employment by Screen Australia, </w:t>
      </w:r>
      <w:r w:rsidR="00E96CB0" w:rsidRPr="00787808">
        <w:t>NFSAA</w:t>
      </w:r>
      <w:r w:rsidRPr="00787808">
        <w:t xml:space="preserve"> or AFTRS.</w:t>
      </w:r>
    </w:p>
    <w:p w:rsidR="00337EE8" w:rsidRPr="00787808" w:rsidRDefault="00337EE8">
      <w:pPr>
        <w:pStyle w:val="notemargin"/>
      </w:pPr>
      <w:r w:rsidRPr="00787808">
        <w:t>Note:</w:t>
      </w:r>
      <w:r w:rsidRPr="00787808">
        <w:tab/>
        <w:t>See determinations under section</w:t>
      </w:r>
      <w:r w:rsidR="00787808">
        <w:t> </w:t>
      </w:r>
      <w:r w:rsidRPr="00787808">
        <w:t xml:space="preserve">72 of the </w:t>
      </w:r>
      <w:r w:rsidRPr="00787808">
        <w:rPr>
          <w:i/>
        </w:rPr>
        <w:t>Public Service Act 1999</w:t>
      </w:r>
      <w:r w:rsidRPr="00787808">
        <w:t xml:space="preserve"> and regulations made under this Act for the transfer of the appointment, engagement or employment of persons not covered by items</w:t>
      </w:r>
      <w:r w:rsidR="00787808">
        <w:t> </w:t>
      </w:r>
      <w:r w:rsidRPr="00787808">
        <w:t>10, 13 and 14.</w:t>
      </w:r>
    </w:p>
    <w:p w:rsidR="00337EE8" w:rsidRPr="00787808" w:rsidRDefault="00337EE8">
      <w:pPr>
        <w:pStyle w:val="Subitem"/>
      </w:pPr>
      <w:r w:rsidRPr="00787808">
        <w:t>(2)</w:t>
      </w:r>
      <w:r w:rsidRPr="00787808">
        <w:tab/>
        <w:t>Nothing in this Act produces the result that an instrument (within the meaning of Part</w:t>
      </w:r>
      <w:r w:rsidR="00787808">
        <w:t> </w:t>
      </w:r>
      <w:r w:rsidRPr="00787808">
        <w:t xml:space="preserve">11 of the </w:t>
      </w:r>
      <w:r w:rsidRPr="00787808">
        <w:rPr>
          <w:i/>
        </w:rPr>
        <w:t>Workplace Relations Act 1996</w:t>
      </w:r>
      <w:r w:rsidRPr="00787808">
        <w:t>) or a transitional instrument (within the meaning of Schedule</w:t>
      </w:r>
      <w:r w:rsidR="00787808">
        <w:t> </w:t>
      </w:r>
      <w:r w:rsidRPr="00787808">
        <w:t xml:space="preserve">9 to that Act) has effect at or after the transition time as if it were an instrument or transitional instrument made by, or in relation to, Screen Australia, </w:t>
      </w:r>
      <w:r w:rsidR="00E96CB0" w:rsidRPr="00787808">
        <w:t>NFSAA</w:t>
      </w:r>
      <w:r w:rsidRPr="00787808">
        <w:t xml:space="preserve"> or AFTRS.</w:t>
      </w:r>
    </w:p>
    <w:p w:rsidR="00337EE8" w:rsidRPr="00787808" w:rsidRDefault="00337EE8">
      <w:pPr>
        <w:pStyle w:val="notemargin"/>
      </w:pPr>
      <w:r w:rsidRPr="00787808">
        <w:t>Note:</w:t>
      </w:r>
      <w:r w:rsidRPr="00787808">
        <w:tab/>
        <w:t>See Part</w:t>
      </w:r>
      <w:r w:rsidR="00787808">
        <w:t> </w:t>
      </w:r>
      <w:r w:rsidRPr="00787808">
        <w:t>11 of, and Schedule</w:t>
      </w:r>
      <w:r w:rsidR="00787808">
        <w:t> </w:t>
      </w:r>
      <w:r w:rsidRPr="00787808">
        <w:t xml:space="preserve">9 to, the </w:t>
      </w:r>
      <w:r w:rsidRPr="00787808">
        <w:rPr>
          <w:i/>
        </w:rPr>
        <w:t>Workplace Relations Act 1996</w:t>
      </w:r>
      <w:r w:rsidRPr="00787808">
        <w:t xml:space="preserve"> for the transmission of these instruments to Screen Australia, </w:t>
      </w:r>
      <w:r w:rsidR="00E96CB0" w:rsidRPr="00787808">
        <w:t>NFSAA</w:t>
      </w:r>
      <w:r w:rsidRPr="00787808">
        <w:t xml:space="preserve"> or AFTRS.</w:t>
      </w:r>
    </w:p>
    <w:p w:rsidR="00337EE8" w:rsidRPr="00787808" w:rsidRDefault="00337EE8">
      <w:pPr>
        <w:pStyle w:val="ItemHead"/>
      </w:pPr>
      <w:r w:rsidRPr="00787808">
        <w:t>17  No payments as a result of transfer</w:t>
      </w:r>
    </w:p>
    <w:p w:rsidR="00337EE8" w:rsidRPr="00787808" w:rsidRDefault="00337EE8">
      <w:pPr>
        <w:pStyle w:val="Item"/>
      </w:pPr>
      <w:r w:rsidRPr="00787808">
        <w:t>To avoid doubt, a person who ceases to be an officer or employee of AFC, FAL or FFC by the operation of this Part is not entitled to receive any payment or other benefit merely because he or she stopped being such an officer or employee.</w:t>
      </w:r>
    </w:p>
    <w:p w:rsidR="00337EE8" w:rsidRPr="00787808" w:rsidRDefault="00337EE8">
      <w:pPr>
        <w:pStyle w:val="ItemHead"/>
      </w:pPr>
      <w:r w:rsidRPr="00787808">
        <w:lastRenderedPageBreak/>
        <w:t xml:space="preserve">18  Long service leave for staff of Screen Australia and </w:t>
      </w:r>
      <w:r w:rsidR="00E96CB0" w:rsidRPr="00787808">
        <w:t>NFSAA</w:t>
      </w:r>
    </w:p>
    <w:p w:rsidR="00337EE8" w:rsidRPr="00787808" w:rsidRDefault="00337EE8">
      <w:pPr>
        <w:pStyle w:val="Subitem"/>
      </w:pPr>
      <w:r w:rsidRPr="00787808">
        <w:t>(1)</w:t>
      </w:r>
      <w:r w:rsidRPr="00787808">
        <w:tab/>
        <w:t>This item applies to a person if:</w:t>
      </w:r>
    </w:p>
    <w:p w:rsidR="00337EE8" w:rsidRPr="00787808" w:rsidRDefault="00337EE8">
      <w:pPr>
        <w:pStyle w:val="paragraph"/>
      </w:pPr>
      <w:r w:rsidRPr="00787808">
        <w:tab/>
        <w:t>(a)</w:t>
      </w:r>
      <w:r w:rsidRPr="00787808">
        <w:tab/>
        <w:t>immediately before the transition time, the person is:</w:t>
      </w:r>
    </w:p>
    <w:p w:rsidR="00337EE8" w:rsidRPr="00787808" w:rsidRDefault="00337EE8">
      <w:pPr>
        <w:pStyle w:val="paragraphsub"/>
      </w:pPr>
      <w:r w:rsidRPr="00787808">
        <w:tab/>
        <w:t>(i)</w:t>
      </w:r>
      <w:r w:rsidRPr="00787808">
        <w:tab/>
        <w:t>an officer appointed, or employee engaged, by AFC under subsection</w:t>
      </w:r>
      <w:r w:rsidR="00787808">
        <w:t> </w:t>
      </w:r>
      <w:r w:rsidRPr="00787808">
        <w:t xml:space="preserve">29(1) of the </w:t>
      </w:r>
      <w:r w:rsidRPr="00787808">
        <w:rPr>
          <w:i/>
        </w:rPr>
        <w:t>Australian Film Commission Act 1975</w:t>
      </w:r>
      <w:r w:rsidRPr="00787808">
        <w:t>; or</w:t>
      </w:r>
    </w:p>
    <w:p w:rsidR="00337EE8" w:rsidRPr="00787808" w:rsidRDefault="00337EE8">
      <w:pPr>
        <w:pStyle w:val="paragraphsub"/>
      </w:pPr>
      <w:r w:rsidRPr="00787808">
        <w:tab/>
        <w:t>(ii)</w:t>
      </w:r>
      <w:r w:rsidRPr="00787808">
        <w:tab/>
        <w:t>employed by FAL or FFC; and</w:t>
      </w:r>
    </w:p>
    <w:p w:rsidR="00337EE8" w:rsidRPr="00787808" w:rsidRDefault="00337EE8">
      <w:pPr>
        <w:pStyle w:val="paragraph"/>
      </w:pPr>
      <w:r w:rsidRPr="00787808">
        <w:tab/>
        <w:t>(b)</w:t>
      </w:r>
      <w:r w:rsidRPr="00787808">
        <w:tab/>
        <w:t xml:space="preserve">as a result of the operation of this Part, the regulations or the </w:t>
      </w:r>
      <w:r w:rsidRPr="00787808">
        <w:rPr>
          <w:i/>
        </w:rPr>
        <w:t>Public Service Act 1999</w:t>
      </w:r>
      <w:r w:rsidRPr="00787808">
        <w:t>, the person, at the transition time, becomes:</w:t>
      </w:r>
    </w:p>
    <w:p w:rsidR="00337EE8" w:rsidRPr="00787808" w:rsidRDefault="00337EE8">
      <w:pPr>
        <w:pStyle w:val="paragraphsub"/>
      </w:pPr>
      <w:r w:rsidRPr="00787808">
        <w:tab/>
        <w:t>(i)</w:t>
      </w:r>
      <w:r w:rsidRPr="00787808">
        <w:tab/>
        <w:t>a member of the staff of Screen Australia under subsection</w:t>
      </w:r>
      <w:r w:rsidR="00787808">
        <w:t> </w:t>
      </w:r>
      <w:r w:rsidRPr="00787808">
        <w:t xml:space="preserve">31(1) of the </w:t>
      </w:r>
      <w:r w:rsidRPr="00787808">
        <w:rPr>
          <w:i/>
        </w:rPr>
        <w:t>Screen Australia Act 2008</w:t>
      </w:r>
      <w:r w:rsidRPr="00787808">
        <w:t>; or</w:t>
      </w:r>
    </w:p>
    <w:p w:rsidR="00337EE8" w:rsidRPr="00787808" w:rsidRDefault="00337EE8">
      <w:pPr>
        <w:pStyle w:val="paragraphsub"/>
      </w:pPr>
      <w:r w:rsidRPr="00787808">
        <w:tab/>
        <w:t>(ii)</w:t>
      </w:r>
      <w:r w:rsidRPr="00787808">
        <w:tab/>
        <w:t xml:space="preserve">a member of the staff of </w:t>
      </w:r>
      <w:r w:rsidR="00E96CB0" w:rsidRPr="00787808">
        <w:t>NFSAA</w:t>
      </w:r>
      <w:r w:rsidRPr="00787808">
        <w:t xml:space="preserve"> under subsection</w:t>
      </w:r>
      <w:r w:rsidR="00787808">
        <w:t> </w:t>
      </w:r>
      <w:r w:rsidRPr="00787808">
        <w:t xml:space="preserve">31(1) of the </w:t>
      </w:r>
      <w:r w:rsidR="00EB7BCC" w:rsidRPr="00787808">
        <w:rPr>
          <w:i/>
        </w:rPr>
        <w:t>National Film and Sound Archive of Australia</w:t>
      </w:r>
      <w:r w:rsidRPr="00787808">
        <w:rPr>
          <w:i/>
        </w:rPr>
        <w:t xml:space="preserve"> Act 2008</w:t>
      </w:r>
      <w:r w:rsidRPr="00787808">
        <w:t>.</w:t>
      </w:r>
    </w:p>
    <w:p w:rsidR="00337EE8" w:rsidRPr="00787808" w:rsidRDefault="00337EE8">
      <w:pPr>
        <w:pStyle w:val="Subitem"/>
      </w:pPr>
      <w:r w:rsidRPr="00787808">
        <w:t>(2)</w:t>
      </w:r>
      <w:r w:rsidRPr="00787808">
        <w:tab/>
        <w:t xml:space="preserve">For the purposes of the </w:t>
      </w:r>
      <w:r w:rsidRPr="00787808">
        <w:rPr>
          <w:i/>
        </w:rPr>
        <w:t>Long Service Leave (Commonwealth Employees) Act 1976</w:t>
      </w:r>
      <w:r w:rsidRPr="00787808">
        <w:t xml:space="preserve">, the person’s service before the transition time as an officer or employee of AFC, FAL or FFC is to be treated, at and after the transition time, as if it had been service by the person as an employee of the Commonwealth engaged under the </w:t>
      </w:r>
      <w:r w:rsidRPr="00787808">
        <w:rPr>
          <w:i/>
        </w:rPr>
        <w:t>Public Service Act 1999</w:t>
      </w:r>
      <w:r w:rsidRPr="00787808">
        <w:t>.</w:t>
      </w:r>
    </w:p>
    <w:p w:rsidR="00337EE8" w:rsidRPr="00787808" w:rsidRDefault="00337EE8">
      <w:pPr>
        <w:pStyle w:val="ItemHead"/>
      </w:pPr>
      <w:r w:rsidRPr="00787808">
        <w:t>19  Maternity leave for staff of Screen Australia</w:t>
      </w:r>
    </w:p>
    <w:p w:rsidR="00337EE8" w:rsidRPr="00787808" w:rsidRDefault="00337EE8">
      <w:pPr>
        <w:pStyle w:val="Subitem"/>
      </w:pPr>
      <w:r w:rsidRPr="00787808">
        <w:t>(1)</w:t>
      </w:r>
      <w:r w:rsidRPr="00787808">
        <w:tab/>
        <w:t>This item applies to a person if:</w:t>
      </w:r>
    </w:p>
    <w:p w:rsidR="00337EE8" w:rsidRPr="00787808" w:rsidRDefault="00337EE8">
      <w:pPr>
        <w:pStyle w:val="paragraph"/>
      </w:pPr>
      <w:r w:rsidRPr="00787808">
        <w:tab/>
        <w:t>(a)</w:t>
      </w:r>
      <w:r w:rsidRPr="00787808">
        <w:tab/>
        <w:t>immediately before the transition time, the person is employed by FAL or FFC; and</w:t>
      </w:r>
    </w:p>
    <w:p w:rsidR="00337EE8" w:rsidRPr="00787808" w:rsidRDefault="00337EE8">
      <w:pPr>
        <w:pStyle w:val="paragraph"/>
      </w:pPr>
      <w:r w:rsidRPr="00787808">
        <w:tab/>
        <w:t>(b)</w:t>
      </w:r>
      <w:r w:rsidRPr="00787808">
        <w:tab/>
        <w:t xml:space="preserve">as a result of the operation of this Part, the regulations or the </w:t>
      </w:r>
      <w:r w:rsidRPr="00787808">
        <w:rPr>
          <w:i/>
        </w:rPr>
        <w:t>Public Service Act 1999</w:t>
      </w:r>
      <w:r w:rsidRPr="00787808">
        <w:t>, the person, at the transition time, becomes a member of the staff of Screen Australia under subsection</w:t>
      </w:r>
      <w:r w:rsidR="00787808">
        <w:t> </w:t>
      </w:r>
      <w:r w:rsidRPr="00787808">
        <w:t xml:space="preserve">31(1) of the </w:t>
      </w:r>
      <w:r w:rsidRPr="00787808">
        <w:rPr>
          <w:i/>
        </w:rPr>
        <w:t>Screen Australia Act 2008</w:t>
      </w:r>
      <w:r w:rsidRPr="00787808">
        <w:t>.</w:t>
      </w:r>
    </w:p>
    <w:p w:rsidR="00337EE8" w:rsidRPr="00787808" w:rsidRDefault="00337EE8">
      <w:pPr>
        <w:pStyle w:val="Subitem"/>
      </w:pPr>
      <w:r w:rsidRPr="00787808">
        <w:t>(2)</w:t>
      </w:r>
      <w:r w:rsidRPr="00787808">
        <w:tab/>
        <w:t xml:space="preserve">For the purposes of the </w:t>
      </w:r>
      <w:r w:rsidRPr="00787808">
        <w:rPr>
          <w:i/>
        </w:rPr>
        <w:t>Maternity Leave (Commonwealth Employees) Act 1973</w:t>
      </w:r>
      <w:r w:rsidRPr="00787808">
        <w:t xml:space="preserve">, the person’s service before the transition time as an officer or employee of FAL or FFC is to be treated, at and after the transition </w:t>
      </w:r>
      <w:r w:rsidRPr="00787808">
        <w:lastRenderedPageBreak/>
        <w:t>time,</w:t>
      </w:r>
      <w:r w:rsidRPr="00787808">
        <w:rPr>
          <w:i/>
        </w:rPr>
        <w:t xml:space="preserve"> </w:t>
      </w:r>
      <w:r w:rsidRPr="00787808">
        <w:t xml:space="preserve">as if it had been service by the person as an employee of the Commonwealth engaged under the </w:t>
      </w:r>
      <w:r w:rsidRPr="00787808">
        <w:rPr>
          <w:i/>
        </w:rPr>
        <w:t>Public Service Act 1999</w:t>
      </w:r>
      <w:r w:rsidRPr="00787808">
        <w:t>.</w:t>
      </w:r>
    </w:p>
    <w:p w:rsidR="00337EE8" w:rsidRPr="00787808" w:rsidRDefault="00337EE8" w:rsidP="00C21F6D">
      <w:pPr>
        <w:pStyle w:val="ActHead7"/>
        <w:pageBreakBefore/>
      </w:pPr>
      <w:bookmarkStart w:id="20" w:name="_Toc450732117"/>
      <w:r w:rsidRPr="00787808">
        <w:rPr>
          <w:rStyle w:val="CharAmPartNo"/>
        </w:rPr>
        <w:lastRenderedPageBreak/>
        <w:t>Part</w:t>
      </w:r>
      <w:r w:rsidR="00787808">
        <w:rPr>
          <w:rStyle w:val="CharAmPartNo"/>
        </w:rPr>
        <w:t> </w:t>
      </w:r>
      <w:r w:rsidRPr="00787808">
        <w:rPr>
          <w:rStyle w:val="CharAmPartNo"/>
        </w:rPr>
        <w:t>5</w:t>
      </w:r>
      <w:r w:rsidRPr="00787808">
        <w:t>—</w:t>
      </w:r>
      <w:r w:rsidRPr="00787808">
        <w:rPr>
          <w:rStyle w:val="CharAmPartText"/>
        </w:rPr>
        <w:t>Things done by, references in instruments to, legal proceedings of and records of AFC, FAL and FFC</w:t>
      </w:r>
      <w:bookmarkEnd w:id="20"/>
    </w:p>
    <w:p w:rsidR="00337EE8" w:rsidRPr="00787808" w:rsidRDefault="00337EE8">
      <w:pPr>
        <w:pStyle w:val="ActHead8"/>
      </w:pPr>
      <w:bookmarkStart w:id="21" w:name="_Toc450732118"/>
      <w:r w:rsidRPr="00787808">
        <w:t>Division</w:t>
      </w:r>
      <w:r w:rsidR="00787808">
        <w:t> </w:t>
      </w:r>
      <w:r w:rsidRPr="00787808">
        <w:t>1—AFC</w:t>
      </w:r>
      <w:bookmarkEnd w:id="21"/>
    </w:p>
    <w:p w:rsidR="00337EE8" w:rsidRPr="00787808" w:rsidRDefault="00337EE8">
      <w:pPr>
        <w:pStyle w:val="ItemHead"/>
      </w:pPr>
      <w:r w:rsidRPr="00787808">
        <w:t>20  Things done by, or in relation to, AFC</w:t>
      </w:r>
    </w:p>
    <w:p w:rsidR="00337EE8" w:rsidRPr="00787808" w:rsidRDefault="00337EE8">
      <w:pPr>
        <w:pStyle w:val="Subitem"/>
      </w:pPr>
      <w:r w:rsidRPr="00787808">
        <w:t>(1)</w:t>
      </w:r>
      <w:r w:rsidRPr="00787808">
        <w:tab/>
        <w:t>This item applies to a thing done by, or in relation to, AFC before the transition time.</w:t>
      </w:r>
    </w:p>
    <w:p w:rsidR="00337EE8" w:rsidRPr="00787808" w:rsidRDefault="00337EE8">
      <w:pPr>
        <w:pStyle w:val="Subitem"/>
      </w:pPr>
      <w:r w:rsidRPr="00787808">
        <w:t>(2)</w:t>
      </w:r>
      <w:r w:rsidRPr="00787808">
        <w:tab/>
        <w:t>The Minister may determine, in writing, that the thing is taken, at and after the transition time, to have been done by, or in relation to, one or more of the following:</w:t>
      </w:r>
    </w:p>
    <w:p w:rsidR="00337EE8" w:rsidRPr="00787808" w:rsidRDefault="00337EE8">
      <w:pPr>
        <w:pStyle w:val="paragraph"/>
      </w:pPr>
      <w:r w:rsidRPr="00787808">
        <w:tab/>
        <w:t>(a)</w:t>
      </w:r>
      <w:r w:rsidRPr="00787808">
        <w:tab/>
        <w:t>Screen Australia;</w:t>
      </w:r>
    </w:p>
    <w:p w:rsidR="00337EE8" w:rsidRPr="00787808" w:rsidRDefault="00337EE8">
      <w:pPr>
        <w:pStyle w:val="paragraph"/>
      </w:pPr>
      <w:r w:rsidRPr="00787808">
        <w:tab/>
        <w:t>(b)</w:t>
      </w:r>
      <w:r w:rsidRPr="00787808">
        <w:tab/>
      </w:r>
      <w:r w:rsidR="00E96CB0" w:rsidRPr="00787808">
        <w:t>NFSAA</w:t>
      </w:r>
      <w:r w:rsidRPr="00787808">
        <w:t>;</w:t>
      </w:r>
    </w:p>
    <w:p w:rsidR="00337EE8" w:rsidRPr="00787808" w:rsidRDefault="00337EE8">
      <w:pPr>
        <w:pStyle w:val="paragraph"/>
      </w:pPr>
      <w:r w:rsidRPr="00787808">
        <w:tab/>
        <w:t>(c)</w:t>
      </w:r>
      <w:r w:rsidRPr="00787808">
        <w:tab/>
        <w:t>AFTRS;</w:t>
      </w:r>
    </w:p>
    <w:p w:rsidR="00337EE8" w:rsidRPr="00787808" w:rsidRDefault="00337EE8">
      <w:pPr>
        <w:pStyle w:val="paragraph"/>
      </w:pPr>
      <w:r w:rsidRPr="00787808">
        <w:tab/>
        <w:t>(d)</w:t>
      </w:r>
      <w:r w:rsidRPr="00787808">
        <w:tab/>
        <w:t>the Commonwealth.</w:t>
      </w:r>
    </w:p>
    <w:p w:rsidR="00337EE8" w:rsidRPr="00787808" w:rsidRDefault="00337EE8">
      <w:pPr>
        <w:pStyle w:val="Subitem"/>
      </w:pPr>
      <w:r w:rsidRPr="00787808">
        <w:t>(3)</w:t>
      </w:r>
      <w:r w:rsidRPr="00787808">
        <w:tab/>
        <w:t xml:space="preserve">A determination made under </w:t>
      </w:r>
      <w:r w:rsidR="00787808">
        <w:t>subitem (</w:t>
      </w:r>
      <w:r w:rsidRPr="00787808">
        <w:t>2) has effect accordingly.</w:t>
      </w:r>
    </w:p>
    <w:p w:rsidR="00337EE8" w:rsidRPr="00787808" w:rsidRDefault="00337EE8">
      <w:pPr>
        <w:pStyle w:val="Subitem"/>
      </w:pPr>
      <w:r w:rsidRPr="00787808">
        <w:t>(4)</w:t>
      </w:r>
      <w:r w:rsidRPr="00787808">
        <w:tab/>
        <w:t xml:space="preserve">The Minister may make a determination under </w:t>
      </w:r>
      <w:r w:rsidR="00787808">
        <w:t>subitem (</w:t>
      </w:r>
      <w:r w:rsidRPr="00787808">
        <w:t>2) before or after the transition time.</w:t>
      </w:r>
    </w:p>
    <w:p w:rsidR="00337EE8" w:rsidRPr="00787808" w:rsidRDefault="00337EE8">
      <w:pPr>
        <w:pStyle w:val="Subitem"/>
      </w:pPr>
      <w:r w:rsidRPr="00787808">
        <w:t>(5)</w:t>
      </w:r>
      <w:r w:rsidRPr="00787808">
        <w:tab/>
        <w:t xml:space="preserve">A determination made under </w:t>
      </w:r>
      <w:r w:rsidR="00787808">
        <w:t>subitem (</w:t>
      </w:r>
      <w:r w:rsidRPr="00787808">
        <w:t>2) is not a legislative instrument.</w:t>
      </w:r>
    </w:p>
    <w:p w:rsidR="00337EE8" w:rsidRPr="00787808" w:rsidRDefault="00337EE8">
      <w:pPr>
        <w:pStyle w:val="Subitem"/>
      </w:pPr>
      <w:r w:rsidRPr="00787808">
        <w:t>(6)</w:t>
      </w:r>
      <w:r w:rsidRPr="00787808">
        <w:tab/>
        <w:t>This item does not limit the operation of item</w:t>
      </w:r>
      <w:r w:rsidR="00787808">
        <w:t> </w:t>
      </w:r>
      <w:r w:rsidRPr="00787808">
        <w:t>2.</w:t>
      </w:r>
    </w:p>
    <w:p w:rsidR="00337EE8" w:rsidRPr="00787808" w:rsidRDefault="00337EE8">
      <w:pPr>
        <w:pStyle w:val="ItemHead"/>
      </w:pPr>
      <w:r w:rsidRPr="00787808">
        <w:t>21  References in instruments to AFC</w:t>
      </w:r>
    </w:p>
    <w:p w:rsidR="00337EE8" w:rsidRPr="00787808" w:rsidRDefault="00337EE8">
      <w:pPr>
        <w:pStyle w:val="SubitemHead"/>
      </w:pPr>
      <w:r w:rsidRPr="00787808">
        <w:t>Application</w:t>
      </w:r>
    </w:p>
    <w:p w:rsidR="00337EE8" w:rsidRPr="00787808" w:rsidRDefault="00337EE8">
      <w:pPr>
        <w:pStyle w:val="Subitem"/>
      </w:pPr>
      <w:r w:rsidRPr="00787808">
        <w:t>(1)</w:t>
      </w:r>
      <w:r w:rsidRPr="00787808">
        <w:tab/>
        <w:t>This item applies to an instrument that:</w:t>
      </w:r>
    </w:p>
    <w:p w:rsidR="00337EE8" w:rsidRPr="00787808" w:rsidRDefault="00337EE8">
      <w:pPr>
        <w:pStyle w:val="paragraph"/>
      </w:pPr>
      <w:r w:rsidRPr="00787808">
        <w:tab/>
        <w:t>(a)</w:t>
      </w:r>
      <w:r w:rsidRPr="00787808">
        <w:tab/>
        <w:t>is in force immediately before the transition time; and</w:t>
      </w:r>
    </w:p>
    <w:p w:rsidR="00337EE8" w:rsidRPr="00787808" w:rsidRDefault="00337EE8">
      <w:pPr>
        <w:pStyle w:val="paragraph"/>
      </w:pPr>
      <w:r w:rsidRPr="00787808">
        <w:tab/>
        <w:t>(b)</w:t>
      </w:r>
      <w:r w:rsidRPr="00787808">
        <w:tab/>
        <w:t>contains a reference to AFC.</w:t>
      </w:r>
    </w:p>
    <w:p w:rsidR="00337EE8" w:rsidRPr="00787808" w:rsidRDefault="00337EE8">
      <w:pPr>
        <w:pStyle w:val="SubitemHead"/>
      </w:pPr>
      <w:r w:rsidRPr="00787808">
        <w:lastRenderedPageBreak/>
        <w:t>AFC to Screen Australia</w:t>
      </w:r>
    </w:p>
    <w:p w:rsidR="00337EE8" w:rsidRPr="00787808" w:rsidRDefault="00337EE8">
      <w:pPr>
        <w:pStyle w:val="Subitem"/>
      </w:pPr>
      <w:r w:rsidRPr="00787808">
        <w:t>(2)</w:t>
      </w:r>
      <w:r w:rsidRPr="00787808">
        <w:tab/>
        <w:t>If the instrument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2, becomes an asset or liability of Screen Australia;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20, is taken to have been done by, or in relation to, Screen Australia;</w:t>
      </w:r>
    </w:p>
    <w:p w:rsidR="00337EE8" w:rsidRPr="00787808" w:rsidRDefault="00337EE8">
      <w:pPr>
        <w:pStyle w:val="Item"/>
      </w:pPr>
      <w:r w:rsidRPr="00787808">
        <w:t>then the reference to AFC has effect, at and after the transition time, as if it were a reference to Screen Australia.</w:t>
      </w:r>
    </w:p>
    <w:p w:rsidR="00337EE8" w:rsidRPr="00787808" w:rsidRDefault="00337EE8">
      <w:pPr>
        <w:pStyle w:val="SubitemHead"/>
      </w:pPr>
      <w:r w:rsidRPr="00787808">
        <w:t xml:space="preserve">AFC to </w:t>
      </w:r>
      <w:r w:rsidR="00E96CB0" w:rsidRPr="00787808">
        <w:t>NFSAA</w:t>
      </w:r>
    </w:p>
    <w:p w:rsidR="00337EE8" w:rsidRPr="00787808" w:rsidRDefault="00337EE8">
      <w:pPr>
        <w:pStyle w:val="Subitem"/>
      </w:pPr>
      <w:r w:rsidRPr="00787808">
        <w:t>(3)</w:t>
      </w:r>
      <w:r w:rsidRPr="00787808">
        <w:tab/>
        <w:t>If the instrument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 xml:space="preserve">2, becomes an asset or liability of </w:t>
      </w:r>
      <w:r w:rsidR="00E96CB0" w:rsidRPr="00787808">
        <w:t>NFSAA</w:t>
      </w:r>
      <w:r w:rsidRPr="00787808">
        <w:t>;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 xml:space="preserve">20, is taken to have been done by, or in relation to, </w:t>
      </w:r>
      <w:r w:rsidR="00E96CB0" w:rsidRPr="00787808">
        <w:t>NFSAA</w:t>
      </w:r>
      <w:r w:rsidRPr="00787808">
        <w:t>;</w:t>
      </w:r>
    </w:p>
    <w:p w:rsidR="00337EE8" w:rsidRPr="00787808" w:rsidRDefault="00337EE8">
      <w:pPr>
        <w:pStyle w:val="Item"/>
      </w:pPr>
      <w:r w:rsidRPr="00787808">
        <w:t xml:space="preserve">then the reference to AFC has effect, at and after the transition time, as if it were a reference to </w:t>
      </w:r>
      <w:r w:rsidR="00E96CB0" w:rsidRPr="00787808">
        <w:t>NFSAA</w:t>
      </w:r>
      <w:r w:rsidRPr="00787808">
        <w:t>.</w:t>
      </w:r>
    </w:p>
    <w:p w:rsidR="00337EE8" w:rsidRPr="00787808" w:rsidRDefault="00337EE8">
      <w:pPr>
        <w:pStyle w:val="SubitemHead"/>
      </w:pPr>
      <w:r w:rsidRPr="00787808">
        <w:t>AFC to AFTRS</w:t>
      </w:r>
    </w:p>
    <w:p w:rsidR="00337EE8" w:rsidRPr="00787808" w:rsidRDefault="00337EE8">
      <w:pPr>
        <w:pStyle w:val="Subitem"/>
      </w:pPr>
      <w:r w:rsidRPr="00787808">
        <w:t>(4)</w:t>
      </w:r>
      <w:r w:rsidRPr="00787808">
        <w:tab/>
        <w:t>If the instrument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2, becomes an asset or liability of AFTRS;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20, is taken to have been done by, or in relation to, AFTRS;</w:t>
      </w:r>
    </w:p>
    <w:p w:rsidR="00337EE8" w:rsidRPr="00787808" w:rsidRDefault="00337EE8">
      <w:pPr>
        <w:pStyle w:val="Item"/>
      </w:pPr>
      <w:r w:rsidRPr="00787808">
        <w:t>then the reference to AFC has effect, at and after the transition time, as if it were a reference to AFTRS.</w:t>
      </w:r>
    </w:p>
    <w:p w:rsidR="00337EE8" w:rsidRPr="00787808" w:rsidRDefault="00337EE8">
      <w:pPr>
        <w:pStyle w:val="SubitemHead"/>
      </w:pPr>
      <w:r w:rsidRPr="00787808">
        <w:lastRenderedPageBreak/>
        <w:t xml:space="preserve">AFC to Screen Australia, </w:t>
      </w:r>
      <w:r w:rsidR="00E96CB0" w:rsidRPr="00787808">
        <w:t>NFSAA</w:t>
      </w:r>
      <w:r w:rsidRPr="00787808">
        <w:t>, AFTRS or Commonwealth</w:t>
      </w:r>
    </w:p>
    <w:p w:rsidR="00337EE8" w:rsidRPr="00787808" w:rsidRDefault="00337EE8">
      <w:pPr>
        <w:pStyle w:val="Subitem"/>
      </w:pPr>
      <w:r w:rsidRPr="00787808">
        <w:t>(5)</w:t>
      </w:r>
      <w:r w:rsidRPr="00787808">
        <w:tab/>
        <w:t xml:space="preserve">If </w:t>
      </w:r>
      <w:r w:rsidR="00787808">
        <w:t>subitem (</w:t>
      </w:r>
      <w:r w:rsidRPr="00787808">
        <w:t>2), (3) or (4) does not apply to the instrument, then the Minister may determine, in writing, that the reference to AFC has effect, at and after the transition time, as if it were a reference to one or more of the following:</w:t>
      </w:r>
    </w:p>
    <w:p w:rsidR="00337EE8" w:rsidRPr="00787808" w:rsidRDefault="00337EE8">
      <w:pPr>
        <w:pStyle w:val="paragraph"/>
      </w:pPr>
      <w:r w:rsidRPr="00787808">
        <w:tab/>
        <w:t>(a)</w:t>
      </w:r>
      <w:r w:rsidRPr="00787808">
        <w:tab/>
        <w:t>Screen Australia;</w:t>
      </w:r>
    </w:p>
    <w:p w:rsidR="00337EE8" w:rsidRPr="00787808" w:rsidRDefault="00337EE8">
      <w:pPr>
        <w:pStyle w:val="paragraph"/>
      </w:pPr>
      <w:r w:rsidRPr="00787808">
        <w:tab/>
        <w:t>(b)</w:t>
      </w:r>
      <w:r w:rsidRPr="00787808">
        <w:tab/>
      </w:r>
      <w:r w:rsidR="00E96CB0" w:rsidRPr="00787808">
        <w:t>NFSAA</w:t>
      </w:r>
      <w:r w:rsidRPr="00787808">
        <w:t>;</w:t>
      </w:r>
    </w:p>
    <w:p w:rsidR="00337EE8" w:rsidRPr="00787808" w:rsidRDefault="00337EE8">
      <w:pPr>
        <w:pStyle w:val="paragraph"/>
      </w:pPr>
      <w:r w:rsidRPr="00787808">
        <w:tab/>
        <w:t>(c)</w:t>
      </w:r>
      <w:r w:rsidRPr="00787808">
        <w:tab/>
        <w:t>AFTRS;</w:t>
      </w:r>
    </w:p>
    <w:p w:rsidR="00337EE8" w:rsidRPr="00787808" w:rsidRDefault="00337EE8">
      <w:pPr>
        <w:pStyle w:val="paragraph"/>
      </w:pPr>
      <w:r w:rsidRPr="00787808">
        <w:tab/>
        <w:t>(d)</w:t>
      </w:r>
      <w:r w:rsidRPr="00787808">
        <w:tab/>
        <w:t>the Commonwealth.</w:t>
      </w:r>
    </w:p>
    <w:p w:rsidR="00337EE8" w:rsidRPr="00787808" w:rsidRDefault="00337EE8">
      <w:pPr>
        <w:pStyle w:val="Subitem"/>
      </w:pPr>
      <w:r w:rsidRPr="00787808">
        <w:t>(6)</w:t>
      </w:r>
      <w:r w:rsidRPr="00787808">
        <w:tab/>
        <w:t xml:space="preserve">A determination made under </w:t>
      </w:r>
      <w:r w:rsidR="00787808">
        <w:t>subitem (</w:t>
      </w:r>
      <w:r w:rsidRPr="00787808">
        <w:t>5) has effect accordingly.</w:t>
      </w:r>
    </w:p>
    <w:p w:rsidR="00337EE8" w:rsidRPr="00787808" w:rsidRDefault="00337EE8">
      <w:pPr>
        <w:pStyle w:val="Subitem"/>
      </w:pPr>
      <w:r w:rsidRPr="00787808">
        <w:t>(7)</w:t>
      </w:r>
      <w:r w:rsidRPr="00787808">
        <w:tab/>
        <w:t xml:space="preserve">The Minister may make a determination under </w:t>
      </w:r>
      <w:r w:rsidR="00787808">
        <w:t>subitem (</w:t>
      </w:r>
      <w:r w:rsidRPr="00787808">
        <w:t>5) before or after the transition time.</w:t>
      </w:r>
    </w:p>
    <w:p w:rsidR="00337EE8" w:rsidRPr="00787808" w:rsidRDefault="00337EE8">
      <w:pPr>
        <w:pStyle w:val="Subitem"/>
      </w:pPr>
      <w:r w:rsidRPr="00787808">
        <w:t>(8)</w:t>
      </w:r>
      <w:r w:rsidRPr="00787808">
        <w:tab/>
        <w:t xml:space="preserve">A determination made under </w:t>
      </w:r>
      <w:r w:rsidR="00787808">
        <w:t>subitem (</w:t>
      </w:r>
      <w:r w:rsidRPr="00787808">
        <w:t>5) is not a legislative instrument.</w:t>
      </w:r>
    </w:p>
    <w:p w:rsidR="00337EE8" w:rsidRPr="00787808" w:rsidRDefault="00337EE8">
      <w:pPr>
        <w:pStyle w:val="SubitemHead"/>
      </w:pPr>
      <w:r w:rsidRPr="00787808">
        <w:t>Instrument</w:t>
      </w:r>
    </w:p>
    <w:p w:rsidR="00337EE8" w:rsidRPr="00787808" w:rsidRDefault="00337EE8">
      <w:pPr>
        <w:pStyle w:val="Subitem"/>
      </w:pPr>
      <w:r w:rsidRPr="00787808">
        <w:t>(9)</w:t>
      </w:r>
      <w:r w:rsidRPr="00787808">
        <w:tab/>
        <w:t>In this item:</w:t>
      </w:r>
    </w:p>
    <w:p w:rsidR="00337EE8" w:rsidRPr="00787808" w:rsidRDefault="00337EE8">
      <w:pPr>
        <w:pStyle w:val="Item"/>
      </w:pPr>
      <w:r w:rsidRPr="00787808">
        <w:rPr>
          <w:b/>
          <w:i/>
        </w:rPr>
        <w:t>instrument</w:t>
      </w:r>
      <w:r w:rsidRPr="00787808">
        <w:t>:</w:t>
      </w:r>
    </w:p>
    <w:p w:rsidR="00337EE8" w:rsidRPr="00787808" w:rsidRDefault="00337EE8">
      <w:pPr>
        <w:pStyle w:val="paragraph"/>
      </w:pPr>
      <w:r w:rsidRPr="00787808">
        <w:tab/>
        <w:t>(a)</w:t>
      </w:r>
      <w:r w:rsidRPr="00787808">
        <w:tab/>
        <w:t>includes:</w:t>
      </w:r>
    </w:p>
    <w:p w:rsidR="00337EE8" w:rsidRPr="00787808" w:rsidRDefault="00337EE8">
      <w:pPr>
        <w:pStyle w:val="paragraphsub"/>
      </w:pPr>
      <w:r w:rsidRPr="00787808">
        <w:tab/>
        <w:t>(i)</w:t>
      </w:r>
      <w:r w:rsidRPr="00787808">
        <w:tab/>
        <w:t>a contract, deed, undertaking or agreement; and</w:t>
      </w:r>
    </w:p>
    <w:p w:rsidR="00337EE8" w:rsidRPr="00787808" w:rsidRDefault="00337EE8">
      <w:pPr>
        <w:pStyle w:val="paragraphsub"/>
      </w:pPr>
      <w:r w:rsidRPr="00787808">
        <w:tab/>
        <w:t>(ii)</w:t>
      </w:r>
      <w:r w:rsidRPr="00787808">
        <w:tab/>
        <w:t>a notice, authority, order or instruction; and</w:t>
      </w:r>
    </w:p>
    <w:p w:rsidR="00337EE8" w:rsidRPr="00787808" w:rsidRDefault="00337EE8">
      <w:pPr>
        <w:pStyle w:val="paragraphsub"/>
      </w:pPr>
      <w:r w:rsidRPr="00787808">
        <w:tab/>
        <w:t>(iii)</w:t>
      </w:r>
      <w:r w:rsidRPr="00787808">
        <w:tab/>
        <w:t>an instrument made under an Act or regulations; but</w:t>
      </w:r>
    </w:p>
    <w:p w:rsidR="00337EE8" w:rsidRPr="00787808" w:rsidRDefault="00337EE8">
      <w:pPr>
        <w:pStyle w:val="paragraph"/>
      </w:pPr>
      <w:r w:rsidRPr="00787808">
        <w:tab/>
        <w:t>(b)</w:t>
      </w:r>
      <w:r w:rsidRPr="00787808">
        <w:tab/>
        <w:t>does not include:</w:t>
      </w:r>
    </w:p>
    <w:p w:rsidR="00337EE8" w:rsidRPr="00787808" w:rsidRDefault="00337EE8">
      <w:pPr>
        <w:pStyle w:val="paragraphsub"/>
      </w:pPr>
      <w:r w:rsidRPr="00787808">
        <w:tab/>
        <w:t>(i)</w:t>
      </w:r>
      <w:r w:rsidRPr="00787808">
        <w:tab/>
        <w:t>an Act; or</w:t>
      </w:r>
    </w:p>
    <w:p w:rsidR="00337EE8" w:rsidRPr="00787808" w:rsidRDefault="00337EE8">
      <w:pPr>
        <w:pStyle w:val="paragraphsub"/>
      </w:pPr>
      <w:r w:rsidRPr="00787808">
        <w:tab/>
        <w:t>(ii)</w:t>
      </w:r>
      <w:r w:rsidRPr="00787808">
        <w:tab/>
        <w:t>instruments made under this Act.</w:t>
      </w:r>
    </w:p>
    <w:p w:rsidR="00337EE8" w:rsidRPr="00787808" w:rsidRDefault="00337EE8">
      <w:pPr>
        <w:pStyle w:val="ItemHead"/>
      </w:pPr>
      <w:r w:rsidRPr="00787808">
        <w:t>22  Legal proceedings of AFC</w:t>
      </w:r>
    </w:p>
    <w:p w:rsidR="00337EE8" w:rsidRPr="00787808" w:rsidRDefault="00337EE8">
      <w:pPr>
        <w:pStyle w:val="SubitemHead"/>
      </w:pPr>
      <w:r w:rsidRPr="00787808">
        <w:t>Application</w:t>
      </w:r>
    </w:p>
    <w:p w:rsidR="00337EE8" w:rsidRPr="00787808" w:rsidRDefault="00337EE8">
      <w:pPr>
        <w:pStyle w:val="Subitem"/>
      </w:pPr>
      <w:r w:rsidRPr="00787808">
        <w:t>(1)</w:t>
      </w:r>
      <w:r w:rsidRPr="00787808">
        <w:tab/>
        <w:t>This item applies to any proceedings:</w:t>
      </w:r>
    </w:p>
    <w:p w:rsidR="00337EE8" w:rsidRPr="00787808" w:rsidRDefault="00337EE8">
      <w:pPr>
        <w:pStyle w:val="paragraph"/>
      </w:pPr>
      <w:r w:rsidRPr="00787808">
        <w:tab/>
        <w:t>(a)</w:t>
      </w:r>
      <w:r w:rsidRPr="00787808">
        <w:tab/>
        <w:t>that were pending in any court or tribunal immediately before the transition time; and</w:t>
      </w:r>
    </w:p>
    <w:p w:rsidR="00337EE8" w:rsidRPr="00787808" w:rsidRDefault="00337EE8">
      <w:pPr>
        <w:pStyle w:val="paragraph"/>
      </w:pPr>
      <w:r w:rsidRPr="00787808">
        <w:lastRenderedPageBreak/>
        <w:tab/>
        <w:t>(b)</w:t>
      </w:r>
      <w:r w:rsidRPr="00787808">
        <w:tab/>
        <w:t>to which AFC was a party.</w:t>
      </w:r>
    </w:p>
    <w:p w:rsidR="00337EE8" w:rsidRPr="00787808" w:rsidRDefault="00337EE8">
      <w:pPr>
        <w:pStyle w:val="SubitemHead"/>
      </w:pPr>
      <w:r w:rsidRPr="00787808">
        <w:t>AFC to Screen Australia</w:t>
      </w:r>
    </w:p>
    <w:p w:rsidR="00337EE8" w:rsidRPr="00787808" w:rsidRDefault="00337EE8">
      <w:pPr>
        <w:pStyle w:val="Subitem"/>
      </w:pPr>
      <w:r w:rsidRPr="00787808">
        <w:t>(2)</w:t>
      </w:r>
      <w:r w:rsidRPr="00787808">
        <w:tab/>
        <w:t>If the proceedings related, in whole or part, to an asset or liability that, as a result of the operation of item</w:t>
      </w:r>
      <w:r w:rsidR="00787808">
        <w:t> </w:t>
      </w:r>
      <w:r w:rsidRPr="00787808">
        <w:t>2, becomes an asset or liability of Screen Australia, then Screen Australia is taken, at and after the transition time, to be substituted for AFC as a party to the proceedings.</w:t>
      </w:r>
    </w:p>
    <w:p w:rsidR="00337EE8" w:rsidRPr="00787808" w:rsidRDefault="00337EE8">
      <w:pPr>
        <w:pStyle w:val="SubitemHead"/>
      </w:pPr>
      <w:r w:rsidRPr="00787808">
        <w:t xml:space="preserve">AFC to </w:t>
      </w:r>
      <w:r w:rsidR="00E96CB0" w:rsidRPr="00787808">
        <w:t>NFSAA</w:t>
      </w:r>
    </w:p>
    <w:p w:rsidR="00337EE8" w:rsidRPr="00787808" w:rsidRDefault="00337EE8">
      <w:pPr>
        <w:pStyle w:val="Subitem"/>
      </w:pPr>
      <w:r w:rsidRPr="00787808">
        <w:t>(3)</w:t>
      </w:r>
      <w:r w:rsidRPr="00787808">
        <w:tab/>
        <w:t>If the proceedings related, in whole or part, to an asset or liability that, as a result of the operation of item</w:t>
      </w:r>
      <w:r w:rsidR="00787808">
        <w:t> </w:t>
      </w:r>
      <w:r w:rsidRPr="00787808">
        <w:t xml:space="preserve">2, becomes an asset or liability of </w:t>
      </w:r>
      <w:r w:rsidR="00E96CB0" w:rsidRPr="00787808">
        <w:t>NFSAA</w:t>
      </w:r>
      <w:r w:rsidRPr="00787808">
        <w:t xml:space="preserve">, then </w:t>
      </w:r>
      <w:r w:rsidR="00E96CB0" w:rsidRPr="00787808">
        <w:t>NFSAA</w:t>
      </w:r>
      <w:r w:rsidRPr="00787808">
        <w:t xml:space="preserve"> is taken, at and after the transition time, to be substituted for AFC as a party to the proceedings.</w:t>
      </w:r>
    </w:p>
    <w:p w:rsidR="00337EE8" w:rsidRPr="00787808" w:rsidRDefault="00337EE8">
      <w:pPr>
        <w:pStyle w:val="SubitemHead"/>
      </w:pPr>
      <w:r w:rsidRPr="00787808">
        <w:t>AFC to AFTRS</w:t>
      </w:r>
    </w:p>
    <w:p w:rsidR="00337EE8" w:rsidRPr="00787808" w:rsidRDefault="00337EE8">
      <w:pPr>
        <w:pStyle w:val="Subitem"/>
      </w:pPr>
      <w:r w:rsidRPr="00787808">
        <w:t>(4)</w:t>
      </w:r>
      <w:r w:rsidRPr="00787808">
        <w:tab/>
        <w:t>If the proceedings related, in whole or part, to an asset or liability that, as a result of the operation of item</w:t>
      </w:r>
      <w:r w:rsidR="00787808">
        <w:t> </w:t>
      </w:r>
      <w:r w:rsidRPr="00787808">
        <w:t>2, becomes an asset or liability of AFTRS, then AFTRS is taken, at and after the transition time, to be substituted for AFC as a party to the proceedings.</w:t>
      </w:r>
    </w:p>
    <w:p w:rsidR="00337EE8" w:rsidRPr="00787808" w:rsidRDefault="00337EE8">
      <w:pPr>
        <w:pStyle w:val="SubitemHead"/>
      </w:pPr>
      <w:r w:rsidRPr="00787808">
        <w:t xml:space="preserve">AFC to Screen Australia, </w:t>
      </w:r>
      <w:r w:rsidR="00E96CB0" w:rsidRPr="00787808">
        <w:t>NFSAA</w:t>
      </w:r>
      <w:r w:rsidRPr="00787808">
        <w:t>, AFTRS or Commonwealth</w:t>
      </w:r>
    </w:p>
    <w:p w:rsidR="00337EE8" w:rsidRPr="00787808" w:rsidRDefault="00337EE8">
      <w:pPr>
        <w:pStyle w:val="Subitem"/>
      </w:pPr>
      <w:r w:rsidRPr="00787808">
        <w:t>(5)</w:t>
      </w:r>
      <w:r w:rsidRPr="00787808">
        <w:tab/>
        <w:t xml:space="preserve">If </w:t>
      </w:r>
      <w:r w:rsidR="00787808">
        <w:t>subitem (</w:t>
      </w:r>
      <w:r w:rsidRPr="00787808">
        <w:t>2), (3) or (4) does not apply to the proceedings, then the Minister may determine, in writing, that one or more of the following bodies is taken, at and after the transition time, to be substituted for AFC as a party to the proceedings:</w:t>
      </w:r>
    </w:p>
    <w:p w:rsidR="00337EE8" w:rsidRPr="00787808" w:rsidRDefault="00337EE8">
      <w:pPr>
        <w:pStyle w:val="paragraph"/>
      </w:pPr>
      <w:r w:rsidRPr="00787808">
        <w:tab/>
        <w:t>(a)</w:t>
      </w:r>
      <w:r w:rsidRPr="00787808">
        <w:tab/>
        <w:t>Screen Australia;</w:t>
      </w:r>
    </w:p>
    <w:p w:rsidR="00337EE8" w:rsidRPr="00787808" w:rsidRDefault="00337EE8">
      <w:pPr>
        <w:pStyle w:val="paragraph"/>
      </w:pPr>
      <w:r w:rsidRPr="00787808">
        <w:tab/>
        <w:t>(b)</w:t>
      </w:r>
      <w:r w:rsidRPr="00787808">
        <w:tab/>
      </w:r>
      <w:r w:rsidR="00E96CB0" w:rsidRPr="00787808">
        <w:t>NFSAA</w:t>
      </w:r>
      <w:r w:rsidRPr="00787808">
        <w:t>;</w:t>
      </w:r>
    </w:p>
    <w:p w:rsidR="00337EE8" w:rsidRPr="00787808" w:rsidRDefault="00337EE8">
      <w:pPr>
        <w:pStyle w:val="paragraph"/>
      </w:pPr>
      <w:r w:rsidRPr="00787808">
        <w:tab/>
        <w:t>(c)</w:t>
      </w:r>
      <w:r w:rsidRPr="00787808">
        <w:tab/>
        <w:t>AFTRS;</w:t>
      </w:r>
    </w:p>
    <w:p w:rsidR="00337EE8" w:rsidRPr="00787808" w:rsidRDefault="00337EE8">
      <w:pPr>
        <w:pStyle w:val="paragraph"/>
      </w:pPr>
      <w:r w:rsidRPr="00787808">
        <w:tab/>
        <w:t>(d)</w:t>
      </w:r>
      <w:r w:rsidRPr="00787808">
        <w:tab/>
        <w:t>the Commonwealth.</w:t>
      </w:r>
    </w:p>
    <w:p w:rsidR="00337EE8" w:rsidRPr="00787808" w:rsidRDefault="00337EE8">
      <w:pPr>
        <w:pStyle w:val="Subitem"/>
      </w:pPr>
      <w:r w:rsidRPr="00787808">
        <w:t>(6)</w:t>
      </w:r>
      <w:r w:rsidRPr="00787808">
        <w:tab/>
        <w:t xml:space="preserve">A determination made under </w:t>
      </w:r>
      <w:r w:rsidR="00787808">
        <w:t>subitem (</w:t>
      </w:r>
      <w:r w:rsidRPr="00787808">
        <w:t>5) has effect accordingly.</w:t>
      </w:r>
    </w:p>
    <w:p w:rsidR="00337EE8" w:rsidRPr="00787808" w:rsidRDefault="00337EE8">
      <w:pPr>
        <w:pStyle w:val="Subitem"/>
      </w:pPr>
      <w:r w:rsidRPr="00787808">
        <w:t>(7)</w:t>
      </w:r>
      <w:r w:rsidRPr="00787808">
        <w:tab/>
        <w:t xml:space="preserve">The Minister may make a determination under </w:t>
      </w:r>
      <w:r w:rsidR="00787808">
        <w:t>subitem (</w:t>
      </w:r>
      <w:r w:rsidRPr="00787808">
        <w:t>5) before or after the transition time.</w:t>
      </w:r>
    </w:p>
    <w:p w:rsidR="00337EE8" w:rsidRPr="00787808" w:rsidRDefault="00337EE8">
      <w:pPr>
        <w:pStyle w:val="Subitem"/>
      </w:pPr>
      <w:r w:rsidRPr="00787808">
        <w:t>(8)</w:t>
      </w:r>
      <w:r w:rsidRPr="00787808">
        <w:tab/>
        <w:t xml:space="preserve">A determination made under </w:t>
      </w:r>
      <w:r w:rsidR="00787808">
        <w:t>subitem (</w:t>
      </w:r>
      <w:r w:rsidRPr="00787808">
        <w:t>5) is not a legislative instrument.</w:t>
      </w:r>
    </w:p>
    <w:p w:rsidR="00337EE8" w:rsidRPr="00787808" w:rsidRDefault="00337EE8">
      <w:pPr>
        <w:pStyle w:val="ItemHead"/>
      </w:pPr>
      <w:r w:rsidRPr="00787808">
        <w:lastRenderedPageBreak/>
        <w:t>23  Transfer of custody of records of AFC</w:t>
      </w:r>
    </w:p>
    <w:p w:rsidR="00337EE8" w:rsidRPr="00787808" w:rsidRDefault="00337EE8">
      <w:pPr>
        <w:pStyle w:val="SubitemHead"/>
      </w:pPr>
      <w:r w:rsidRPr="00787808">
        <w:t>Application</w:t>
      </w:r>
    </w:p>
    <w:p w:rsidR="00337EE8" w:rsidRPr="00787808" w:rsidRDefault="00337EE8">
      <w:pPr>
        <w:pStyle w:val="Subitem"/>
      </w:pPr>
      <w:r w:rsidRPr="00787808">
        <w:t>(1)</w:t>
      </w:r>
      <w:r w:rsidRPr="00787808">
        <w:tab/>
        <w:t>This item applies to a record or document that, immediately before the transition time, is in the custody of AFC.</w:t>
      </w:r>
    </w:p>
    <w:p w:rsidR="00337EE8" w:rsidRPr="00787808" w:rsidRDefault="00337EE8">
      <w:pPr>
        <w:pStyle w:val="SubitemHead"/>
      </w:pPr>
      <w:r w:rsidRPr="00787808">
        <w:t>AFC to Screen Australia</w:t>
      </w:r>
    </w:p>
    <w:p w:rsidR="00337EE8" w:rsidRPr="00787808" w:rsidRDefault="00337EE8">
      <w:pPr>
        <w:pStyle w:val="Subitem"/>
      </w:pPr>
      <w:r w:rsidRPr="00787808">
        <w:t>(2)</w:t>
      </w:r>
      <w:r w:rsidRPr="00787808">
        <w:tab/>
        <w:t>If the record or document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2, becomes an asset or liability of Screen Australia;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20, is taken to have been done by, or in relation to, Screen Australia;</w:t>
      </w:r>
    </w:p>
    <w:p w:rsidR="00337EE8" w:rsidRPr="00787808" w:rsidRDefault="00337EE8">
      <w:pPr>
        <w:pStyle w:val="Item"/>
      </w:pPr>
      <w:r w:rsidRPr="00787808">
        <w:t>then, after the transition time, the record or document is to be transferred into the custody of Screen Australia.</w:t>
      </w:r>
    </w:p>
    <w:p w:rsidR="00337EE8" w:rsidRPr="00787808" w:rsidRDefault="00337EE8">
      <w:pPr>
        <w:pStyle w:val="SubitemHead"/>
      </w:pPr>
      <w:r w:rsidRPr="00787808">
        <w:t xml:space="preserve">AFC to </w:t>
      </w:r>
      <w:r w:rsidR="00E96CB0" w:rsidRPr="00787808">
        <w:t>NFSAA</w:t>
      </w:r>
    </w:p>
    <w:p w:rsidR="00337EE8" w:rsidRPr="00787808" w:rsidRDefault="00337EE8">
      <w:pPr>
        <w:pStyle w:val="Subitem"/>
      </w:pPr>
      <w:r w:rsidRPr="00787808">
        <w:t>(3)</w:t>
      </w:r>
      <w:r w:rsidRPr="00787808">
        <w:tab/>
        <w:t>If the record or document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 xml:space="preserve">2, becomes an asset or liability of </w:t>
      </w:r>
      <w:r w:rsidR="00E96CB0" w:rsidRPr="00787808">
        <w:t>NFSAA</w:t>
      </w:r>
      <w:r w:rsidRPr="00787808">
        <w:t>;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 xml:space="preserve">20, is taken to have been done by, or in relation to, </w:t>
      </w:r>
      <w:r w:rsidR="00E96CB0" w:rsidRPr="00787808">
        <w:t>NFSAA</w:t>
      </w:r>
      <w:r w:rsidRPr="00787808">
        <w:t>;</w:t>
      </w:r>
    </w:p>
    <w:p w:rsidR="00337EE8" w:rsidRPr="00787808" w:rsidRDefault="00337EE8">
      <w:pPr>
        <w:pStyle w:val="Item"/>
      </w:pPr>
      <w:r w:rsidRPr="00787808">
        <w:t xml:space="preserve">then, after the transition time, the record or document is to be transferred into the custody of </w:t>
      </w:r>
      <w:r w:rsidR="00E96CB0" w:rsidRPr="00787808">
        <w:t>NFSAA</w:t>
      </w:r>
      <w:r w:rsidRPr="00787808">
        <w:t>.</w:t>
      </w:r>
    </w:p>
    <w:p w:rsidR="00337EE8" w:rsidRPr="00787808" w:rsidRDefault="00337EE8">
      <w:pPr>
        <w:pStyle w:val="SubitemHead"/>
      </w:pPr>
      <w:r w:rsidRPr="00787808">
        <w:t>AFC to AFTRS</w:t>
      </w:r>
    </w:p>
    <w:p w:rsidR="00337EE8" w:rsidRPr="00787808" w:rsidRDefault="00337EE8">
      <w:pPr>
        <w:pStyle w:val="Subitem"/>
      </w:pPr>
      <w:r w:rsidRPr="00787808">
        <w:t>(4)</w:t>
      </w:r>
      <w:r w:rsidRPr="00787808">
        <w:tab/>
        <w:t>If the record or document relates to:</w:t>
      </w:r>
    </w:p>
    <w:p w:rsidR="00337EE8" w:rsidRPr="00787808" w:rsidRDefault="00337EE8">
      <w:pPr>
        <w:pStyle w:val="paragraph"/>
      </w:pPr>
      <w:r w:rsidRPr="00787808">
        <w:tab/>
        <w:t>(a)</w:t>
      </w:r>
      <w:r w:rsidRPr="00787808">
        <w:tab/>
        <w:t>an asset or liability of AFC that, as a result of the operation of item</w:t>
      </w:r>
      <w:r w:rsidR="00787808">
        <w:t> </w:t>
      </w:r>
      <w:r w:rsidRPr="00787808">
        <w:t>2, becomes an asset or liability of AFTRS; or</w:t>
      </w:r>
    </w:p>
    <w:p w:rsidR="00337EE8" w:rsidRPr="00787808" w:rsidRDefault="00337EE8">
      <w:pPr>
        <w:pStyle w:val="paragraph"/>
      </w:pPr>
      <w:r w:rsidRPr="00787808">
        <w:tab/>
        <w:t>(b)</w:t>
      </w:r>
      <w:r w:rsidRPr="00787808">
        <w:tab/>
        <w:t>a thing done by, or in relation to, AFC, that, as a result of the operation of item</w:t>
      </w:r>
      <w:r w:rsidR="00787808">
        <w:t> </w:t>
      </w:r>
      <w:r w:rsidRPr="00787808">
        <w:t>20, is taken to have been done by, or in relation to, AFTRS;</w:t>
      </w:r>
    </w:p>
    <w:p w:rsidR="00337EE8" w:rsidRPr="00787808" w:rsidRDefault="00337EE8">
      <w:pPr>
        <w:pStyle w:val="Item"/>
      </w:pPr>
      <w:r w:rsidRPr="00787808">
        <w:lastRenderedPageBreak/>
        <w:t>then, after the transition time, the record or document is to be transferred into the custody of AFTRS.</w:t>
      </w:r>
    </w:p>
    <w:p w:rsidR="00337EE8" w:rsidRPr="00787808" w:rsidRDefault="00337EE8">
      <w:pPr>
        <w:pStyle w:val="SubitemHead"/>
      </w:pPr>
      <w:r w:rsidRPr="00787808">
        <w:t xml:space="preserve">AFC to Screen Australia, </w:t>
      </w:r>
      <w:r w:rsidR="00E96CB0" w:rsidRPr="00787808">
        <w:t>NFSAA</w:t>
      </w:r>
      <w:r w:rsidRPr="00787808">
        <w:t>, AFTRS or Commonwealth</w:t>
      </w:r>
    </w:p>
    <w:p w:rsidR="00337EE8" w:rsidRPr="00787808" w:rsidRDefault="00337EE8">
      <w:pPr>
        <w:pStyle w:val="Subitem"/>
      </w:pPr>
      <w:r w:rsidRPr="00787808">
        <w:t>(5)</w:t>
      </w:r>
      <w:r w:rsidRPr="00787808">
        <w:tab/>
        <w:t xml:space="preserve">If </w:t>
      </w:r>
      <w:r w:rsidR="00787808">
        <w:t>subitem (</w:t>
      </w:r>
      <w:r w:rsidRPr="00787808">
        <w:t>2), (3) or (4) does not apply to the record or document, then the Minister may determine, in writing, that the record or document is to be transferred after the transition time into the custody of:</w:t>
      </w:r>
    </w:p>
    <w:p w:rsidR="00337EE8" w:rsidRPr="00787808" w:rsidRDefault="00337EE8">
      <w:pPr>
        <w:pStyle w:val="paragraph"/>
      </w:pPr>
      <w:r w:rsidRPr="00787808">
        <w:tab/>
        <w:t>(a)</w:t>
      </w:r>
      <w:r w:rsidRPr="00787808">
        <w:tab/>
        <w:t>Screen Australia; or</w:t>
      </w:r>
    </w:p>
    <w:p w:rsidR="00337EE8" w:rsidRPr="00787808" w:rsidRDefault="00337EE8">
      <w:pPr>
        <w:pStyle w:val="paragraph"/>
      </w:pPr>
      <w:r w:rsidRPr="00787808">
        <w:tab/>
        <w:t>(b)</w:t>
      </w:r>
      <w:r w:rsidRPr="00787808">
        <w:tab/>
      </w:r>
      <w:r w:rsidR="00E96CB0" w:rsidRPr="00787808">
        <w:t>NFSAA</w:t>
      </w:r>
      <w:r w:rsidRPr="00787808">
        <w:t>; or</w:t>
      </w:r>
    </w:p>
    <w:p w:rsidR="00337EE8" w:rsidRPr="00787808" w:rsidRDefault="00337EE8">
      <w:pPr>
        <w:pStyle w:val="paragraph"/>
      </w:pPr>
      <w:r w:rsidRPr="00787808">
        <w:tab/>
        <w:t>(c)</w:t>
      </w:r>
      <w:r w:rsidRPr="00787808">
        <w:tab/>
        <w:t>AFTRS; or</w:t>
      </w:r>
    </w:p>
    <w:p w:rsidR="00337EE8" w:rsidRPr="00787808" w:rsidRDefault="00337EE8">
      <w:pPr>
        <w:pStyle w:val="paragraph"/>
      </w:pPr>
      <w:r w:rsidRPr="00787808">
        <w:tab/>
        <w:t>(d)</w:t>
      </w:r>
      <w:r w:rsidRPr="00787808">
        <w:tab/>
        <w:t>the Commonwealth.</w:t>
      </w:r>
    </w:p>
    <w:p w:rsidR="00337EE8" w:rsidRPr="00787808" w:rsidRDefault="00337EE8">
      <w:pPr>
        <w:pStyle w:val="Subitem"/>
      </w:pPr>
      <w:r w:rsidRPr="00787808">
        <w:t>(6)</w:t>
      </w:r>
      <w:r w:rsidRPr="00787808">
        <w:tab/>
        <w:t xml:space="preserve">A determination made under </w:t>
      </w:r>
      <w:r w:rsidR="00787808">
        <w:t>subitem (</w:t>
      </w:r>
      <w:r w:rsidRPr="00787808">
        <w:t>5) has effect accordingly.</w:t>
      </w:r>
    </w:p>
    <w:p w:rsidR="00337EE8" w:rsidRPr="00787808" w:rsidRDefault="00337EE8">
      <w:pPr>
        <w:pStyle w:val="Subitem"/>
      </w:pPr>
      <w:r w:rsidRPr="00787808">
        <w:t>(7)</w:t>
      </w:r>
      <w:r w:rsidRPr="00787808">
        <w:tab/>
        <w:t xml:space="preserve">The Minister may make a determination under </w:t>
      </w:r>
      <w:r w:rsidR="00787808">
        <w:t>subitem (</w:t>
      </w:r>
      <w:r w:rsidRPr="00787808">
        <w:t>5) before or after the transition time.</w:t>
      </w:r>
    </w:p>
    <w:p w:rsidR="00337EE8" w:rsidRPr="00787808" w:rsidRDefault="00337EE8">
      <w:pPr>
        <w:pStyle w:val="Subitem"/>
      </w:pPr>
      <w:r w:rsidRPr="00787808">
        <w:t>(8)</w:t>
      </w:r>
      <w:r w:rsidRPr="00787808">
        <w:tab/>
        <w:t xml:space="preserve">A determination made under </w:t>
      </w:r>
      <w:r w:rsidR="00787808">
        <w:t>subitem (</w:t>
      </w:r>
      <w:r w:rsidRPr="00787808">
        <w:t>5) is not a legislative instrument.</w:t>
      </w:r>
    </w:p>
    <w:p w:rsidR="00337EE8" w:rsidRPr="00787808" w:rsidRDefault="00337EE8">
      <w:pPr>
        <w:pStyle w:val="SubitemHead"/>
        <w:rPr>
          <w:i w:val="0"/>
        </w:rPr>
      </w:pPr>
      <w:r w:rsidRPr="00787808">
        <w:t>Commonwealth Authorities and Companies Act 1997</w:t>
      </w:r>
    </w:p>
    <w:p w:rsidR="00337EE8" w:rsidRPr="00787808" w:rsidRDefault="00337EE8">
      <w:pPr>
        <w:pStyle w:val="Subitem"/>
      </w:pPr>
      <w:r w:rsidRPr="00787808">
        <w:t>(9)</w:t>
      </w:r>
      <w:r w:rsidRPr="00787808">
        <w:tab/>
        <w:t>Section</w:t>
      </w:r>
      <w:r w:rsidR="00787808">
        <w:t> </w:t>
      </w:r>
      <w:r w:rsidRPr="00787808">
        <w:t xml:space="preserve">20 of the </w:t>
      </w:r>
      <w:r w:rsidRPr="00787808">
        <w:rPr>
          <w:i/>
        </w:rPr>
        <w:t>Commonwealth Authorities and Companies Act 1997</w:t>
      </w:r>
      <w:r w:rsidRPr="00787808">
        <w:t xml:space="preserve"> applies in relation to accounting records transferred to a body under this item as if the records were records of that body.</w:t>
      </w:r>
    </w:p>
    <w:p w:rsidR="00337EE8" w:rsidRPr="00787808" w:rsidRDefault="00337EE8">
      <w:pPr>
        <w:pStyle w:val="ItemHead"/>
      </w:pPr>
      <w:r w:rsidRPr="00787808">
        <w:t>24  Variation of the operation of this Division</w:t>
      </w:r>
    </w:p>
    <w:p w:rsidR="00337EE8" w:rsidRPr="00787808" w:rsidRDefault="00337EE8">
      <w:pPr>
        <w:pStyle w:val="Subitem"/>
      </w:pPr>
      <w:r w:rsidRPr="00787808">
        <w:t>(1)</w:t>
      </w:r>
      <w:r w:rsidRPr="00787808">
        <w:tab/>
        <w:t>The Minister may determine, in writing, that a provision of item</w:t>
      </w:r>
      <w:r w:rsidR="00787808">
        <w:t> </w:t>
      </w:r>
      <w:r w:rsidRPr="00787808">
        <w:t>21, 22 or 23 does not apply in relation to instruments, proceedings, records or documents specified in the determination.</w:t>
      </w:r>
    </w:p>
    <w:p w:rsidR="00337EE8" w:rsidRPr="00787808" w:rsidRDefault="00337EE8">
      <w:pPr>
        <w:pStyle w:val="Subitem"/>
      </w:pPr>
      <w:r w:rsidRPr="00787808">
        <w:t>(2)</w:t>
      </w:r>
      <w:r w:rsidRPr="00787808">
        <w:tab/>
        <w:t xml:space="preserve">A determination under </w:t>
      </w:r>
      <w:r w:rsidR="00787808">
        <w:t>subitem (</w:t>
      </w:r>
      <w:r w:rsidRPr="00787808">
        <w:t>1) has effect accordingly, and takes effect:</w:t>
      </w:r>
    </w:p>
    <w:p w:rsidR="00337EE8" w:rsidRPr="00787808" w:rsidRDefault="00337EE8">
      <w:pPr>
        <w:pStyle w:val="paragraph"/>
      </w:pPr>
      <w:r w:rsidRPr="00787808">
        <w:tab/>
        <w:t>(a)</w:t>
      </w:r>
      <w:r w:rsidRPr="00787808">
        <w:tab/>
        <w:t>at the time specified in the determination (which may be a time before the determination is made but not a time earlier than the transition time); or</w:t>
      </w:r>
    </w:p>
    <w:p w:rsidR="00337EE8" w:rsidRPr="00787808" w:rsidRDefault="00337EE8">
      <w:pPr>
        <w:pStyle w:val="paragraph"/>
      </w:pPr>
      <w:r w:rsidRPr="00787808">
        <w:tab/>
        <w:t>(b)</w:t>
      </w:r>
      <w:r w:rsidRPr="00787808">
        <w:tab/>
        <w:t>if a time is not specified—at the beginning of the day on which the determination is made.</w:t>
      </w:r>
    </w:p>
    <w:p w:rsidR="00337EE8" w:rsidRPr="00787808" w:rsidRDefault="00337EE8">
      <w:pPr>
        <w:pStyle w:val="Subitem"/>
      </w:pPr>
      <w:r w:rsidRPr="00787808">
        <w:lastRenderedPageBreak/>
        <w:t>(3)</w:t>
      </w:r>
      <w:r w:rsidRPr="00787808">
        <w:tab/>
        <w:t xml:space="preserve">A determination under </w:t>
      </w:r>
      <w:r w:rsidR="00787808">
        <w:t>subitem (</w:t>
      </w:r>
      <w:r w:rsidRPr="00787808">
        <w:t>2) is not a legislative instrument.</w:t>
      </w:r>
    </w:p>
    <w:p w:rsidR="00337EE8" w:rsidRPr="00787808" w:rsidRDefault="00337EE8">
      <w:pPr>
        <w:pStyle w:val="ActHead8"/>
      </w:pPr>
      <w:bookmarkStart w:id="22" w:name="_Toc450732119"/>
      <w:r w:rsidRPr="00787808">
        <w:t>Division</w:t>
      </w:r>
      <w:r w:rsidR="00787808">
        <w:t> </w:t>
      </w:r>
      <w:r w:rsidRPr="00787808">
        <w:t>2—FAL and FFC</w:t>
      </w:r>
      <w:bookmarkEnd w:id="22"/>
    </w:p>
    <w:p w:rsidR="00337EE8" w:rsidRPr="00787808" w:rsidRDefault="00337EE8">
      <w:pPr>
        <w:pStyle w:val="ItemHead"/>
      </w:pPr>
      <w:r w:rsidRPr="00787808">
        <w:t>25  Things done by, or in relation to, FAL or FFC</w:t>
      </w:r>
    </w:p>
    <w:p w:rsidR="00337EE8" w:rsidRPr="00787808" w:rsidRDefault="00337EE8">
      <w:pPr>
        <w:pStyle w:val="Subitem"/>
      </w:pPr>
      <w:r w:rsidRPr="00787808">
        <w:t>(1)</w:t>
      </w:r>
      <w:r w:rsidRPr="00787808">
        <w:tab/>
        <w:t>If, before the transition time, a thing was done by, or in relation to, FAL or FFC, then, at and after the transition time, the thing is taken to have been done by, or in relation to, Screen Australia.</w:t>
      </w:r>
    </w:p>
    <w:p w:rsidR="00337EE8" w:rsidRPr="00787808" w:rsidRDefault="00337EE8">
      <w:pPr>
        <w:pStyle w:val="Subitem"/>
      </w:pPr>
      <w:r w:rsidRPr="00787808">
        <w:t>(2)</w:t>
      </w:r>
      <w:r w:rsidRPr="00787808">
        <w:tab/>
        <w:t>This item does not limit the operation of item</w:t>
      </w:r>
      <w:r w:rsidR="00787808">
        <w:t> </w:t>
      </w:r>
      <w:r w:rsidRPr="00787808">
        <w:t>3.</w:t>
      </w:r>
    </w:p>
    <w:p w:rsidR="00337EE8" w:rsidRPr="00787808" w:rsidRDefault="00337EE8">
      <w:pPr>
        <w:pStyle w:val="ItemHead"/>
      </w:pPr>
      <w:r w:rsidRPr="00787808">
        <w:t>26  References in instruments to FAL or FFC</w:t>
      </w:r>
    </w:p>
    <w:p w:rsidR="00337EE8" w:rsidRPr="00787808" w:rsidRDefault="00337EE8">
      <w:pPr>
        <w:pStyle w:val="Subitem"/>
      </w:pPr>
      <w:r w:rsidRPr="00787808">
        <w:t>(1)</w:t>
      </w:r>
      <w:r w:rsidRPr="00787808">
        <w:tab/>
        <w:t>If:</w:t>
      </w:r>
    </w:p>
    <w:p w:rsidR="00337EE8" w:rsidRPr="00787808" w:rsidRDefault="00337EE8">
      <w:pPr>
        <w:pStyle w:val="paragraph"/>
      </w:pPr>
      <w:r w:rsidRPr="00787808">
        <w:tab/>
        <w:t>(a)</w:t>
      </w:r>
      <w:r w:rsidRPr="00787808">
        <w:tab/>
        <w:t>an instrument is in force immediately before the transition time; and</w:t>
      </w:r>
    </w:p>
    <w:p w:rsidR="00337EE8" w:rsidRPr="00787808" w:rsidRDefault="00337EE8">
      <w:pPr>
        <w:pStyle w:val="paragraph"/>
      </w:pPr>
      <w:r w:rsidRPr="00787808">
        <w:tab/>
        <w:t>(b)</w:t>
      </w:r>
      <w:r w:rsidRPr="00787808">
        <w:tab/>
        <w:t>the instrument contains a reference to FAL or FFC;</w:t>
      </w:r>
    </w:p>
    <w:p w:rsidR="00337EE8" w:rsidRPr="00787808" w:rsidRDefault="00337EE8">
      <w:pPr>
        <w:pStyle w:val="Item"/>
      </w:pPr>
      <w:r w:rsidRPr="00787808">
        <w:t>then the reference to FAL or FFC has effect, at and after the transition time, as if it were a reference to Screen Australia.</w:t>
      </w:r>
    </w:p>
    <w:p w:rsidR="00337EE8" w:rsidRPr="00787808" w:rsidRDefault="00337EE8">
      <w:pPr>
        <w:pStyle w:val="Subitem"/>
      </w:pPr>
      <w:r w:rsidRPr="00787808">
        <w:t>(2)</w:t>
      </w:r>
      <w:r w:rsidRPr="00787808">
        <w:tab/>
        <w:t>In this item:</w:t>
      </w:r>
    </w:p>
    <w:p w:rsidR="00337EE8" w:rsidRPr="00787808" w:rsidRDefault="00337EE8">
      <w:pPr>
        <w:pStyle w:val="Item"/>
      </w:pPr>
      <w:r w:rsidRPr="00787808">
        <w:rPr>
          <w:b/>
          <w:i/>
        </w:rPr>
        <w:t>instrument</w:t>
      </w:r>
      <w:r w:rsidRPr="00787808">
        <w:t>:</w:t>
      </w:r>
    </w:p>
    <w:p w:rsidR="00337EE8" w:rsidRPr="00787808" w:rsidRDefault="00337EE8">
      <w:pPr>
        <w:pStyle w:val="paragraph"/>
      </w:pPr>
      <w:r w:rsidRPr="00787808">
        <w:tab/>
        <w:t>(a)</w:t>
      </w:r>
      <w:r w:rsidRPr="00787808">
        <w:tab/>
        <w:t>includes:</w:t>
      </w:r>
    </w:p>
    <w:p w:rsidR="00337EE8" w:rsidRPr="00787808" w:rsidRDefault="00337EE8">
      <w:pPr>
        <w:pStyle w:val="paragraphsub"/>
      </w:pPr>
      <w:r w:rsidRPr="00787808">
        <w:tab/>
        <w:t>(i)</w:t>
      </w:r>
      <w:r w:rsidRPr="00787808">
        <w:tab/>
        <w:t>a contract, deed, undertaking or agreement; and</w:t>
      </w:r>
    </w:p>
    <w:p w:rsidR="00337EE8" w:rsidRPr="00787808" w:rsidRDefault="00337EE8">
      <w:pPr>
        <w:pStyle w:val="paragraphsub"/>
      </w:pPr>
      <w:r w:rsidRPr="00787808">
        <w:tab/>
        <w:t>(ii)</w:t>
      </w:r>
      <w:r w:rsidRPr="00787808">
        <w:tab/>
        <w:t>a notice, authority, order or instruction; and</w:t>
      </w:r>
    </w:p>
    <w:p w:rsidR="00337EE8" w:rsidRPr="00787808" w:rsidRDefault="00337EE8">
      <w:pPr>
        <w:pStyle w:val="paragraphsub"/>
      </w:pPr>
      <w:r w:rsidRPr="00787808">
        <w:tab/>
        <w:t>(iii)</w:t>
      </w:r>
      <w:r w:rsidRPr="00787808">
        <w:tab/>
        <w:t>an instrument made under an Act or regulations; but</w:t>
      </w:r>
    </w:p>
    <w:p w:rsidR="00337EE8" w:rsidRPr="00787808" w:rsidRDefault="00337EE8">
      <w:pPr>
        <w:pStyle w:val="paragraph"/>
      </w:pPr>
      <w:r w:rsidRPr="00787808">
        <w:tab/>
        <w:t>(b)</w:t>
      </w:r>
      <w:r w:rsidRPr="00787808">
        <w:tab/>
        <w:t>does not include:</w:t>
      </w:r>
    </w:p>
    <w:p w:rsidR="00337EE8" w:rsidRPr="00787808" w:rsidRDefault="00337EE8">
      <w:pPr>
        <w:pStyle w:val="paragraphsub"/>
      </w:pPr>
      <w:r w:rsidRPr="00787808">
        <w:tab/>
        <w:t>(i)</w:t>
      </w:r>
      <w:r w:rsidRPr="00787808">
        <w:tab/>
        <w:t>an Act; or</w:t>
      </w:r>
    </w:p>
    <w:p w:rsidR="00337EE8" w:rsidRPr="00787808" w:rsidRDefault="00337EE8">
      <w:pPr>
        <w:pStyle w:val="paragraphsub"/>
      </w:pPr>
      <w:r w:rsidRPr="00787808">
        <w:tab/>
        <w:t>(ii)</w:t>
      </w:r>
      <w:r w:rsidRPr="00787808">
        <w:tab/>
        <w:t>instruments made under this Act; or</w:t>
      </w:r>
    </w:p>
    <w:p w:rsidR="00337EE8" w:rsidRPr="00787808" w:rsidRDefault="00337EE8">
      <w:pPr>
        <w:pStyle w:val="paragraphsub"/>
      </w:pPr>
      <w:r w:rsidRPr="00787808">
        <w:tab/>
        <w:t>(iii)</w:t>
      </w:r>
      <w:r w:rsidRPr="00787808">
        <w:tab/>
        <w:t>the constitutions of FAL and FFC.</w:t>
      </w:r>
    </w:p>
    <w:p w:rsidR="00337EE8" w:rsidRPr="00787808" w:rsidRDefault="00337EE8">
      <w:pPr>
        <w:pStyle w:val="ItemHead"/>
      </w:pPr>
      <w:r w:rsidRPr="00787808">
        <w:lastRenderedPageBreak/>
        <w:t>27  Legal proceedings of FAL or FFC</w:t>
      </w:r>
    </w:p>
    <w:p w:rsidR="00337EE8" w:rsidRPr="00787808" w:rsidRDefault="00337EE8">
      <w:pPr>
        <w:pStyle w:val="Item"/>
      </w:pPr>
      <w:r w:rsidRPr="00787808">
        <w:t>If any proceedings to which FAL or FFC was a party were pending in any court or tribunal immediately before the transition time, then Screen Australia is taken, at and after the transition time, to be substituted for FAL or FFC as a party to the proceedings.</w:t>
      </w:r>
    </w:p>
    <w:p w:rsidR="00337EE8" w:rsidRPr="00787808" w:rsidRDefault="00337EE8">
      <w:pPr>
        <w:pStyle w:val="ItemHead"/>
      </w:pPr>
      <w:r w:rsidRPr="00787808">
        <w:t>28  Transfer of custody of records of FAL or FFC</w:t>
      </w:r>
    </w:p>
    <w:p w:rsidR="00337EE8" w:rsidRPr="00787808" w:rsidRDefault="00337EE8">
      <w:pPr>
        <w:pStyle w:val="Subitem"/>
      </w:pPr>
      <w:r w:rsidRPr="00787808">
        <w:t>(1)</w:t>
      </w:r>
      <w:r w:rsidRPr="00787808">
        <w:tab/>
        <w:t>A record or document that, immediately before the transition time, is in the custody of FAL or FFC is to be transferred, after the transition time, into the custody of Screen Australia.</w:t>
      </w:r>
    </w:p>
    <w:p w:rsidR="00337EE8" w:rsidRPr="00787808" w:rsidRDefault="00337EE8">
      <w:pPr>
        <w:pStyle w:val="Subitem"/>
      </w:pPr>
      <w:r w:rsidRPr="00787808">
        <w:t>(2)</w:t>
      </w:r>
      <w:r w:rsidRPr="00787808">
        <w:tab/>
        <w:t>Section</w:t>
      </w:r>
      <w:r w:rsidR="00787808">
        <w:t> </w:t>
      </w:r>
      <w:r w:rsidRPr="00787808">
        <w:t xml:space="preserve">20 of the </w:t>
      </w:r>
      <w:r w:rsidRPr="00787808">
        <w:rPr>
          <w:i/>
        </w:rPr>
        <w:t>Commonwealth Authorities and Companies Act 1997</w:t>
      </w:r>
      <w:r w:rsidRPr="00787808">
        <w:t xml:space="preserve"> applies in relation to accounting records transferred to Screen Australia under this item as if the records were records of Screen Australia.</w:t>
      </w:r>
    </w:p>
    <w:p w:rsidR="00337EE8" w:rsidRPr="00787808" w:rsidRDefault="00337EE8" w:rsidP="00C21F6D">
      <w:pPr>
        <w:pStyle w:val="ActHead7"/>
        <w:pageBreakBefore/>
      </w:pPr>
      <w:bookmarkStart w:id="23" w:name="_Toc450732120"/>
      <w:r w:rsidRPr="00787808">
        <w:rPr>
          <w:rStyle w:val="CharAmPartNo"/>
        </w:rPr>
        <w:lastRenderedPageBreak/>
        <w:t>Part</w:t>
      </w:r>
      <w:r w:rsidR="00787808">
        <w:rPr>
          <w:rStyle w:val="CharAmPartNo"/>
        </w:rPr>
        <w:t> </w:t>
      </w:r>
      <w:r w:rsidRPr="00787808">
        <w:rPr>
          <w:rStyle w:val="CharAmPartNo"/>
        </w:rPr>
        <w:t>6</w:t>
      </w:r>
      <w:r w:rsidRPr="00787808">
        <w:t>—</w:t>
      </w:r>
      <w:r w:rsidRPr="00787808">
        <w:rPr>
          <w:rStyle w:val="CharAmPartText"/>
        </w:rPr>
        <w:t>Annual reports, returns etc. of AFC, FAL and FFC</w:t>
      </w:r>
      <w:bookmarkEnd w:id="23"/>
    </w:p>
    <w:p w:rsidR="00337EE8" w:rsidRPr="00787808" w:rsidRDefault="00337EE8">
      <w:pPr>
        <w:pStyle w:val="ItemHead"/>
      </w:pPr>
      <w:r w:rsidRPr="00787808">
        <w:t>29  Final annual report of AFC</w:t>
      </w:r>
    </w:p>
    <w:p w:rsidR="00337EE8" w:rsidRPr="00787808" w:rsidRDefault="00337EE8">
      <w:pPr>
        <w:pStyle w:val="Subitem"/>
      </w:pPr>
      <w:r w:rsidRPr="00787808">
        <w:t>(1)</w:t>
      </w:r>
      <w:r w:rsidRPr="00787808">
        <w:tab/>
        <w:t>The members of the Board of Screen Australia must prepare a report in accordance with Schedule</w:t>
      </w:r>
      <w:r w:rsidR="00787808">
        <w:t> </w:t>
      </w:r>
      <w:r w:rsidRPr="00787808">
        <w:t xml:space="preserve">1 to the </w:t>
      </w:r>
      <w:r w:rsidRPr="00787808">
        <w:rPr>
          <w:i/>
        </w:rPr>
        <w:t>Commonwealth Authorities and Companies Act 1997</w:t>
      </w:r>
      <w:r w:rsidRPr="00787808">
        <w:t xml:space="preserve"> for AFC for the transitional reporting period.</w:t>
      </w:r>
    </w:p>
    <w:p w:rsidR="00337EE8" w:rsidRPr="00787808" w:rsidRDefault="00337EE8">
      <w:pPr>
        <w:pStyle w:val="Subitem"/>
      </w:pPr>
      <w:r w:rsidRPr="00787808">
        <w:t>(2)</w:t>
      </w:r>
      <w:r w:rsidRPr="00787808">
        <w:tab/>
        <w:t>However, the report need not cover a period that has already been covered by a report given to the Minister by the members of AFC under section</w:t>
      </w:r>
      <w:r w:rsidR="00787808">
        <w:t> </w:t>
      </w:r>
      <w:r w:rsidRPr="00787808">
        <w:t xml:space="preserve">9 of the </w:t>
      </w:r>
      <w:r w:rsidRPr="00787808">
        <w:rPr>
          <w:i/>
        </w:rPr>
        <w:t>Commonwealth Authorities and Companies Act 1997</w:t>
      </w:r>
      <w:r w:rsidRPr="00787808">
        <w:t>.</w:t>
      </w:r>
    </w:p>
    <w:p w:rsidR="00337EE8" w:rsidRPr="00787808" w:rsidRDefault="00337EE8">
      <w:pPr>
        <w:pStyle w:val="Subitem"/>
      </w:pPr>
      <w:r w:rsidRPr="00787808">
        <w:t>(3)</w:t>
      </w:r>
      <w:r w:rsidRPr="00787808">
        <w:tab/>
        <w:t>The report must include the matters described in subsections</w:t>
      </w:r>
      <w:r w:rsidR="00787808">
        <w:t> </w:t>
      </w:r>
      <w:r w:rsidRPr="00787808">
        <w:t xml:space="preserve">6(4) to (6) of the </w:t>
      </w:r>
      <w:r w:rsidRPr="00787808">
        <w:rPr>
          <w:i/>
        </w:rPr>
        <w:t>Australian Film Commission Act 1975</w:t>
      </w:r>
      <w:r w:rsidRPr="00787808">
        <w:t xml:space="preserve"> as in force immediately before the transition time.</w:t>
      </w:r>
    </w:p>
    <w:p w:rsidR="00337EE8" w:rsidRPr="00787808" w:rsidRDefault="00337EE8">
      <w:pPr>
        <w:pStyle w:val="Subitem"/>
      </w:pPr>
      <w:r w:rsidRPr="00787808">
        <w:t>(4)</w:t>
      </w:r>
      <w:r w:rsidRPr="00787808">
        <w:tab/>
        <w:t>Schedule</w:t>
      </w:r>
      <w:r w:rsidR="00787808">
        <w:t> </w:t>
      </w:r>
      <w:r w:rsidRPr="00787808">
        <w:t xml:space="preserve">1 to the </w:t>
      </w:r>
      <w:r w:rsidRPr="00787808">
        <w:rPr>
          <w:i/>
        </w:rPr>
        <w:t>Commonwealth Authorities and Companies Act 1997</w:t>
      </w:r>
      <w:r w:rsidRPr="00787808">
        <w:t>, and the Finance Minister’s Orders referred to in that Schedule, apply in relation to the report as if:</w:t>
      </w:r>
    </w:p>
    <w:p w:rsidR="00337EE8" w:rsidRPr="00787808" w:rsidRDefault="00337EE8">
      <w:pPr>
        <w:pStyle w:val="paragraph"/>
      </w:pPr>
      <w:r w:rsidRPr="00787808">
        <w:tab/>
        <w:t>(a)</w:t>
      </w:r>
      <w:r w:rsidRPr="00787808">
        <w:tab/>
        <w:t>references in that Schedule, or those Orders, to the directors were references to the members of the Board of Screen Australia; and</w:t>
      </w:r>
    </w:p>
    <w:p w:rsidR="00337EE8" w:rsidRPr="00787808" w:rsidRDefault="00337EE8">
      <w:pPr>
        <w:pStyle w:val="paragraph"/>
      </w:pPr>
      <w:r w:rsidRPr="00787808">
        <w:tab/>
        <w:t>(b)</w:t>
      </w:r>
      <w:r w:rsidRPr="00787808">
        <w:tab/>
        <w:t>references in that Schedule, or those Orders, to an annual report were references to the report; and</w:t>
      </w:r>
    </w:p>
    <w:p w:rsidR="00337EE8" w:rsidRPr="00787808" w:rsidRDefault="00337EE8">
      <w:pPr>
        <w:pStyle w:val="paragraph"/>
      </w:pPr>
      <w:r w:rsidRPr="00787808">
        <w:tab/>
        <w:t>(c)</w:t>
      </w:r>
      <w:r w:rsidRPr="00787808">
        <w:tab/>
        <w:t>references in that Schedule, or those Orders, to a financial year were references to the transitional reporting period.</w:t>
      </w:r>
    </w:p>
    <w:p w:rsidR="00337EE8" w:rsidRPr="00787808" w:rsidRDefault="00337EE8">
      <w:pPr>
        <w:pStyle w:val="Subitem"/>
      </w:pPr>
      <w:r w:rsidRPr="00787808">
        <w:t>(5)</w:t>
      </w:r>
      <w:r w:rsidRPr="00787808">
        <w:tab/>
        <w:t>The members of the Board of Screen Australia must give the report to the Minister by the 15th day of the fourth month after the end of the transitional reporting period. The Minister may grant an extension of time in special circumstances.</w:t>
      </w:r>
    </w:p>
    <w:p w:rsidR="00337EE8" w:rsidRPr="00787808" w:rsidRDefault="00337EE8">
      <w:pPr>
        <w:pStyle w:val="Subitem"/>
      </w:pPr>
      <w:r w:rsidRPr="00787808">
        <w:t>(6)</w:t>
      </w:r>
      <w:r w:rsidRPr="00787808">
        <w:tab/>
        <w:t>The Minister must table the report in each House of the Parliament as soon as practicable.</w:t>
      </w:r>
    </w:p>
    <w:p w:rsidR="00337EE8" w:rsidRPr="00787808" w:rsidRDefault="00337EE8">
      <w:pPr>
        <w:pStyle w:val="Subitem"/>
      </w:pPr>
      <w:r w:rsidRPr="00787808">
        <w:t>(7)</w:t>
      </w:r>
      <w:r w:rsidRPr="00787808">
        <w:tab/>
        <w:t>In this item:</w:t>
      </w:r>
    </w:p>
    <w:p w:rsidR="00337EE8" w:rsidRPr="00787808" w:rsidRDefault="00337EE8">
      <w:pPr>
        <w:pStyle w:val="Item"/>
      </w:pPr>
      <w:r w:rsidRPr="00787808">
        <w:rPr>
          <w:b/>
          <w:i/>
        </w:rPr>
        <w:lastRenderedPageBreak/>
        <w:t>member</w:t>
      </w:r>
      <w:r w:rsidRPr="00787808">
        <w:t xml:space="preserve"> of the Board of Screen Australia means a member appointed under section</w:t>
      </w:r>
      <w:r w:rsidR="00787808">
        <w:t> </w:t>
      </w:r>
      <w:r w:rsidRPr="00787808">
        <w:t xml:space="preserve">11 of the </w:t>
      </w:r>
      <w:r w:rsidRPr="00787808">
        <w:rPr>
          <w:i/>
        </w:rPr>
        <w:t>Screen Australia Act 2008</w:t>
      </w:r>
      <w:r w:rsidRPr="00787808">
        <w:t>.</w:t>
      </w:r>
    </w:p>
    <w:p w:rsidR="00337EE8" w:rsidRPr="00787808" w:rsidRDefault="00337EE8">
      <w:pPr>
        <w:pStyle w:val="Item"/>
      </w:pPr>
      <w:r w:rsidRPr="00787808">
        <w:rPr>
          <w:b/>
          <w:i/>
        </w:rPr>
        <w:t>transitional reporting period</w:t>
      </w:r>
      <w:r w:rsidRPr="00787808">
        <w:t xml:space="preserve"> means the period beginning at the start of the financial year before the financial year in which the transition time occurs and ending immediately before the transition time.</w:t>
      </w:r>
    </w:p>
    <w:p w:rsidR="00337EE8" w:rsidRPr="00787808" w:rsidRDefault="00337EE8">
      <w:pPr>
        <w:pStyle w:val="ItemHead"/>
      </w:pPr>
      <w:r w:rsidRPr="00787808">
        <w:t>30  Contravention of final annual reporting requirement</w:t>
      </w:r>
    </w:p>
    <w:p w:rsidR="00337EE8" w:rsidRPr="00787808" w:rsidRDefault="00337EE8">
      <w:pPr>
        <w:pStyle w:val="Subitem"/>
      </w:pPr>
      <w:r w:rsidRPr="00787808">
        <w:t>(1)</w:t>
      </w:r>
      <w:r w:rsidRPr="00787808">
        <w:tab/>
        <w:t>If a final annual reporting requirement is contravened, each member of the Board of Screen Australia who:</w:t>
      </w:r>
    </w:p>
    <w:p w:rsidR="00337EE8" w:rsidRPr="00787808" w:rsidRDefault="00337EE8">
      <w:pPr>
        <w:pStyle w:val="paragraph"/>
      </w:pPr>
      <w:r w:rsidRPr="00787808">
        <w:tab/>
        <w:t>(a)</w:t>
      </w:r>
      <w:r w:rsidRPr="00787808">
        <w:tab/>
        <w:t>caused the contravention; or</w:t>
      </w:r>
    </w:p>
    <w:p w:rsidR="00337EE8" w:rsidRPr="00787808" w:rsidRDefault="00337EE8">
      <w:pPr>
        <w:pStyle w:val="paragraph"/>
      </w:pPr>
      <w:r w:rsidRPr="00787808">
        <w:tab/>
        <w:t>(b)</w:t>
      </w:r>
      <w:r w:rsidRPr="00787808">
        <w:tab/>
        <w:t>failed to take all reasonable steps to comply with the requirement, or secure compliance with the requirement;</w:t>
      </w:r>
    </w:p>
    <w:p w:rsidR="00337EE8" w:rsidRPr="00787808" w:rsidRDefault="00337EE8">
      <w:pPr>
        <w:pStyle w:val="Item"/>
      </w:pPr>
      <w:r w:rsidRPr="00787808">
        <w:t>contravenes this subitem.</w:t>
      </w:r>
    </w:p>
    <w:p w:rsidR="00337EE8" w:rsidRPr="00787808" w:rsidRDefault="00337EE8">
      <w:pPr>
        <w:pStyle w:val="Subitem"/>
      </w:pPr>
      <w:r w:rsidRPr="00787808">
        <w:t>(2)</w:t>
      </w:r>
      <w:r w:rsidRPr="00787808">
        <w:tab/>
        <w:t>Schedule</w:t>
      </w:r>
      <w:r w:rsidR="00787808">
        <w:t> </w:t>
      </w:r>
      <w:r w:rsidRPr="00787808">
        <w:t xml:space="preserve">2 to the </w:t>
      </w:r>
      <w:r w:rsidRPr="00787808">
        <w:rPr>
          <w:i/>
        </w:rPr>
        <w:t>Commonwealth Authorities and Companies Act 1997</w:t>
      </w:r>
      <w:r w:rsidRPr="00787808">
        <w:t xml:space="preserve"> applies in relation to a contravention of </w:t>
      </w:r>
      <w:r w:rsidR="00787808">
        <w:t>subitem (</w:t>
      </w:r>
      <w:r w:rsidRPr="00787808">
        <w:t>1) of this item as if:</w:t>
      </w:r>
    </w:p>
    <w:p w:rsidR="00337EE8" w:rsidRPr="00787808" w:rsidRDefault="00337EE8">
      <w:pPr>
        <w:pStyle w:val="paragraph"/>
      </w:pPr>
      <w:r w:rsidRPr="00787808">
        <w:tab/>
        <w:t>(a)</w:t>
      </w:r>
      <w:r w:rsidRPr="00787808">
        <w:tab/>
      </w:r>
      <w:r w:rsidR="00787808">
        <w:t>subitem (</w:t>
      </w:r>
      <w:r w:rsidRPr="00787808">
        <w:t>1) of this item were a civil penalty provision specified in clause</w:t>
      </w:r>
      <w:r w:rsidR="00787808">
        <w:t> </w:t>
      </w:r>
      <w:r w:rsidRPr="00787808">
        <w:t>1 of that Schedule; and</w:t>
      </w:r>
    </w:p>
    <w:p w:rsidR="00337EE8" w:rsidRPr="00787808" w:rsidRDefault="00337EE8">
      <w:pPr>
        <w:pStyle w:val="paragraph"/>
      </w:pPr>
      <w:r w:rsidRPr="00787808">
        <w:tab/>
        <w:t>(b)</w:t>
      </w:r>
      <w:r w:rsidRPr="00787808">
        <w:tab/>
        <w:t>subparagraphs</w:t>
      </w:r>
      <w:r w:rsidR="00787808">
        <w:t> </w:t>
      </w:r>
      <w:r w:rsidRPr="00787808">
        <w:t>3(1)(b)(i) and (ii), clauses</w:t>
      </w:r>
      <w:r w:rsidR="00787808">
        <w:t> </w:t>
      </w:r>
      <w:r w:rsidRPr="00787808">
        <w:t>4 and 5, subclauses</w:t>
      </w:r>
      <w:r w:rsidR="00787808">
        <w:t> </w:t>
      </w:r>
      <w:r w:rsidRPr="00787808">
        <w:t>6(2) and (3) and paragraphs 8(a) and 11(c) of that Schedule were omitted; and</w:t>
      </w:r>
    </w:p>
    <w:p w:rsidR="00337EE8" w:rsidRPr="00787808" w:rsidRDefault="00337EE8">
      <w:pPr>
        <w:pStyle w:val="paragraph"/>
      </w:pPr>
      <w:r w:rsidRPr="00787808">
        <w:tab/>
        <w:t>(c)</w:t>
      </w:r>
      <w:r w:rsidRPr="00787808">
        <w:tab/>
        <w:t>the reference to “or a compensation order” in subclause</w:t>
      </w:r>
      <w:r w:rsidR="00787808">
        <w:t> </w:t>
      </w:r>
      <w:r w:rsidRPr="00787808">
        <w:t>6(1) were omitted.</w:t>
      </w:r>
    </w:p>
    <w:p w:rsidR="00337EE8" w:rsidRPr="00787808" w:rsidRDefault="00337EE8">
      <w:pPr>
        <w:pStyle w:val="Subitem"/>
      </w:pPr>
      <w:r w:rsidRPr="00787808">
        <w:t>(3)</w:t>
      </w:r>
      <w:r w:rsidRPr="00787808">
        <w:tab/>
        <w:t>If a contravention of a final annual reporting requirement consists of an omission from the financial statements, it is a defence if the defendant proves that the information omitted was immaterial and did not affect the giving of a true and fair view of the matters required by the Finance Minister’s Orders to be included in the statements.</w:t>
      </w:r>
    </w:p>
    <w:p w:rsidR="00337EE8" w:rsidRPr="00787808" w:rsidRDefault="00337EE8">
      <w:pPr>
        <w:pStyle w:val="Subitem"/>
      </w:pPr>
      <w:r w:rsidRPr="00787808">
        <w:t>(4)</w:t>
      </w:r>
      <w:r w:rsidRPr="00787808">
        <w:tab/>
        <w:t>In this item:</w:t>
      </w:r>
    </w:p>
    <w:p w:rsidR="00337EE8" w:rsidRPr="00787808" w:rsidRDefault="00337EE8">
      <w:pPr>
        <w:pStyle w:val="Item"/>
      </w:pPr>
      <w:r w:rsidRPr="00787808">
        <w:rPr>
          <w:b/>
          <w:i/>
        </w:rPr>
        <w:t>final annual reporting requirement</w:t>
      </w:r>
      <w:r w:rsidRPr="00787808">
        <w:t xml:space="preserve"> means subitem</w:t>
      </w:r>
      <w:r w:rsidR="00787808">
        <w:t> </w:t>
      </w:r>
      <w:r w:rsidRPr="00787808">
        <w:t>19(1), (3) or (5) of this Schedule.</w:t>
      </w:r>
    </w:p>
    <w:p w:rsidR="00337EE8" w:rsidRPr="00787808" w:rsidRDefault="00337EE8">
      <w:pPr>
        <w:pStyle w:val="Item"/>
      </w:pPr>
      <w:r w:rsidRPr="00787808">
        <w:rPr>
          <w:b/>
          <w:i/>
        </w:rPr>
        <w:t>member</w:t>
      </w:r>
      <w:r w:rsidRPr="00787808">
        <w:t xml:space="preserve"> of the Board of Screen Australia means a member appointed under section</w:t>
      </w:r>
      <w:r w:rsidR="00787808">
        <w:t> </w:t>
      </w:r>
      <w:r w:rsidRPr="00787808">
        <w:t xml:space="preserve">11 of the </w:t>
      </w:r>
      <w:r w:rsidRPr="00787808">
        <w:rPr>
          <w:i/>
        </w:rPr>
        <w:t>Screen Australia Act 2008</w:t>
      </w:r>
      <w:r w:rsidRPr="00787808">
        <w:t>.</w:t>
      </w:r>
    </w:p>
    <w:p w:rsidR="00337EE8" w:rsidRPr="00787808" w:rsidRDefault="00337EE8">
      <w:pPr>
        <w:pStyle w:val="ItemHead"/>
      </w:pPr>
      <w:r w:rsidRPr="00787808">
        <w:lastRenderedPageBreak/>
        <w:t>31  Other reports, returns etc. of AFC, FAL and FFC</w:t>
      </w:r>
    </w:p>
    <w:p w:rsidR="00337EE8" w:rsidRPr="00787808" w:rsidRDefault="00337EE8">
      <w:pPr>
        <w:pStyle w:val="Subitem"/>
      </w:pPr>
      <w:r w:rsidRPr="00787808">
        <w:t>(1)</w:t>
      </w:r>
      <w:r w:rsidRPr="00787808">
        <w:tab/>
        <w:t xml:space="preserve">This item applies to a report, return or other document if, at a time (the </w:t>
      </w:r>
      <w:r w:rsidRPr="00787808">
        <w:rPr>
          <w:b/>
          <w:i/>
        </w:rPr>
        <w:t>relevant time</w:t>
      </w:r>
      <w:r w:rsidRPr="00787808">
        <w:t>) that is immediately before, at or after the transition time:</w:t>
      </w:r>
    </w:p>
    <w:p w:rsidR="00337EE8" w:rsidRPr="00787808" w:rsidRDefault="00337EE8">
      <w:pPr>
        <w:pStyle w:val="paragraph"/>
      </w:pPr>
      <w:r w:rsidRPr="00787808">
        <w:tab/>
        <w:t>(a)</w:t>
      </w:r>
      <w:r w:rsidRPr="00787808">
        <w:tab/>
        <w:t>AFC, FAL or FFC is required, by or under a law of the Commonwealth, to prepare or lodge the report, return or document; or</w:t>
      </w:r>
    </w:p>
    <w:p w:rsidR="00337EE8" w:rsidRPr="00787808" w:rsidRDefault="00337EE8">
      <w:pPr>
        <w:pStyle w:val="paragraph"/>
      </w:pPr>
      <w:r w:rsidRPr="00787808">
        <w:tab/>
        <w:t>(b)</w:t>
      </w:r>
      <w:r w:rsidRPr="00787808">
        <w:tab/>
        <w:t>any of the following persons is required, by or under a law of the Commonwealth, to prepare or lodge the report, return or document in relation to AFC, FAL or FFC:</w:t>
      </w:r>
    </w:p>
    <w:p w:rsidR="00337EE8" w:rsidRPr="00787808" w:rsidRDefault="00337EE8">
      <w:pPr>
        <w:pStyle w:val="paragraphsub"/>
      </w:pPr>
      <w:r w:rsidRPr="00787808">
        <w:tab/>
        <w:t>(i)</w:t>
      </w:r>
      <w:r w:rsidRPr="00787808">
        <w:tab/>
        <w:t>a member or former member of AFC;</w:t>
      </w:r>
    </w:p>
    <w:p w:rsidR="00337EE8" w:rsidRPr="00787808" w:rsidRDefault="00337EE8">
      <w:pPr>
        <w:pStyle w:val="paragraphsub"/>
      </w:pPr>
      <w:r w:rsidRPr="00787808">
        <w:tab/>
        <w:t>(ii)</w:t>
      </w:r>
      <w:r w:rsidRPr="00787808">
        <w:tab/>
        <w:t>a CEO or former CEO of AFC;</w:t>
      </w:r>
    </w:p>
    <w:p w:rsidR="00337EE8" w:rsidRPr="00787808" w:rsidRDefault="00337EE8">
      <w:pPr>
        <w:pStyle w:val="paragraphsub"/>
      </w:pPr>
      <w:r w:rsidRPr="00787808">
        <w:tab/>
        <w:t>(iii)</w:t>
      </w:r>
      <w:r w:rsidRPr="00787808">
        <w:tab/>
        <w:t>a director or former director of FAL or FFC;</w:t>
      </w:r>
    </w:p>
    <w:p w:rsidR="00337EE8" w:rsidRPr="00787808" w:rsidRDefault="00337EE8">
      <w:pPr>
        <w:pStyle w:val="paragraphsub"/>
      </w:pPr>
      <w:r w:rsidRPr="00787808">
        <w:tab/>
        <w:t>(iv)</w:t>
      </w:r>
      <w:r w:rsidRPr="00787808">
        <w:tab/>
        <w:t>the Managing Director/Chief Executive or former Managing Director/Chief Executive of FAL;</w:t>
      </w:r>
    </w:p>
    <w:p w:rsidR="00337EE8" w:rsidRPr="00787808" w:rsidRDefault="00337EE8">
      <w:pPr>
        <w:pStyle w:val="paragraphsub"/>
      </w:pPr>
      <w:r w:rsidRPr="00787808">
        <w:tab/>
        <w:t>(v)</w:t>
      </w:r>
      <w:r w:rsidRPr="00787808">
        <w:tab/>
        <w:t>the Chief Executive or former Chief Executive of FFC;</w:t>
      </w:r>
    </w:p>
    <w:p w:rsidR="00337EE8" w:rsidRPr="00787808" w:rsidRDefault="00337EE8">
      <w:pPr>
        <w:pStyle w:val="paragraphsub"/>
      </w:pPr>
      <w:r w:rsidRPr="00787808">
        <w:tab/>
        <w:t>(vi)</w:t>
      </w:r>
      <w:r w:rsidRPr="00787808">
        <w:tab/>
        <w:t>any other officer or member of the staff, or former officer or member of the staff, of AFC, FAL or FFC;</w:t>
      </w:r>
    </w:p>
    <w:p w:rsidR="00337EE8" w:rsidRPr="00787808" w:rsidRDefault="00337EE8">
      <w:pPr>
        <w:pStyle w:val="paragraphsub"/>
      </w:pPr>
      <w:r w:rsidRPr="00787808">
        <w:tab/>
        <w:t>(vii)</w:t>
      </w:r>
      <w:r w:rsidRPr="00787808">
        <w:tab/>
        <w:t>a member or former member of FAL or FFC.</w:t>
      </w:r>
    </w:p>
    <w:p w:rsidR="00337EE8" w:rsidRPr="00787808" w:rsidRDefault="00337EE8">
      <w:pPr>
        <w:pStyle w:val="Item"/>
      </w:pPr>
      <w:r w:rsidRPr="00787808">
        <w:t>However, this item does not apply to a report, return or document to which another item of this Schedule applies.</w:t>
      </w:r>
    </w:p>
    <w:p w:rsidR="00337EE8" w:rsidRPr="00787808" w:rsidRDefault="00337EE8">
      <w:pPr>
        <w:pStyle w:val="Subitem"/>
      </w:pPr>
      <w:r w:rsidRPr="00787808">
        <w:t>(2)</w:t>
      </w:r>
      <w:r w:rsidRPr="00787808">
        <w:tab/>
        <w:t>The Minister may determine, in writing, that Screen Australia is instead required, at the relevant time, to prepare or lodge the report, return or document.</w:t>
      </w:r>
    </w:p>
    <w:p w:rsidR="00337EE8" w:rsidRPr="00787808" w:rsidRDefault="00337EE8">
      <w:pPr>
        <w:pStyle w:val="Subitem"/>
      </w:pPr>
      <w:r w:rsidRPr="00787808">
        <w:t>(3)</w:t>
      </w:r>
      <w:r w:rsidRPr="00787808">
        <w:tab/>
        <w:t xml:space="preserve">A determination made under </w:t>
      </w:r>
      <w:r w:rsidR="00787808">
        <w:t>subitem (</w:t>
      </w:r>
      <w:r w:rsidRPr="00787808">
        <w:t>2) has effect accordingly.</w:t>
      </w:r>
    </w:p>
    <w:p w:rsidR="00337EE8" w:rsidRPr="00787808" w:rsidRDefault="00337EE8">
      <w:pPr>
        <w:pStyle w:val="Subitem"/>
      </w:pPr>
      <w:r w:rsidRPr="00787808">
        <w:t>(4)</w:t>
      </w:r>
      <w:r w:rsidRPr="00787808">
        <w:tab/>
        <w:t xml:space="preserve">A determination made under </w:t>
      </w:r>
      <w:r w:rsidR="00787808">
        <w:t>subitem (</w:t>
      </w:r>
      <w:r w:rsidRPr="00787808">
        <w:t>2) is not a legislative instrument.</w:t>
      </w:r>
    </w:p>
    <w:p w:rsidR="00337EE8" w:rsidRPr="00787808" w:rsidRDefault="00337EE8">
      <w:pPr>
        <w:pStyle w:val="Subitem"/>
      </w:pPr>
      <w:r w:rsidRPr="00787808">
        <w:t>(5)</w:t>
      </w:r>
      <w:r w:rsidRPr="00787808">
        <w:tab/>
        <w:t>This item does not limit the operation of item</w:t>
      </w:r>
      <w:r w:rsidR="00787808">
        <w:t> </w:t>
      </w:r>
      <w:r w:rsidRPr="00787808">
        <w:t>2 or 3.</w:t>
      </w:r>
    </w:p>
    <w:p w:rsidR="00F87A21" w:rsidRPr="00787808" w:rsidRDefault="00F87A21" w:rsidP="00C21F6D">
      <w:pPr>
        <w:pStyle w:val="ActHead7"/>
        <w:pageBreakBefore/>
      </w:pPr>
      <w:bookmarkStart w:id="24" w:name="_Toc450732121"/>
      <w:r w:rsidRPr="00787808">
        <w:rPr>
          <w:rStyle w:val="CharAmPartNo"/>
        </w:rPr>
        <w:lastRenderedPageBreak/>
        <w:t>Part</w:t>
      </w:r>
      <w:r w:rsidR="00787808">
        <w:rPr>
          <w:rStyle w:val="CharAmPartNo"/>
        </w:rPr>
        <w:t> </w:t>
      </w:r>
      <w:r w:rsidRPr="00787808">
        <w:rPr>
          <w:rStyle w:val="CharAmPartNo"/>
        </w:rPr>
        <w:t>7</w:t>
      </w:r>
      <w:r w:rsidRPr="00787808">
        <w:t>—</w:t>
      </w:r>
      <w:r w:rsidRPr="00787808">
        <w:rPr>
          <w:rStyle w:val="CharAmPartText"/>
        </w:rPr>
        <w:t>Appointment of first CEO of Screen Australia and NFSAA</w:t>
      </w:r>
      <w:bookmarkEnd w:id="24"/>
    </w:p>
    <w:p w:rsidR="00337EE8" w:rsidRPr="00787808" w:rsidRDefault="00337EE8">
      <w:pPr>
        <w:pStyle w:val="ItemHead"/>
      </w:pPr>
      <w:r w:rsidRPr="00787808">
        <w:t>32  Appointment of first CEO of Screen Australia</w:t>
      </w:r>
    </w:p>
    <w:p w:rsidR="00337EE8" w:rsidRPr="00787808" w:rsidRDefault="00337EE8">
      <w:pPr>
        <w:pStyle w:val="Subitem"/>
      </w:pPr>
      <w:r w:rsidRPr="00787808">
        <w:t>(1)</w:t>
      </w:r>
      <w:r w:rsidRPr="00787808">
        <w:tab/>
        <w:t>Despite subsection</w:t>
      </w:r>
      <w:r w:rsidR="00787808">
        <w:t> </w:t>
      </w:r>
      <w:r w:rsidRPr="00787808">
        <w:t xml:space="preserve">22(1) of the </w:t>
      </w:r>
      <w:r w:rsidRPr="00787808">
        <w:rPr>
          <w:i/>
        </w:rPr>
        <w:t>Screen Australia Act 2008</w:t>
      </w:r>
      <w:r w:rsidRPr="00787808">
        <w:t>, the Minister is to appoint the first CEO of Screen Australia.</w:t>
      </w:r>
    </w:p>
    <w:p w:rsidR="00337EE8" w:rsidRPr="00787808" w:rsidRDefault="00337EE8">
      <w:pPr>
        <w:pStyle w:val="Subitem"/>
      </w:pPr>
      <w:r w:rsidRPr="00787808">
        <w:t>(2)</w:t>
      </w:r>
      <w:r w:rsidRPr="00787808">
        <w:tab/>
        <w:t>The appointment is to take effect at the later of:</w:t>
      </w:r>
    </w:p>
    <w:p w:rsidR="00337EE8" w:rsidRPr="00787808" w:rsidRDefault="00337EE8">
      <w:pPr>
        <w:pStyle w:val="paragraph"/>
      </w:pPr>
      <w:r w:rsidRPr="00787808">
        <w:tab/>
        <w:t>(a)</w:t>
      </w:r>
      <w:r w:rsidRPr="00787808">
        <w:tab/>
        <w:t>the time specified in the instrument of appointment; and</w:t>
      </w:r>
    </w:p>
    <w:p w:rsidR="00337EE8" w:rsidRPr="00787808" w:rsidRDefault="00337EE8">
      <w:pPr>
        <w:pStyle w:val="paragraph"/>
      </w:pPr>
      <w:r w:rsidRPr="00787808">
        <w:tab/>
        <w:t>(b)</w:t>
      </w:r>
      <w:r w:rsidRPr="00787808">
        <w:tab/>
        <w:t>the transition time.</w:t>
      </w:r>
    </w:p>
    <w:p w:rsidR="00337EE8" w:rsidRPr="00787808" w:rsidRDefault="00337EE8">
      <w:pPr>
        <w:pStyle w:val="Subitem"/>
      </w:pPr>
      <w:r w:rsidRPr="00787808">
        <w:t>(3)</w:t>
      </w:r>
      <w:r w:rsidRPr="00787808">
        <w:tab/>
        <w:t xml:space="preserve">The </w:t>
      </w:r>
      <w:r w:rsidRPr="00787808">
        <w:rPr>
          <w:i/>
        </w:rPr>
        <w:t>Screen Australia Act 2008</w:t>
      </w:r>
      <w:r w:rsidRPr="00787808">
        <w:t xml:space="preserve"> (other than subsection</w:t>
      </w:r>
      <w:r w:rsidR="00787808">
        <w:t> </w:t>
      </w:r>
      <w:r w:rsidRPr="00787808">
        <w:t xml:space="preserve">22(1) of that Act) applies in relation to the CEO appointed under </w:t>
      </w:r>
      <w:r w:rsidR="00787808">
        <w:t>subitem (</w:t>
      </w:r>
      <w:r w:rsidRPr="00787808">
        <w:t>1) as if the CEO had been appointed under subsection</w:t>
      </w:r>
      <w:r w:rsidR="00787808">
        <w:t> </w:t>
      </w:r>
      <w:r w:rsidRPr="00787808">
        <w:t>22(1) of that Act.</w:t>
      </w:r>
    </w:p>
    <w:p w:rsidR="00337EE8" w:rsidRPr="00787808" w:rsidRDefault="00337EE8">
      <w:pPr>
        <w:pStyle w:val="ItemHead"/>
      </w:pPr>
      <w:r w:rsidRPr="00787808">
        <w:t xml:space="preserve">33  Appointment of first CEO of </w:t>
      </w:r>
      <w:r w:rsidR="00E96CB0" w:rsidRPr="00787808">
        <w:t>NFSAA</w:t>
      </w:r>
    </w:p>
    <w:p w:rsidR="00337EE8" w:rsidRPr="00787808" w:rsidRDefault="00337EE8">
      <w:pPr>
        <w:pStyle w:val="Subitem"/>
      </w:pPr>
      <w:r w:rsidRPr="00787808">
        <w:t>(1)</w:t>
      </w:r>
      <w:r w:rsidRPr="00787808">
        <w:tab/>
        <w:t>Despite subsection</w:t>
      </w:r>
      <w:r w:rsidR="00787808">
        <w:t> </w:t>
      </w:r>
      <w:r w:rsidRPr="00787808">
        <w:t xml:space="preserve">22(1) of the </w:t>
      </w:r>
      <w:r w:rsidR="00EB7BCC" w:rsidRPr="00787808">
        <w:rPr>
          <w:i/>
        </w:rPr>
        <w:t>National Film and Sound Archive of Australia</w:t>
      </w:r>
      <w:r w:rsidRPr="00787808">
        <w:rPr>
          <w:i/>
        </w:rPr>
        <w:t xml:space="preserve"> Act 2008</w:t>
      </w:r>
      <w:r w:rsidRPr="00787808">
        <w:t xml:space="preserve">, the Minister is to appoint the first CEO of </w:t>
      </w:r>
      <w:r w:rsidR="00E96CB0" w:rsidRPr="00787808">
        <w:t>NFSAA</w:t>
      </w:r>
      <w:r w:rsidRPr="00787808">
        <w:t>.</w:t>
      </w:r>
    </w:p>
    <w:p w:rsidR="00337EE8" w:rsidRPr="00787808" w:rsidRDefault="00337EE8">
      <w:pPr>
        <w:pStyle w:val="Subitem"/>
      </w:pPr>
      <w:r w:rsidRPr="00787808">
        <w:t>(2)</w:t>
      </w:r>
      <w:r w:rsidRPr="00787808">
        <w:tab/>
        <w:t>The appointment is to take effect at the later of:</w:t>
      </w:r>
    </w:p>
    <w:p w:rsidR="00337EE8" w:rsidRPr="00787808" w:rsidRDefault="00337EE8">
      <w:pPr>
        <w:pStyle w:val="paragraph"/>
      </w:pPr>
      <w:r w:rsidRPr="00787808">
        <w:tab/>
        <w:t>(a)</w:t>
      </w:r>
      <w:r w:rsidRPr="00787808">
        <w:tab/>
        <w:t>the time specified in the instrument of appointment; and</w:t>
      </w:r>
    </w:p>
    <w:p w:rsidR="00337EE8" w:rsidRPr="00787808" w:rsidRDefault="00337EE8">
      <w:pPr>
        <w:pStyle w:val="paragraph"/>
      </w:pPr>
      <w:r w:rsidRPr="00787808">
        <w:tab/>
        <w:t>(b)</w:t>
      </w:r>
      <w:r w:rsidRPr="00787808">
        <w:tab/>
        <w:t>the transition time.</w:t>
      </w:r>
    </w:p>
    <w:p w:rsidR="00337EE8" w:rsidRPr="00787808" w:rsidRDefault="00337EE8">
      <w:pPr>
        <w:pStyle w:val="Subitem"/>
      </w:pPr>
      <w:r w:rsidRPr="00787808">
        <w:t>(3)</w:t>
      </w:r>
      <w:r w:rsidRPr="00787808">
        <w:tab/>
        <w:t xml:space="preserve">The </w:t>
      </w:r>
      <w:r w:rsidR="00EB7BCC" w:rsidRPr="00787808">
        <w:rPr>
          <w:i/>
        </w:rPr>
        <w:t>National Film and Sound Archive of Australia</w:t>
      </w:r>
      <w:r w:rsidRPr="00787808">
        <w:rPr>
          <w:i/>
        </w:rPr>
        <w:t xml:space="preserve"> Act 2008</w:t>
      </w:r>
      <w:r w:rsidRPr="00787808">
        <w:t xml:space="preserve"> (other than subsection</w:t>
      </w:r>
      <w:r w:rsidR="00787808">
        <w:t> </w:t>
      </w:r>
      <w:r w:rsidRPr="00787808">
        <w:t xml:space="preserve">22(1) of that Act) applies in relation to the CEO appointed under </w:t>
      </w:r>
      <w:r w:rsidR="00787808">
        <w:t>subitem (</w:t>
      </w:r>
      <w:r w:rsidRPr="00787808">
        <w:t>1) as if the CEO had been appointed under subsection</w:t>
      </w:r>
      <w:r w:rsidR="00787808">
        <w:t> </w:t>
      </w:r>
      <w:r w:rsidRPr="00787808">
        <w:t>22(1) of that Act.</w:t>
      </w:r>
    </w:p>
    <w:p w:rsidR="00337EE8" w:rsidRPr="00787808" w:rsidRDefault="00337EE8" w:rsidP="00C21F6D">
      <w:pPr>
        <w:pStyle w:val="ActHead7"/>
        <w:pageBreakBefore/>
      </w:pPr>
      <w:bookmarkStart w:id="25" w:name="_Toc450732122"/>
      <w:r w:rsidRPr="00787808">
        <w:rPr>
          <w:rStyle w:val="CharAmPartNo"/>
        </w:rPr>
        <w:lastRenderedPageBreak/>
        <w:t>Part</w:t>
      </w:r>
      <w:r w:rsidR="00787808">
        <w:rPr>
          <w:rStyle w:val="CharAmPartNo"/>
        </w:rPr>
        <w:t> </w:t>
      </w:r>
      <w:r w:rsidRPr="00787808">
        <w:rPr>
          <w:rStyle w:val="CharAmPartNo"/>
        </w:rPr>
        <w:t>8</w:t>
      </w:r>
      <w:r w:rsidRPr="00787808">
        <w:t>—</w:t>
      </w:r>
      <w:r w:rsidRPr="00787808">
        <w:rPr>
          <w:rStyle w:val="CharAmPartText"/>
        </w:rPr>
        <w:t>Other transitional matters</w:t>
      </w:r>
      <w:bookmarkEnd w:id="25"/>
    </w:p>
    <w:p w:rsidR="00337EE8" w:rsidRPr="00787808" w:rsidRDefault="00337EE8">
      <w:pPr>
        <w:pStyle w:val="ItemHead"/>
      </w:pPr>
      <w:r w:rsidRPr="00787808">
        <w:t xml:space="preserve">34  </w:t>
      </w:r>
      <w:r w:rsidR="00B90D43" w:rsidRPr="00787808">
        <w:t>National Film and Sound Archive of Australia</w:t>
      </w:r>
    </w:p>
    <w:p w:rsidR="00337EE8" w:rsidRPr="00787808" w:rsidRDefault="00337EE8">
      <w:pPr>
        <w:pStyle w:val="Item"/>
      </w:pPr>
      <w:r w:rsidRPr="00787808">
        <w:t xml:space="preserve">Any programs and related materials that, immediately before the transition time, were included in the collection known as the </w:t>
      </w:r>
      <w:r w:rsidR="00362E5D" w:rsidRPr="00787808">
        <w:t>National Film and Sound Archive of Australia</w:t>
      </w:r>
      <w:r w:rsidRPr="00787808">
        <w:t>, are taken, at the transition time, to be part of the national collection referred to in paragraph</w:t>
      </w:r>
      <w:r w:rsidR="00787808">
        <w:t> </w:t>
      </w:r>
      <w:r w:rsidRPr="00787808">
        <w:t xml:space="preserve">6(1)(a) of the </w:t>
      </w:r>
      <w:r w:rsidR="00EB7BCC" w:rsidRPr="00787808">
        <w:rPr>
          <w:i/>
        </w:rPr>
        <w:t>National Film and Sound Archive of Australia</w:t>
      </w:r>
      <w:r w:rsidRPr="00787808">
        <w:rPr>
          <w:i/>
        </w:rPr>
        <w:t xml:space="preserve"> Act 2008</w:t>
      </w:r>
      <w:r w:rsidRPr="00787808">
        <w:t>.</w:t>
      </w:r>
    </w:p>
    <w:p w:rsidR="00337EE8" w:rsidRPr="00787808" w:rsidRDefault="00337EE8">
      <w:pPr>
        <w:pStyle w:val="ItemHead"/>
      </w:pPr>
      <w:r w:rsidRPr="00787808">
        <w:t>35  Directors’ obligations—FAL and FFC</w:t>
      </w:r>
    </w:p>
    <w:p w:rsidR="00337EE8" w:rsidRPr="00787808" w:rsidRDefault="00337EE8">
      <w:pPr>
        <w:pStyle w:val="Item"/>
      </w:pPr>
      <w:r w:rsidRPr="00787808">
        <w:t>Subsection</w:t>
      </w:r>
      <w:r w:rsidR="00787808">
        <w:t> </w:t>
      </w:r>
      <w:r w:rsidRPr="00787808">
        <w:t xml:space="preserve">601AD(5) of the </w:t>
      </w:r>
      <w:r w:rsidRPr="00787808">
        <w:rPr>
          <w:i/>
        </w:rPr>
        <w:t xml:space="preserve">Corporations Act 2001 </w:t>
      </w:r>
      <w:r w:rsidRPr="00787808">
        <w:t>has effect at and after the transition time in relation to FAL and FFC as if the reference to the directors of the company immediately before deregistration were a reference to Screen Australia.</w:t>
      </w:r>
    </w:p>
    <w:p w:rsidR="00337EE8" w:rsidRPr="00787808" w:rsidRDefault="00337EE8">
      <w:pPr>
        <w:pStyle w:val="ItemHead"/>
      </w:pPr>
      <w:r w:rsidRPr="00787808">
        <w:t>36  Transfer of appropriated money</w:t>
      </w:r>
    </w:p>
    <w:p w:rsidR="00337EE8" w:rsidRPr="00787808" w:rsidRDefault="00337EE8">
      <w:pPr>
        <w:pStyle w:val="Subitem"/>
      </w:pPr>
      <w:r w:rsidRPr="00787808">
        <w:t>(1)</w:t>
      </w:r>
      <w:r w:rsidRPr="00787808">
        <w:tab/>
        <w:t>For the purposes of the operation of an Appropriation Act after the transition time, the Finance Minister may determine, by legislative instrument, that:</w:t>
      </w:r>
    </w:p>
    <w:p w:rsidR="00337EE8" w:rsidRPr="00787808" w:rsidRDefault="00337EE8">
      <w:pPr>
        <w:pStyle w:val="paragraph"/>
      </w:pPr>
      <w:r w:rsidRPr="00787808">
        <w:tab/>
        <w:t>(a)</w:t>
      </w:r>
      <w:r w:rsidRPr="00787808">
        <w:tab/>
        <w:t>one part of the amount referred to in that Act that relates to AFC is to be read as the amount that relates to Screen Australia; and</w:t>
      </w:r>
    </w:p>
    <w:p w:rsidR="00337EE8" w:rsidRPr="00787808" w:rsidRDefault="00337EE8">
      <w:pPr>
        <w:pStyle w:val="paragraph"/>
      </w:pPr>
      <w:r w:rsidRPr="00787808">
        <w:tab/>
        <w:t>(b)</w:t>
      </w:r>
      <w:r w:rsidRPr="00787808">
        <w:tab/>
        <w:t xml:space="preserve">the other part of the amount referred to in that Act that relates to AFC is to be read as the amount that relates to </w:t>
      </w:r>
      <w:r w:rsidR="00E96CB0" w:rsidRPr="00787808">
        <w:t>NFSAA</w:t>
      </w:r>
      <w:r w:rsidRPr="00787808">
        <w:t>.</w:t>
      </w:r>
    </w:p>
    <w:p w:rsidR="00337EE8" w:rsidRPr="00787808" w:rsidRDefault="00337EE8">
      <w:pPr>
        <w:pStyle w:val="Subitem"/>
      </w:pPr>
      <w:r w:rsidRPr="00787808">
        <w:t>(2)</w:t>
      </w:r>
      <w:r w:rsidRPr="00787808">
        <w:tab/>
        <w:t xml:space="preserve">A determination made under </w:t>
      </w:r>
      <w:r w:rsidR="00787808">
        <w:t>subitem (</w:t>
      </w:r>
      <w:r w:rsidRPr="00787808">
        <w:t>1) has effect accordingly.</w:t>
      </w:r>
    </w:p>
    <w:p w:rsidR="00337EE8" w:rsidRPr="00787808" w:rsidRDefault="00337EE8">
      <w:pPr>
        <w:pStyle w:val="Subitem"/>
      </w:pPr>
      <w:r w:rsidRPr="00787808">
        <w:t>(4)</w:t>
      </w:r>
      <w:r w:rsidRPr="00787808">
        <w:tab/>
        <w:t>In this item:</w:t>
      </w:r>
    </w:p>
    <w:p w:rsidR="00337EE8" w:rsidRPr="00787808" w:rsidRDefault="00337EE8">
      <w:pPr>
        <w:pStyle w:val="Item"/>
      </w:pPr>
      <w:r w:rsidRPr="00787808">
        <w:rPr>
          <w:b/>
          <w:i/>
        </w:rPr>
        <w:t>Appropriation Act</w:t>
      </w:r>
      <w:r w:rsidRPr="00787808">
        <w:t xml:space="preserve"> means an Act appropriating money for expenditure out of the Consolidated Revenue Fund.</w:t>
      </w:r>
    </w:p>
    <w:p w:rsidR="00337EE8" w:rsidRPr="00787808" w:rsidRDefault="00337EE8">
      <w:pPr>
        <w:pStyle w:val="Item"/>
      </w:pPr>
      <w:r w:rsidRPr="00787808">
        <w:rPr>
          <w:b/>
          <w:i/>
        </w:rPr>
        <w:t>Finance Minister</w:t>
      </w:r>
      <w:r w:rsidRPr="00787808">
        <w:t xml:space="preserve"> means the Minister administering the </w:t>
      </w:r>
      <w:r w:rsidRPr="00787808">
        <w:rPr>
          <w:i/>
        </w:rPr>
        <w:t>Financial Management and Accountability Act 1997</w:t>
      </w:r>
      <w:r w:rsidRPr="00787808">
        <w:t>.</w:t>
      </w:r>
    </w:p>
    <w:p w:rsidR="00337EE8" w:rsidRPr="00787808" w:rsidRDefault="00337EE8">
      <w:pPr>
        <w:pStyle w:val="ItemHead"/>
      </w:pPr>
      <w:r w:rsidRPr="00787808">
        <w:lastRenderedPageBreak/>
        <w:t>37  Compensation for acquisition of property</w:t>
      </w:r>
    </w:p>
    <w:p w:rsidR="00337EE8" w:rsidRPr="00787808" w:rsidRDefault="00337EE8">
      <w:pPr>
        <w:pStyle w:val="Subitem"/>
      </w:pPr>
      <w:r w:rsidRPr="00787808">
        <w:t>(1)</w:t>
      </w:r>
      <w:r w:rsidRPr="00787808">
        <w:tab/>
        <w:t>If the operation of this Act would result in an acquisition of property from a person otherwise than on just terms, the Commonwealth is liable to pay a reasonable amount of compensation to the person.</w:t>
      </w:r>
    </w:p>
    <w:p w:rsidR="00337EE8" w:rsidRPr="00787808" w:rsidRDefault="00337EE8">
      <w:pPr>
        <w:pStyle w:val="Subitem"/>
      </w:pPr>
      <w:r w:rsidRPr="00787808">
        <w:t>(2)</w:t>
      </w:r>
      <w:r w:rsidRPr="00787808">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337EE8" w:rsidRPr="00787808" w:rsidRDefault="00337EE8">
      <w:pPr>
        <w:pStyle w:val="Subitem"/>
      </w:pPr>
      <w:r w:rsidRPr="00787808">
        <w:t>(3)</w:t>
      </w:r>
      <w:r w:rsidRPr="00787808">
        <w:tab/>
        <w:t>In this item:</w:t>
      </w:r>
    </w:p>
    <w:p w:rsidR="00337EE8" w:rsidRPr="00787808" w:rsidRDefault="00337EE8">
      <w:pPr>
        <w:pStyle w:val="Item"/>
      </w:pPr>
      <w:r w:rsidRPr="00787808">
        <w:rPr>
          <w:b/>
          <w:i/>
        </w:rPr>
        <w:t>acquisition of property</w:t>
      </w:r>
      <w:r w:rsidRPr="00787808">
        <w:t xml:space="preserve"> has the same meaning as in paragraph</w:t>
      </w:r>
      <w:r w:rsidR="00787808">
        <w:t> </w:t>
      </w:r>
      <w:r w:rsidRPr="00787808">
        <w:t>51(xxxi) of the Constitution.</w:t>
      </w:r>
    </w:p>
    <w:p w:rsidR="00337EE8" w:rsidRPr="00787808" w:rsidRDefault="00337EE8">
      <w:pPr>
        <w:pStyle w:val="Item"/>
      </w:pPr>
      <w:r w:rsidRPr="00787808">
        <w:rPr>
          <w:b/>
          <w:i/>
        </w:rPr>
        <w:t>just terms</w:t>
      </w:r>
      <w:r w:rsidRPr="00787808">
        <w:t xml:space="preserve"> has the same meaning as in paragraph</w:t>
      </w:r>
      <w:r w:rsidR="00787808">
        <w:t> </w:t>
      </w:r>
      <w:r w:rsidRPr="00787808">
        <w:t>51(xxxi) of the Constitution.</w:t>
      </w:r>
    </w:p>
    <w:p w:rsidR="00337EE8" w:rsidRPr="00787808" w:rsidRDefault="00337EE8">
      <w:pPr>
        <w:pStyle w:val="ItemHead"/>
      </w:pPr>
      <w:r w:rsidRPr="00787808">
        <w:t>38  Delegation by Minister</w:t>
      </w:r>
    </w:p>
    <w:p w:rsidR="00337EE8" w:rsidRPr="00787808" w:rsidRDefault="00337EE8">
      <w:pPr>
        <w:pStyle w:val="Subitem"/>
      </w:pPr>
      <w:r w:rsidRPr="00787808">
        <w:t>(1)</w:t>
      </w:r>
      <w:r w:rsidRPr="00787808">
        <w:tab/>
        <w:t>The Minister may delegate, in writing, all or any of his or her powers and functions under this Act to:</w:t>
      </w:r>
    </w:p>
    <w:p w:rsidR="00337EE8" w:rsidRPr="00787808" w:rsidRDefault="00337EE8">
      <w:pPr>
        <w:pStyle w:val="paragraph"/>
      </w:pPr>
      <w:r w:rsidRPr="00787808">
        <w:tab/>
        <w:t>(a)</w:t>
      </w:r>
      <w:r w:rsidRPr="00787808">
        <w:tab/>
        <w:t>the Secretary of the Department; or</w:t>
      </w:r>
    </w:p>
    <w:p w:rsidR="00337EE8" w:rsidRPr="00787808" w:rsidRDefault="00337EE8">
      <w:pPr>
        <w:pStyle w:val="paragraph"/>
      </w:pPr>
      <w:r w:rsidRPr="00787808">
        <w:tab/>
        <w:t>(b)</w:t>
      </w:r>
      <w:r w:rsidRPr="00787808">
        <w:tab/>
        <w:t>an SES employee, or acting SES employee, in the Department.</w:t>
      </w:r>
    </w:p>
    <w:p w:rsidR="00337EE8" w:rsidRPr="00787808" w:rsidRDefault="00337EE8">
      <w:pPr>
        <w:pStyle w:val="Subitem"/>
      </w:pPr>
      <w:r w:rsidRPr="00787808">
        <w:t>(2)</w:t>
      </w:r>
      <w:r w:rsidRPr="00787808">
        <w:tab/>
        <w:t>In exercising powers or functions under a delegation, the delegate must comply with any directions of the Minister.</w:t>
      </w:r>
    </w:p>
    <w:p w:rsidR="00337EE8" w:rsidRPr="00787808" w:rsidRDefault="00337EE8">
      <w:pPr>
        <w:pStyle w:val="ItemHead"/>
      </w:pPr>
      <w:r w:rsidRPr="00787808">
        <w:t>39  Regulations</w:t>
      </w:r>
    </w:p>
    <w:p w:rsidR="00337EE8" w:rsidRPr="00787808" w:rsidRDefault="00337EE8">
      <w:pPr>
        <w:pStyle w:val="Subitem"/>
      </w:pPr>
      <w:r w:rsidRPr="00787808">
        <w:t>(1)</w:t>
      </w:r>
      <w:r w:rsidRPr="00787808">
        <w:tab/>
        <w:t>The Governor</w:t>
      </w:r>
      <w:r w:rsidR="00787808">
        <w:noBreakHyphen/>
      </w:r>
      <w:r w:rsidRPr="00787808">
        <w:t>General may make regulations prescribing matters:</w:t>
      </w:r>
    </w:p>
    <w:p w:rsidR="00337EE8" w:rsidRPr="00787808" w:rsidRDefault="00337EE8">
      <w:pPr>
        <w:pStyle w:val="paragraph"/>
      </w:pPr>
      <w:r w:rsidRPr="00787808">
        <w:tab/>
        <w:t>(a)</w:t>
      </w:r>
      <w:r w:rsidRPr="00787808">
        <w:tab/>
        <w:t>required or permitted by this Act to be prescribed; or</w:t>
      </w:r>
    </w:p>
    <w:p w:rsidR="00337EE8" w:rsidRPr="00787808" w:rsidRDefault="00337EE8">
      <w:pPr>
        <w:pStyle w:val="paragraph"/>
      </w:pPr>
      <w:r w:rsidRPr="00787808">
        <w:tab/>
        <w:t>(b)</w:t>
      </w:r>
      <w:r w:rsidRPr="00787808">
        <w:tab/>
        <w:t>necessary or convenient to be prescribed for carrying out or giving effect to this Act.</w:t>
      </w:r>
    </w:p>
    <w:p w:rsidR="00337EE8" w:rsidRPr="00787808" w:rsidRDefault="00337EE8">
      <w:pPr>
        <w:pStyle w:val="Subitem"/>
      </w:pPr>
      <w:r w:rsidRPr="00787808">
        <w:t>(2)</w:t>
      </w:r>
      <w:r w:rsidRPr="00787808">
        <w:tab/>
        <w:t>In particular, regulations may be made prescribing matters of a transitional nature (including prescribing any saving or application provisions) relating to:</w:t>
      </w:r>
    </w:p>
    <w:p w:rsidR="00337EE8" w:rsidRPr="00787808" w:rsidRDefault="00337EE8">
      <w:pPr>
        <w:pStyle w:val="paragraph"/>
      </w:pPr>
      <w:r w:rsidRPr="00787808">
        <w:tab/>
        <w:t>(a)</w:t>
      </w:r>
      <w:r w:rsidRPr="00787808">
        <w:tab/>
        <w:t>the amendments or repeals made by this Act; or</w:t>
      </w:r>
    </w:p>
    <w:p w:rsidR="00337EE8" w:rsidRPr="00787808" w:rsidRDefault="00337EE8">
      <w:pPr>
        <w:pStyle w:val="paragraph"/>
      </w:pPr>
      <w:r w:rsidRPr="00787808">
        <w:lastRenderedPageBreak/>
        <w:tab/>
        <w:t>(b)</w:t>
      </w:r>
      <w:r w:rsidRPr="00787808">
        <w:tab/>
        <w:t xml:space="preserve">the enactment of this Act, the </w:t>
      </w:r>
      <w:r w:rsidRPr="00787808">
        <w:rPr>
          <w:i/>
        </w:rPr>
        <w:t>Screen Australia Act 2008</w:t>
      </w:r>
      <w:r w:rsidRPr="00787808">
        <w:t xml:space="preserve"> or the </w:t>
      </w:r>
      <w:r w:rsidR="00EB7BCC" w:rsidRPr="00787808">
        <w:rPr>
          <w:i/>
        </w:rPr>
        <w:t>National Film and Sound Archive of Australia</w:t>
      </w:r>
      <w:r w:rsidRPr="00787808">
        <w:rPr>
          <w:i/>
        </w:rPr>
        <w:t xml:space="preserve"> Act 2008</w:t>
      </w:r>
      <w:r w:rsidRPr="00787808">
        <w:t>; or</w:t>
      </w:r>
    </w:p>
    <w:p w:rsidR="00337EE8" w:rsidRPr="00787808" w:rsidRDefault="00337EE8">
      <w:pPr>
        <w:pStyle w:val="paragraph"/>
      </w:pPr>
      <w:r w:rsidRPr="00787808">
        <w:tab/>
        <w:t>(c)</w:t>
      </w:r>
      <w:r w:rsidRPr="00787808">
        <w:tab/>
        <w:t>the termination, at or after the transition time, of an appointment, engagement or employment of any of the following persons:</w:t>
      </w:r>
    </w:p>
    <w:p w:rsidR="00337EE8" w:rsidRPr="00787808" w:rsidRDefault="00337EE8">
      <w:pPr>
        <w:pStyle w:val="paragraphsub"/>
      </w:pPr>
      <w:r w:rsidRPr="00787808">
        <w:tab/>
        <w:t>(i)</w:t>
      </w:r>
      <w:r w:rsidRPr="00787808">
        <w:tab/>
        <w:t>a director of FAL or FFC;</w:t>
      </w:r>
    </w:p>
    <w:p w:rsidR="00337EE8" w:rsidRPr="00787808" w:rsidRDefault="00337EE8">
      <w:pPr>
        <w:pStyle w:val="paragraphsub"/>
      </w:pPr>
      <w:r w:rsidRPr="00787808">
        <w:tab/>
        <w:t>(ii)</w:t>
      </w:r>
      <w:r w:rsidRPr="00787808">
        <w:tab/>
        <w:t>the Managing Director/Chief Executive of FAL;</w:t>
      </w:r>
    </w:p>
    <w:p w:rsidR="00337EE8" w:rsidRPr="00787808" w:rsidRDefault="00337EE8">
      <w:pPr>
        <w:pStyle w:val="paragraphsub"/>
      </w:pPr>
      <w:r w:rsidRPr="00787808">
        <w:tab/>
        <w:t>(iii)</w:t>
      </w:r>
      <w:r w:rsidRPr="00787808">
        <w:tab/>
        <w:t>the Chief Executive of FFC; or</w:t>
      </w:r>
    </w:p>
    <w:p w:rsidR="00337EE8" w:rsidRPr="00787808" w:rsidRDefault="00337EE8">
      <w:pPr>
        <w:pStyle w:val="paragraph"/>
      </w:pPr>
      <w:r w:rsidRPr="00787808">
        <w:tab/>
        <w:t>(d)</w:t>
      </w:r>
      <w:r w:rsidRPr="00787808">
        <w:tab/>
        <w:t xml:space="preserve">the termination, at or after the transition time, of a contract, agreement or other instrument relating to the appointment, engagement or employment of a person referred to in </w:t>
      </w:r>
      <w:r w:rsidR="00787808">
        <w:t>paragraph (</w:t>
      </w:r>
      <w:r w:rsidRPr="00787808">
        <w:t>c); or</w:t>
      </w:r>
    </w:p>
    <w:p w:rsidR="00337EE8" w:rsidRPr="00787808" w:rsidRDefault="00337EE8">
      <w:pPr>
        <w:pStyle w:val="paragraph"/>
      </w:pPr>
      <w:r w:rsidRPr="00787808">
        <w:tab/>
        <w:t>(e)</w:t>
      </w:r>
      <w:r w:rsidRPr="00787808">
        <w:tab/>
        <w:t xml:space="preserve">the employment, at or after the transition time, by Screen Australia, </w:t>
      </w:r>
      <w:r w:rsidR="00E96CB0" w:rsidRPr="00787808">
        <w:t>NFSAA</w:t>
      </w:r>
      <w:r w:rsidRPr="00787808">
        <w:t xml:space="preserve"> or AFTRS of a person appointed, engaged or employed, immediately before the transition time, by AFC, FAL or FFC; or</w:t>
      </w:r>
    </w:p>
    <w:p w:rsidR="00DE6DA8" w:rsidRPr="00787808" w:rsidRDefault="00337EE8">
      <w:pPr>
        <w:pStyle w:val="paragraph"/>
      </w:pPr>
      <w:r w:rsidRPr="00787808">
        <w:tab/>
        <w:t>(f)</w:t>
      </w:r>
      <w:r w:rsidRPr="00787808">
        <w:tab/>
        <w:t>leave of employees or staff of AFC, FAL or FFC approved before the transition time.</w:t>
      </w:r>
    </w:p>
    <w:p w:rsidR="00787808" w:rsidRPr="00787808" w:rsidRDefault="00787808" w:rsidP="00787808">
      <w:pPr>
        <w:sectPr w:rsidR="00787808" w:rsidRPr="00787808" w:rsidSect="00830525">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252" w:left="2410" w:header="720" w:footer="3402" w:gutter="0"/>
          <w:pgNumType w:start="1"/>
          <w:cols w:space="708"/>
          <w:docGrid w:linePitch="360"/>
        </w:sectPr>
      </w:pPr>
    </w:p>
    <w:p w:rsidR="00D9070F" w:rsidRPr="00787808" w:rsidRDefault="00D9070F" w:rsidP="00D9070F">
      <w:pPr>
        <w:pStyle w:val="ENotesHeading1"/>
        <w:pageBreakBefore/>
        <w:outlineLvl w:val="9"/>
      </w:pPr>
      <w:bookmarkStart w:id="26" w:name="_Toc450732123"/>
      <w:r w:rsidRPr="00787808">
        <w:lastRenderedPageBreak/>
        <w:t>Endnotes</w:t>
      </w:r>
      <w:bookmarkEnd w:id="26"/>
    </w:p>
    <w:p w:rsidR="00D9070F" w:rsidRPr="00787808" w:rsidRDefault="00D9070F" w:rsidP="00D9070F">
      <w:pPr>
        <w:pStyle w:val="ENotesHeading2"/>
        <w:spacing w:line="240" w:lineRule="auto"/>
        <w:outlineLvl w:val="9"/>
      </w:pPr>
      <w:bookmarkStart w:id="27" w:name="_Toc450732124"/>
      <w:r w:rsidRPr="00787808">
        <w:t>Endnote 1—About the endnotes</w:t>
      </w:r>
      <w:bookmarkEnd w:id="27"/>
    </w:p>
    <w:p w:rsidR="00D9070F" w:rsidRPr="00787808" w:rsidRDefault="00D9070F" w:rsidP="00D9070F">
      <w:pPr>
        <w:spacing w:after="120"/>
      </w:pPr>
      <w:r w:rsidRPr="00787808">
        <w:t>The endnotes provide information about this compilation and the compiled law.</w:t>
      </w:r>
    </w:p>
    <w:p w:rsidR="00D9070F" w:rsidRPr="00787808" w:rsidRDefault="00D9070F" w:rsidP="00D9070F">
      <w:pPr>
        <w:spacing w:after="120"/>
      </w:pPr>
      <w:r w:rsidRPr="00787808">
        <w:t>The following endnotes are included in every compilation:</w:t>
      </w:r>
    </w:p>
    <w:p w:rsidR="00D9070F" w:rsidRPr="00787808" w:rsidRDefault="00D9070F" w:rsidP="00D9070F">
      <w:r w:rsidRPr="00787808">
        <w:t>Endnote 1—About the endnotes</w:t>
      </w:r>
    </w:p>
    <w:p w:rsidR="00D9070F" w:rsidRPr="00787808" w:rsidRDefault="00D9070F" w:rsidP="00D9070F">
      <w:r w:rsidRPr="00787808">
        <w:t>Endnote 2—Abbreviation key</w:t>
      </w:r>
    </w:p>
    <w:p w:rsidR="00D9070F" w:rsidRPr="00787808" w:rsidRDefault="00D9070F" w:rsidP="00D9070F">
      <w:r w:rsidRPr="00787808">
        <w:t>Endnote 3—Legislation history</w:t>
      </w:r>
    </w:p>
    <w:p w:rsidR="00D9070F" w:rsidRPr="00787808" w:rsidRDefault="00D9070F" w:rsidP="00D9070F">
      <w:pPr>
        <w:spacing w:after="120"/>
      </w:pPr>
      <w:r w:rsidRPr="00787808">
        <w:t>Endnote 4—Amendment history</w:t>
      </w:r>
    </w:p>
    <w:p w:rsidR="00D9070F" w:rsidRPr="00787808" w:rsidRDefault="00D9070F" w:rsidP="00D9070F">
      <w:r w:rsidRPr="00787808">
        <w:rPr>
          <w:b/>
        </w:rPr>
        <w:t>Abbreviation key—Endnote 2</w:t>
      </w:r>
    </w:p>
    <w:p w:rsidR="00D9070F" w:rsidRPr="00787808" w:rsidRDefault="00D9070F" w:rsidP="00D9070F">
      <w:pPr>
        <w:spacing w:after="120"/>
      </w:pPr>
      <w:r w:rsidRPr="00787808">
        <w:t>The abbreviation key sets out abbreviations that may be used in the endnotes.</w:t>
      </w:r>
    </w:p>
    <w:p w:rsidR="00D9070F" w:rsidRPr="00787808" w:rsidRDefault="00D9070F" w:rsidP="00D9070F">
      <w:pPr>
        <w:rPr>
          <w:b/>
        </w:rPr>
      </w:pPr>
      <w:r w:rsidRPr="00787808">
        <w:rPr>
          <w:b/>
        </w:rPr>
        <w:t>Legislation history and amendment history—Endnotes 3 and 4</w:t>
      </w:r>
    </w:p>
    <w:p w:rsidR="00D9070F" w:rsidRPr="00787808" w:rsidRDefault="00D9070F" w:rsidP="00D9070F">
      <w:pPr>
        <w:spacing w:after="120"/>
      </w:pPr>
      <w:r w:rsidRPr="00787808">
        <w:t>Amending laws are annotated in the legislation history and amendment history.</w:t>
      </w:r>
    </w:p>
    <w:p w:rsidR="00D9070F" w:rsidRPr="00787808" w:rsidRDefault="00D9070F" w:rsidP="00D9070F">
      <w:pPr>
        <w:spacing w:after="120"/>
      </w:pPr>
      <w:r w:rsidRPr="0078780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9070F" w:rsidRPr="00787808" w:rsidRDefault="00D9070F" w:rsidP="00D9070F">
      <w:pPr>
        <w:spacing w:after="120"/>
      </w:pPr>
      <w:r w:rsidRPr="0078780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9070F" w:rsidRPr="00787808" w:rsidRDefault="00D9070F" w:rsidP="00D9070F">
      <w:pPr>
        <w:keepNext/>
        <w:rPr>
          <w:b/>
        </w:rPr>
      </w:pPr>
      <w:r w:rsidRPr="00787808">
        <w:rPr>
          <w:b/>
        </w:rPr>
        <w:t>Editorial changes</w:t>
      </w:r>
    </w:p>
    <w:p w:rsidR="00D9070F" w:rsidRPr="00787808" w:rsidRDefault="00D9070F" w:rsidP="00D9070F">
      <w:pPr>
        <w:spacing w:after="120"/>
      </w:pPr>
      <w:r w:rsidRPr="00787808">
        <w:t xml:space="preserve">The </w:t>
      </w:r>
      <w:r w:rsidRPr="00787808">
        <w:rPr>
          <w:i/>
        </w:rPr>
        <w:t>Legislation Act 2003</w:t>
      </w:r>
      <w:r w:rsidRPr="0078780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9070F" w:rsidRPr="00787808" w:rsidRDefault="00D9070F" w:rsidP="00D9070F">
      <w:pPr>
        <w:spacing w:after="120"/>
      </w:pPr>
      <w:r w:rsidRPr="00787808">
        <w:t xml:space="preserve">If the compilation includes editorial changes, the endnotes include a brief outline of the changes in general terms. Full details of any changes can be obtained from the Office of Parliamentary Counsel. </w:t>
      </w:r>
    </w:p>
    <w:p w:rsidR="00D9070F" w:rsidRPr="00787808" w:rsidRDefault="00D9070F" w:rsidP="00D9070F">
      <w:pPr>
        <w:keepNext/>
      </w:pPr>
      <w:r w:rsidRPr="00787808">
        <w:rPr>
          <w:b/>
        </w:rPr>
        <w:lastRenderedPageBreak/>
        <w:t>Misdescribed amendments</w:t>
      </w:r>
    </w:p>
    <w:p w:rsidR="00D9070F" w:rsidRPr="00787808" w:rsidRDefault="00D9070F" w:rsidP="00D9070F">
      <w:pPr>
        <w:spacing w:after="120"/>
      </w:pPr>
      <w:r w:rsidRPr="0078780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9070F" w:rsidRPr="00787808" w:rsidRDefault="00D9070F" w:rsidP="00D9070F">
      <w:pPr>
        <w:spacing w:before="120"/>
      </w:pPr>
      <w:r w:rsidRPr="00787808">
        <w:t>If a misdescribed amendment cannot be given effect as intended, the abbreviation “(md not incorp)” is added to the details of the amendment included in the amendment history.</w:t>
      </w:r>
    </w:p>
    <w:p w:rsidR="00D9070F" w:rsidRPr="00787808" w:rsidRDefault="00D9070F" w:rsidP="00D9070F"/>
    <w:p w:rsidR="00D9070F" w:rsidRPr="00787808" w:rsidRDefault="00D9070F" w:rsidP="00D9070F">
      <w:pPr>
        <w:pStyle w:val="ENotesHeading2"/>
        <w:pageBreakBefore/>
        <w:outlineLvl w:val="9"/>
      </w:pPr>
      <w:bookmarkStart w:id="28" w:name="_Toc450732125"/>
      <w:r w:rsidRPr="00787808">
        <w:lastRenderedPageBreak/>
        <w:t>Endnote 2—Abbreviation key</w:t>
      </w:r>
      <w:bookmarkEnd w:id="28"/>
    </w:p>
    <w:p w:rsidR="00D9070F" w:rsidRPr="00787808" w:rsidRDefault="00D9070F" w:rsidP="00D9070F">
      <w:pPr>
        <w:pStyle w:val="Tabletext"/>
      </w:pPr>
    </w:p>
    <w:tbl>
      <w:tblPr>
        <w:tblW w:w="7939" w:type="dxa"/>
        <w:tblInd w:w="108" w:type="dxa"/>
        <w:tblLayout w:type="fixed"/>
        <w:tblLook w:val="0000" w:firstRow="0" w:lastRow="0" w:firstColumn="0" w:lastColumn="0" w:noHBand="0" w:noVBand="0"/>
      </w:tblPr>
      <w:tblGrid>
        <w:gridCol w:w="4253"/>
        <w:gridCol w:w="3686"/>
      </w:tblGrid>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ad = added or inserted</w:t>
            </w:r>
          </w:p>
        </w:tc>
        <w:tc>
          <w:tcPr>
            <w:tcW w:w="3686" w:type="dxa"/>
            <w:shd w:val="clear" w:color="auto" w:fill="auto"/>
          </w:tcPr>
          <w:p w:rsidR="00D9070F" w:rsidRPr="00787808" w:rsidRDefault="00D9070F" w:rsidP="00AD4454">
            <w:pPr>
              <w:spacing w:before="60"/>
              <w:ind w:left="34"/>
              <w:rPr>
                <w:sz w:val="20"/>
              </w:rPr>
            </w:pPr>
            <w:r w:rsidRPr="00787808">
              <w:rPr>
                <w:sz w:val="20"/>
              </w:rPr>
              <w:t>o = order(s)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am = amended</w:t>
            </w:r>
          </w:p>
        </w:tc>
        <w:tc>
          <w:tcPr>
            <w:tcW w:w="3686" w:type="dxa"/>
            <w:shd w:val="clear" w:color="auto" w:fill="auto"/>
          </w:tcPr>
          <w:p w:rsidR="00D9070F" w:rsidRPr="00787808" w:rsidRDefault="00D9070F" w:rsidP="00AD4454">
            <w:pPr>
              <w:spacing w:before="60"/>
              <w:ind w:left="34"/>
              <w:rPr>
                <w:sz w:val="20"/>
              </w:rPr>
            </w:pPr>
            <w:r w:rsidRPr="00787808">
              <w:rPr>
                <w:sz w:val="20"/>
              </w:rPr>
              <w:t>Ord = Ordinance</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amdt = amendment</w:t>
            </w:r>
          </w:p>
        </w:tc>
        <w:tc>
          <w:tcPr>
            <w:tcW w:w="3686" w:type="dxa"/>
            <w:shd w:val="clear" w:color="auto" w:fill="auto"/>
          </w:tcPr>
          <w:p w:rsidR="00D9070F" w:rsidRPr="00787808" w:rsidRDefault="00D9070F" w:rsidP="00AD4454">
            <w:pPr>
              <w:spacing w:before="60"/>
              <w:ind w:left="34"/>
              <w:rPr>
                <w:sz w:val="20"/>
              </w:rPr>
            </w:pPr>
            <w:r w:rsidRPr="00787808">
              <w:rPr>
                <w:sz w:val="20"/>
              </w:rPr>
              <w:t>orig = original</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c = clause(s)</w:t>
            </w:r>
          </w:p>
        </w:tc>
        <w:tc>
          <w:tcPr>
            <w:tcW w:w="3686" w:type="dxa"/>
            <w:shd w:val="clear" w:color="auto" w:fill="auto"/>
          </w:tcPr>
          <w:p w:rsidR="00D9070F" w:rsidRPr="00787808" w:rsidRDefault="00D9070F" w:rsidP="00AD4454">
            <w:pPr>
              <w:spacing w:before="60"/>
              <w:ind w:left="34"/>
              <w:rPr>
                <w:sz w:val="20"/>
              </w:rPr>
            </w:pPr>
            <w:r w:rsidRPr="00787808">
              <w:rPr>
                <w:sz w:val="20"/>
              </w:rPr>
              <w:t>par = paragraph(s)/subparagraph(s)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C[x] = Compilation No. x</w:t>
            </w:r>
          </w:p>
        </w:tc>
        <w:tc>
          <w:tcPr>
            <w:tcW w:w="3686" w:type="dxa"/>
            <w:shd w:val="clear" w:color="auto" w:fill="auto"/>
          </w:tcPr>
          <w:p w:rsidR="00D9070F" w:rsidRPr="00787808" w:rsidRDefault="00D9070F" w:rsidP="00AD4454">
            <w:pPr>
              <w:ind w:left="34"/>
              <w:rPr>
                <w:sz w:val="20"/>
              </w:rPr>
            </w:pPr>
            <w:r w:rsidRPr="00787808">
              <w:rPr>
                <w:sz w:val="20"/>
              </w:rPr>
              <w:t xml:space="preserve">    /sub</w:t>
            </w:r>
            <w:r w:rsidR="00787808">
              <w:rPr>
                <w:sz w:val="20"/>
              </w:rPr>
              <w:noBreakHyphen/>
            </w:r>
            <w:r w:rsidRPr="00787808">
              <w:rPr>
                <w:sz w:val="20"/>
              </w:rPr>
              <w:t>subparagraph(s)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Ch = Chapter(s)</w:t>
            </w:r>
          </w:p>
        </w:tc>
        <w:tc>
          <w:tcPr>
            <w:tcW w:w="3686" w:type="dxa"/>
            <w:shd w:val="clear" w:color="auto" w:fill="auto"/>
          </w:tcPr>
          <w:p w:rsidR="00D9070F" w:rsidRPr="00787808" w:rsidRDefault="00D9070F" w:rsidP="00AD4454">
            <w:pPr>
              <w:spacing w:before="60"/>
              <w:ind w:left="34"/>
              <w:rPr>
                <w:sz w:val="20"/>
              </w:rPr>
            </w:pPr>
            <w:r w:rsidRPr="00787808">
              <w:rPr>
                <w:sz w:val="20"/>
              </w:rPr>
              <w:t>pres = present</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def = definition(s)</w:t>
            </w:r>
          </w:p>
        </w:tc>
        <w:tc>
          <w:tcPr>
            <w:tcW w:w="3686" w:type="dxa"/>
            <w:shd w:val="clear" w:color="auto" w:fill="auto"/>
          </w:tcPr>
          <w:p w:rsidR="00D9070F" w:rsidRPr="00787808" w:rsidRDefault="00D9070F" w:rsidP="00AD4454">
            <w:pPr>
              <w:spacing w:before="60"/>
              <w:ind w:left="34"/>
              <w:rPr>
                <w:sz w:val="20"/>
              </w:rPr>
            </w:pPr>
            <w:r w:rsidRPr="00787808">
              <w:rPr>
                <w:sz w:val="20"/>
              </w:rPr>
              <w:t>prev = previous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Dict = Dictionary</w:t>
            </w:r>
          </w:p>
        </w:tc>
        <w:tc>
          <w:tcPr>
            <w:tcW w:w="3686" w:type="dxa"/>
            <w:shd w:val="clear" w:color="auto" w:fill="auto"/>
          </w:tcPr>
          <w:p w:rsidR="00D9070F" w:rsidRPr="00787808" w:rsidRDefault="00D9070F" w:rsidP="00AD4454">
            <w:pPr>
              <w:spacing w:before="60"/>
              <w:ind w:left="34"/>
              <w:rPr>
                <w:sz w:val="20"/>
              </w:rPr>
            </w:pPr>
            <w:r w:rsidRPr="00787808">
              <w:rPr>
                <w:sz w:val="20"/>
              </w:rPr>
              <w:t>(prev…) = previously</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disallowed = disallowed by Parliament</w:t>
            </w:r>
          </w:p>
        </w:tc>
        <w:tc>
          <w:tcPr>
            <w:tcW w:w="3686" w:type="dxa"/>
            <w:shd w:val="clear" w:color="auto" w:fill="auto"/>
          </w:tcPr>
          <w:p w:rsidR="00D9070F" w:rsidRPr="00787808" w:rsidRDefault="00D9070F" w:rsidP="00AD4454">
            <w:pPr>
              <w:spacing w:before="60"/>
              <w:ind w:left="34"/>
              <w:rPr>
                <w:sz w:val="20"/>
              </w:rPr>
            </w:pPr>
            <w:r w:rsidRPr="00787808">
              <w:rPr>
                <w:sz w:val="20"/>
              </w:rPr>
              <w:t>Pt = Part(s)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Div = Division(s)</w:t>
            </w:r>
          </w:p>
        </w:tc>
        <w:tc>
          <w:tcPr>
            <w:tcW w:w="3686" w:type="dxa"/>
            <w:shd w:val="clear" w:color="auto" w:fill="auto"/>
          </w:tcPr>
          <w:p w:rsidR="00D9070F" w:rsidRPr="00787808" w:rsidRDefault="00D9070F" w:rsidP="00AD4454">
            <w:pPr>
              <w:spacing w:before="60"/>
              <w:ind w:left="34"/>
              <w:rPr>
                <w:sz w:val="20"/>
              </w:rPr>
            </w:pPr>
            <w:r w:rsidRPr="00787808">
              <w:rPr>
                <w:sz w:val="20"/>
              </w:rPr>
              <w:t>r = regulation(s)/rule(s)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ed = editorial change</w:t>
            </w:r>
          </w:p>
        </w:tc>
        <w:tc>
          <w:tcPr>
            <w:tcW w:w="3686" w:type="dxa"/>
            <w:shd w:val="clear" w:color="auto" w:fill="auto"/>
          </w:tcPr>
          <w:p w:rsidR="00D9070F" w:rsidRPr="00787808" w:rsidRDefault="00D9070F" w:rsidP="00AD4454">
            <w:pPr>
              <w:spacing w:before="60"/>
              <w:ind w:left="34"/>
              <w:rPr>
                <w:sz w:val="20"/>
              </w:rPr>
            </w:pPr>
            <w:r w:rsidRPr="00787808">
              <w:rPr>
                <w:sz w:val="20"/>
              </w:rPr>
              <w:t>reloc = relocated</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exp = expires/expired or ceases/ceased to have</w:t>
            </w:r>
          </w:p>
        </w:tc>
        <w:tc>
          <w:tcPr>
            <w:tcW w:w="3686" w:type="dxa"/>
            <w:shd w:val="clear" w:color="auto" w:fill="auto"/>
          </w:tcPr>
          <w:p w:rsidR="00D9070F" w:rsidRPr="00787808" w:rsidRDefault="00D9070F" w:rsidP="00AD4454">
            <w:pPr>
              <w:spacing w:before="60"/>
              <w:ind w:left="34"/>
              <w:rPr>
                <w:sz w:val="20"/>
              </w:rPr>
            </w:pPr>
            <w:r w:rsidRPr="00787808">
              <w:rPr>
                <w:sz w:val="20"/>
              </w:rPr>
              <w:t>renum = renumbered</w:t>
            </w:r>
          </w:p>
        </w:tc>
      </w:tr>
      <w:tr w:rsidR="00D9070F" w:rsidRPr="00787808" w:rsidTr="00AD4454">
        <w:tc>
          <w:tcPr>
            <w:tcW w:w="4253" w:type="dxa"/>
            <w:shd w:val="clear" w:color="auto" w:fill="auto"/>
          </w:tcPr>
          <w:p w:rsidR="00D9070F" w:rsidRPr="00787808" w:rsidRDefault="00D9070F" w:rsidP="00AD4454">
            <w:pPr>
              <w:ind w:left="34"/>
              <w:rPr>
                <w:sz w:val="20"/>
              </w:rPr>
            </w:pPr>
            <w:r w:rsidRPr="00787808">
              <w:rPr>
                <w:sz w:val="20"/>
              </w:rPr>
              <w:t xml:space="preserve">    effect</w:t>
            </w:r>
          </w:p>
        </w:tc>
        <w:tc>
          <w:tcPr>
            <w:tcW w:w="3686" w:type="dxa"/>
            <w:shd w:val="clear" w:color="auto" w:fill="auto"/>
          </w:tcPr>
          <w:p w:rsidR="00D9070F" w:rsidRPr="00787808" w:rsidRDefault="00D9070F" w:rsidP="00AD4454">
            <w:pPr>
              <w:spacing w:before="60"/>
              <w:ind w:left="34"/>
              <w:rPr>
                <w:sz w:val="20"/>
              </w:rPr>
            </w:pPr>
            <w:r w:rsidRPr="00787808">
              <w:rPr>
                <w:sz w:val="20"/>
              </w:rPr>
              <w:t>rep = repealed</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F = Federal Register of Legislation</w:t>
            </w:r>
          </w:p>
        </w:tc>
        <w:tc>
          <w:tcPr>
            <w:tcW w:w="3686" w:type="dxa"/>
            <w:shd w:val="clear" w:color="auto" w:fill="auto"/>
          </w:tcPr>
          <w:p w:rsidR="00D9070F" w:rsidRPr="00787808" w:rsidRDefault="00D9070F" w:rsidP="00AD4454">
            <w:pPr>
              <w:spacing w:before="60"/>
              <w:ind w:left="34"/>
              <w:rPr>
                <w:sz w:val="20"/>
              </w:rPr>
            </w:pPr>
            <w:r w:rsidRPr="00787808">
              <w:rPr>
                <w:sz w:val="20"/>
              </w:rPr>
              <w:t>rs = repealed and substituted</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gaz = gazette</w:t>
            </w:r>
          </w:p>
        </w:tc>
        <w:tc>
          <w:tcPr>
            <w:tcW w:w="3686" w:type="dxa"/>
            <w:shd w:val="clear" w:color="auto" w:fill="auto"/>
          </w:tcPr>
          <w:p w:rsidR="00D9070F" w:rsidRPr="00787808" w:rsidRDefault="00D9070F" w:rsidP="00AD4454">
            <w:pPr>
              <w:spacing w:before="60"/>
              <w:ind w:left="34"/>
              <w:rPr>
                <w:sz w:val="20"/>
              </w:rPr>
            </w:pPr>
            <w:r w:rsidRPr="00787808">
              <w:rPr>
                <w:sz w:val="20"/>
              </w:rPr>
              <w:t>s = section(s)/subsection(s)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 xml:space="preserve">LA = </w:t>
            </w:r>
            <w:r w:rsidRPr="00787808">
              <w:rPr>
                <w:i/>
                <w:sz w:val="20"/>
              </w:rPr>
              <w:t>Legislation Act 2003</w:t>
            </w:r>
          </w:p>
        </w:tc>
        <w:tc>
          <w:tcPr>
            <w:tcW w:w="3686" w:type="dxa"/>
            <w:shd w:val="clear" w:color="auto" w:fill="auto"/>
          </w:tcPr>
          <w:p w:rsidR="00D9070F" w:rsidRPr="00787808" w:rsidRDefault="00D9070F" w:rsidP="00AD4454">
            <w:pPr>
              <w:spacing w:before="60"/>
              <w:ind w:left="34"/>
              <w:rPr>
                <w:sz w:val="20"/>
              </w:rPr>
            </w:pPr>
            <w:r w:rsidRPr="00787808">
              <w:rPr>
                <w:sz w:val="20"/>
              </w:rPr>
              <w:t>Sch = Schedule(s)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 xml:space="preserve">LIA = </w:t>
            </w:r>
            <w:r w:rsidRPr="00787808">
              <w:rPr>
                <w:i/>
                <w:sz w:val="20"/>
              </w:rPr>
              <w:t>Legislative Instruments Act 2003</w:t>
            </w:r>
          </w:p>
        </w:tc>
        <w:tc>
          <w:tcPr>
            <w:tcW w:w="3686" w:type="dxa"/>
            <w:shd w:val="clear" w:color="auto" w:fill="auto"/>
          </w:tcPr>
          <w:p w:rsidR="00D9070F" w:rsidRPr="00787808" w:rsidRDefault="00D9070F" w:rsidP="00AD4454">
            <w:pPr>
              <w:spacing w:before="60"/>
              <w:ind w:left="34"/>
              <w:rPr>
                <w:sz w:val="20"/>
              </w:rPr>
            </w:pPr>
            <w:r w:rsidRPr="00787808">
              <w:rPr>
                <w:sz w:val="20"/>
              </w:rPr>
              <w:t>Sdiv = Subdivision(s)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(md) = misdescribed amendment can be given</w:t>
            </w:r>
          </w:p>
        </w:tc>
        <w:tc>
          <w:tcPr>
            <w:tcW w:w="3686" w:type="dxa"/>
            <w:shd w:val="clear" w:color="auto" w:fill="auto"/>
          </w:tcPr>
          <w:p w:rsidR="00D9070F" w:rsidRPr="00787808" w:rsidRDefault="00D9070F" w:rsidP="00AD4454">
            <w:pPr>
              <w:spacing w:before="60"/>
              <w:ind w:left="34"/>
              <w:rPr>
                <w:sz w:val="20"/>
              </w:rPr>
            </w:pPr>
            <w:r w:rsidRPr="00787808">
              <w:rPr>
                <w:sz w:val="20"/>
              </w:rPr>
              <w:t>SLI = Select Legislative Instrument</w:t>
            </w:r>
          </w:p>
        </w:tc>
      </w:tr>
      <w:tr w:rsidR="00D9070F" w:rsidRPr="00787808" w:rsidTr="00AD4454">
        <w:tc>
          <w:tcPr>
            <w:tcW w:w="4253" w:type="dxa"/>
            <w:shd w:val="clear" w:color="auto" w:fill="auto"/>
          </w:tcPr>
          <w:p w:rsidR="00D9070F" w:rsidRPr="00787808" w:rsidRDefault="00D9070F" w:rsidP="00AD4454">
            <w:pPr>
              <w:ind w:left="34"/>
              <w:rPr>
                <w:sz w:val="20"/>
              </w:rPr>
            </w:pPr>
            <w:r w:rsidRPr="00787808">
              <w:rPr>
                <w:sz w:val="20"/>
              </w:rPr>
              <w:t xml:space="preserve">    effect</w:t>
            </w:r>
          </w:p>
        </w:tc>
        <w:tc>
          <w:tcPr>
            <w:tcW w:w="3686" w:type="dxa"/>
            <w:shd w:val="clear" w:color="auto" w:fill="auto"/>
          </w:tcPr>
          <w:p w:rsidR="00D9070F" w:rsidRPr="00787808" w:rsidRDefault="00D9070F" w:rsidP="00AD4454">
            <w:pPr>
              <w:spacing w:before="60"/>
              <w:ind w:left="34"/>
              <w:rPr>
                <w:sz w:val="20"/>
              </w:rPr>
            </w:pPr>
            <w:r w:rsidRPr="00787808">
              <w:rPr>
                <w:sz w:val="20"/>
              </w:rPr>
              <w:t>SR = Statutory Rules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(md not incorp) = misdescribed amendment</w:t>
            </w:r>
          </w:p>
        </w:tc>
        <w:tc>
          <w:tcPr>
            <w:tcW w:w="3686" w:type="dxa"/>
            <w:shd w:val="clear" w:color="auto" w:fill="auto"/>
          </w:tcPr>
          <w:p w:rsidR="00D9070F" w:rsidRPr="00787808" w:rsidRDefault="00D9070F" w:rsidP="00AD4454">
            <w:pPr>
              <w:spacing w:before="60"/>
              <w:ind w:left="34"/>
              <w:rPr>
                <w:sz w:val="20"/>
              </w:rPr>
            </w:pPr>
            <w:r w:rsidRPr="00787808">
              <w:rPr>
                <w:sz w:val="20"/>
              </w:rPr>
              <w:t>Sub</w:t>
            </w:r>
            <w:r w:rsidR="00787808">
              <w:rPr>
                <w:sz w:val="20"/>
              </w:rPr>
              <w:noBreakHyphen/>
            </w:r>
            <w:r w:rsidRPr="00787808">
              <w:rPr>
                <w:sz w:val="20"/>
              </w:rPr>
              <w:t>Ch = Sub</w:t>
            </w:r>
            <w:r w:rsidR="00787808">
              <w:rPr>
                <w:sz w:val="20"/>
              </w:rPr>
              <w:noBreakHyphen/>
            </w:r>
            <w:r w:rsidRPr="00787808">
              <w:rPr>
                <w:sz w:val="20"/>
              </w:rPr>
              <w:t>Chapter(s)</w:t>
            </w:r>
          </w:p>
        </w:tc>
      </w:tr>
      <w:tr w:rsidR="00D9070F" w:rsidRPr="00787808" w:rsidTr="00AD4454">
        <w:tc>
          <w:tcPr>
            <w:tcW w:w="4253" w:type="dxa"/>
            <w:shd w:val="clear" w:color="auto" w:fill="auto"/>
          </w:tcPr>
          <w:p w:rsidR="00D9070F" w:rsidRPr="00787808" w:rsidRDefault="00D9070F" w:rsidP="00AD4454">
            <w:pPr>
              <w:ind w:left="34"/>
              <w:rPr>
                <w:sz w:val="20"/>
              </w:rPr>
            </w:pPr>
            <w:r w:rsidRPr="00787808">
              <w:rPr>
                <w:sz w:val="20"/>
              </w:rPr>
              <w:t xml:space="preserve">    cannot be given effect</w:t>
            </w:r>
          </w:p>
        </w:tc>
        <w:tc>
          <w:tcPr>
            <w:tcW w:w="3686" w:type="dxa"/>
            <w:shd w:val="clear" w:color="auto" w:fill="auto"/>
          </w:tcPr>
          <w:p w:rsidR="00D9070F" w:rsidRPr="00787808" w:rsidRDefault="00D9070F" w:rsidP="00AD4454">
            <w:pPr>
              <w:spacing w:before="60"/>
              <w:ind w:left="34"/>
              <w:rPr>
                <w:sz w:val="20"/>
              </w:rPr>
            </w:pPr>
            <w:r w:rsidRPr="00787808">
              <w:rPr>
                <w:sz w:val="20"/>
              </w:rPr>
              <w:t>SubPt = Subpart(s)</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mod = modified/modification</w:t>
            </w:r>
          </w:p>
        </w:tc>
        <w:tc>
          <w:tcPr>
            <w:tcW w:w="3686" w:type="dxa"/>
            <w:shd w:val="clear" w:color="auto" w:fill="auto"/>
          </w:tcPr>
          <w:p w:rsidR="00D9070F" w:rsidRPr="00787808" w:rsidRDefault="00D9070F" w:rsidP="00AD4454">
            <w:pPr>
              <w:spacing w:before="60"/>
              <w:ind w:left="34"/>
              <w:rPr>
                <w:sz w:val="20"/>
              </w:rPr>
            </w:pPr>
            <w:r w:rsidRPr="00787808">
              <w:rPr>
                <w:sz w:val="20"/>
                <w:u w:val="single"/>
              </w:rPr>
              <w:t>underlining</w:t>
            </w:r>
            <w:r w:rsidRPr="00787808">
              <w:rPr>
                <w:sz w:val="20"/>
              </w:rPr>
              <w:t xml:space="preserve"> = whole or part not</w:t>
            </w:r>
          </w:p>
        </w:tc>
      </w:tr>
      <w:tr w:rsidR="00D9070F" w:rsidRPr="00787808" w:rsidTr="00AD4454">
        <w:tc>
          <w:tcPr>
            <w:tcW w:w="4253" w:type="dxa"/>
            <w:shd w:val="clear" w:color="auto" w:fill="auto"/>
          </w:tcPr>
          <w:p w:rsidR="00D9070F" w:rsidRPr="00787808" w:rsidRDefault="00D9070F" w:rsidP="00AD4454">
            <w:pPr>
              <w:spacing w:before="60"/>
              <w:ind w:left="34"/>
              <w:rPr>
                <w:sz w:val="20"/>
              </w:rPr>
            </w:pPr>
            <w:r w:rsidRPr="00787808">
              <w:rPr>
                <w:sz w:val="20"/>
              </w:rPr>
              <w:t>No. = Number(s)</w:t>
            </w:r>
          </w:p>
        </w:tc>
        <w:tc>
          <w:tcPr>
            <w:tcW w:w="3686" w:type="dxa"/>
            <w:shd w:val="clear" w:color="auto" w:fill="auto"/>
          </w:tcPr>
          <w:p w:rsidR="00D9070F" w:rsidRPr="00787808" w:rsidRDefault="00D9070F" w:rsidP="00AD4454">
            <w:pPr>
              <w:ind w:left="34"/>
              <w:rPr>
                <w:sz w:val="20"/>
              </w:rPr>
            </w:pPr>
            <w:r w:rsidRPr="00787808">
              <w:rPr>
                <w:sz w:val="20"/>
              </w:rPr>
              <w:t xml:space="preserve">    commenced or to be commenced</w:t>
            </w:r>
          </w:p>
        </w:tc>
      </w:tr>
    </w:tbl>
    <w:p w:rsidR="00D9070F" w:rsidRPr="00787808" w:rsidRDefault="00D9070F" w:rsidP="00D9070F">
      <w:pPr>
        <w:pStyle w:val="Tabletext"/>
      </w:pPr>
    </w:p>
    <w:p w:rsidR="005F5AF7" w:rsidRPr="00787808" w:rsidRDefault="005F5AF7" w:rsidP="00787808">
      <w:pPr>
        <w:pStyle w:val="ENotesHeading2"/>
        <w:pageBreakBefore/>
        <w:outlineLvl w:val="9"/>
      </w:pPr>
      <w:bookmarkStart w:id="29" w:name="_Toc450732126"/>
      <w:r w:rsidRPr="00787808">
        <w:lastRenderedPageBreak/>
        <w:t>Endnote 3—Legislation history</w:t>
      </w:r>
      <w:bookmarkEnd w:id="29"/>
    </w:p>
    <w:p w:rsidR="005F5AF7" w:rsidRPr="00787808" w:rsidRDefault="005F5AF7" w:rsidP="005F5AF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F5AF7" w:rsidRPr="00787808" w:rsidTr="005F5AF7">
        <w:trPr>
          <w:cantSplit/>
          <w:tblHeader/>
        </w:trPr>
        <w:tc>
          <w:tcPr>
            <w:tcW w:w="1838" w:type="dxa"/>
            <w:tcBorders>
              <w:top w:val="single" w:sz="12" w:space="0" w:color="auto"/>
              <w:bottom w:val="single" w:sz="12" w:space="0" w:color="auto"/>
            </w:tcBorders>
            <w:shd w:val="clear" w:color="auto" w:fill="auto"/>
          </w:tcPr>
          <w:p w:rsidR="005F5AF7" w:rsidRPr="00787808" w:rsidRDefault="005F5AF7" w:rsidP="005F5AF7">
            <w:pPr>
              <w:pStyle w:val="ENoteTableHeading"/>
            </w:pPr>
            <w:r w:rsidRPr="00787808">
              <w:t>Act</w:t>
            </w:r>
          </w:p>
        </w:tc>
        <w:tc>
          <w:tcPr>
            <w:tcW w:w="992" w:type="dxa"/>
            <w:tcBorders>
              <w:top w:val="single" w:sz="12" w:space="0" w:color="auto"/>
              <w:bottom w:val="single" w:sz="12" w:space="0" w:color="auto"/>
            </w:tcBorders>
            <w:shd w:val="clear" w:color="auto" w:fill="auto"/>
          </w:tcPr>
          <w:p w:rsidR="005F5AF7" w:rsidRPr="00787808" w:rsidRDefault="005F5AF7" w:rsidP="005F5AF7">
            <w:pPr>
              <w:pStyle w:val="ENoteTableHeading"/>
            </w:pPr>
            <w:r w:rsidRPr="00787808">
              <w:t>Number and year</w:t>
            </w:r>
          </w:p>
        </w:tc>
        <w:tc>
          <w:tcPr>
            <w:tcW w:w="993" w:type="dxa"/>
            <w:tcBorders>
              <w:top w:val="single" w:sz="12" w:space="0" w:color="auto"/>
              <w:bottom w:val="single" w:sz="12" w:space="0" w:color="auto"/>
            </w:tcBorders>
            <w:shd w:val="clear" w:color="auto" w:fill="auto"/>
          </w:tcPr>
          <w:p w:rsidR="005F5AF7" w:rsidRPr="00787808" w:rsidRDefault="005F5AF7" w:rsidP="005F5AF7">
            <w:pPr>
              <w:pStyle w:val="ENoteTableHeading"/>
            </w:pPr>
            <w:r w:rsidRPr="00787808">
              <w:t>Assent</w:t>
            </w:r>
          </w:p>
        </w:tc>
        <w:tc>
          <w:tcPr>
            <w:tcW w:w="1845" w:type="dxa"/>
            <w:tcBorders>
              <w:top w:val="single" w:sz="12" w:space="0" w:color="auto"/>
              <w:bottom w:val="single" w:sz="12" w:space="0" w:color="auto"/>
            </w:tcBorders>
            <w:shd w:val="clear" w:color="auto" w:fill="auto"/>
          </w:tcPr>
          <w:p w:rsidR="005F5AF7" w:rsidRPr="00787808" w:rsidRDefault="005F5AF7" w:rsidP="005F5AF7">
            <w:pPr>
              <w:pStyle w:val="ENoteTableHeading"/>
            </w:pPr>
            <w:r w:rsidRPr="00787808">
              <w:t>Commencement</w:t>
            </w:r>
          </w:p>
        </w:tc>
        <w:tc>
          <w:tcPr>
            <w:tcW w:w="1417" w:type="dxa"/>
            <w:tcBorders>
              <w:top w:val="single" w:sz="12" w:space="0" w:color="auto"/>
              <w:bottom w:val="single" w:sz="12" w:space="0" w:color="auto"/>
            </w:tcBorders>
            <w:shd w:val="clear" w:color="auto" w:fill="auto"/>
          </w:tcPr>
          <w:p w:rsidR="005F5AF7" w:rsidRPr="00787808" w:rsidRDefault="005F5AF7" w:rsidP="005F5AF7">
            <w:pPr>
              <w:pStyle w:val="ENoteTableHeading"/>
            </w:pPr>
            <w:r w:rsidRPr="00787808">
              <w:t>Application, saving and transitional provisions</w:t>
            </w:r>
          </w:p>
        </w:tc>
      </w:tr>
      <w:tr w:rsidR="005F5AF7" w:rsidRPr="00787808" w:rsidTr="005F5AF7">
        <w:trPr>
          <w:cantSplit/>
        </w:trPr>
        <w:tc>
          <w:tcPr>
            <w:tcW w:w="1838" w:type="dxa"/>
            <w:tcBorders>
              <w:top w:val="single" w:sz="12" w:space="0" w:color="auto"/>
              <w:bottom w:val="single" w:sz="4" w:space="0" w:color="auto"/>
            </w:tcBorders>
            <w:shd w:val="clear" w:color="auto" w:fill="auto"/>
          </w:tcPr>
          <w:p w:rsidR="005F5AF7" w:rsidRPr="00787808" w:rsidRDefault="005F5AF7" w:rsidP="005F5AF7">
            <w:pPr>
              <w:pStyle w:val="ENoteTableText"/>
            </w:pPr>
            <w:r w:rsidRPr="00787808">
              <w:t>Screen Australia and the National Film and Sound Archive (Consequential and Transitional Provisions) Act 2008</w:t>
            </w:r>
          </w:p>
        </w:tc>
        <w:tc>
          <w:tcPr>
            <w:tcW w:w="992" w:type="dxa"/>
            <w:tcBorders>
              <w:top w:val="single" w:sz="12" w:space="0" w:color="auto"/>
              <w:bottom w:val="single" w:sz="4" w:space="0" w:color="auto"/>
            </w:tcBorders>
            <w:shd w:val="clear" w:color="auto" w:fill="auto"/>
          </w:tcPr>
          <w:p w:rsidR="005F5AF7" w:rsidRPr="00787808" w:rsidRDefault="005F5AF7" w:rsidP="005F5AF7">
            <w:pPr>
              <w:pStyle w:val="ENoteTableText"/>
            </w:pPr>
            <w:r w:rsidRPr="00787808">
              <w:t>13, 2008</w:t>
            </w:r>
          </w:p>
        </w:tc>
        <w:tc>
          <w:tcPr>
            <w:tcW w:w="993" w:type="dxa"/>
            <w:tcBorders>
              <w:top w:val="single" w:sz="12" w:space="0" w:color="auto"/>
              <w:bottom w:val="single" w:sz="4" w:space="0" w:color="auto"/>
            </w:tcBorders>
            <w:shd w:val="clear" w:color="auto" w:fill="auto"/>
          </w:tcPr>
          <w:p w:rsidR="005F5AF7" w:rsidRPr="00787808" w:rsidRDefault="005F5AF7" w:rsidP="005F5AF7">
            <w:pPr>
              <w:pStyle w:val="ENoteTableText"/>
            </w:pPr>
            <w:r w:rsidRPr="00787808">
              <w:t>20 Mar 2008</w:t>
            </w:r>
          </w:p>
        </w:tc>
        <w:tc>
          <w:tcPr>
            <w:tcW w:w="1845" w:type="dxa"/>
            <w:tcBorders>
              <w:top w:val="single" w:sz="12" w:space="0" w:color="auto"/>
              <w:bottom w:val="single" w:sz="4" w:space="0" w:color="auto"/>
            </w:tcBorders>
            <w:shd w:val="clear" w:color="auto" w:fill="auto"/>
          </w:tcPr>
          <w:p w:rsidR="005F5AF7" w:rsidRPr="00787808" w:rsidRDefault="005F5AF7" w:rsidP="006E4C18">
            <w:pPr>
              <w:pStyle w:val="ENoteTableText"/>
            </w:pPr>
            <w:r w:rsidRPr="00787808">
              <w:t>Sch 1: 1</w:t>
            </w:r>
            <w:r w:rsidR="00787808">
              <w:t> </w:t>
            </w:r>
            <w:r w:rsidRPr="00787808">
              <w:t>July 2008 (s</w:t>
            </w:r>
            <w:r w:rsidR="006E4C18" w:rsidRPr="00787808">
              <w:t> </w:t>
            </w:r>
            <w:r w:rsidRPr="00787808">
              <w:t>2(1)</w:t>
            </w:r>
            <w:r w:rsidR="006E4C18" w:rsidRPr="00787808">
              <w:t xml:space="preserve"> item</w:t>
            </w:r>
            <w:r w:rsidR="00787808">
              <w:t> </w:t>
            </w:r>
            <w:r w:rsidR="006E4C18" w:rsidRPr="00787808">
              <w:t>2</w:t>
            </w:r>
            <w:r w:rsidRPr="00787808">
              <w:t>)</w:t>
            </w:r>
            <w:r w:rsidRPr="00787808">
              <w:br/>
              <w:t xml:space="preserve">Remainder: </w:t>
            </w:r>
            <w:r w:rsidR="006E4C18" w:rsidRPr="00787808">
              <w:t>20 Mar 2008 (s 2(1) items</w:t>
            </w:r>
            <w:r w:rsidR="00787808">
              <w:t> </w:t>
            </w:r>
            <w:r w:rsidR="006E4C18" w:rsidRPr="00787808">
              <w:t>1, 3)</w:t>
            </w:r>
          </w:p>
        </w:tc>
        <w:tc>
          <w:tcPr>
            <w:tcW w:w="1417" w:type="dxa"/>
            <w:tcBorders>
              <w:top w:val="single" w:sz="12" w:space="0" w:color="auto"/>
              <w:bottom w:val="single" w:sz="4" w:space="0" w:color="auto"/>
            </w:tcBorders>
            <w:shd w:val="clear" w:color="auto" w:fill="auto"/>
          </w:tcPr>
          <w:p w:rsidR="005F5AF7" w:rsidRPr="00787808" w:rsidRDefault="005F5AF7" w:rsidP="005F5AF7">
            <w:pPr>
              <w:pStyle w:val="ENoteTableText"/>
            </w:pPr>
          </w:p>
        </w:tc>
      </w:tr>
      <w:tr w:rsidR="005F5AF7" w:rsidRPr="00787808" w:rsidTr="00856FA5">
        <w:trPr>
          <w:cantSplit/>
        </w:trPr>
        <w:tc>
          <w:tcPr>
            <w:tcW w:w="1838" w:type="dxa"/>
            <w:shd w:val="clear" w:color="auto" w:fill="auto"/>
          </w:tcPr>
          <w:p w:rsidR="005F5AF7" w:rsidRPr="00787808" w:rsidRDefault="005F5AF7" w:rsidP="005F5AF7">
            <w:pPr>
              <w:pStyle w:val="ENoteTableText"/>
            </w:pPr>
            <w:r w:rsidRPr="00787808">
              <w:t>Screen Australia (Transfer of Assets) Act 2011</w:t>
            </w:r>
          </w:p>
        </w:tc>
        <w:tc>
          <w:tcPr>
            <w:tcW w:w="992" w:type="dxa"/>
            <w:shd w:val="clear" w:color="auto" w:fill="auto"/>
          </w:tcPr>
          <w:p w:rsidR="005F5AF7" w:rsidRPr="00787808" w:rsidRDefault="005F5AF7" w:rsidP="005F5AF7">
            <w:pPr>
              <w:pStyle w:val="ENoteTableText"/>
            </w:pPr>
            <w:r w:rsidRPr="00787808">
              <w:t>20, 2011</w:t>
            </w:r>
          </w:p>
        </w:tc>
        <w:tc>
          <w:tcPr>
            <w:tcW w:w="993" w:type="dxa"/>
            <w:shd w:val="clear" w:color="auto" w:fill="auto"/>
          </w:tcPr>
          <w:p w:rsidR="005F5AF7" w:rsidRPr="00787808" w:rsidRDefault="005F5AF7" w:rsidP="005F5AF7">
            <w:pPr>
              <w:pStyle w:val="ENoteTableText"/>
            </w:pPr>
            <w:r w:rsidRPr="00787808">
              <w:t>12 Apr 2011</w:t>
            </w:r>
          </w:p>
        </w:tc>
        <w:tc>
          <w:tcPr>
            <w:tcW w:w="1845" w:type="dxa"/>
            <w:shd w:val="clear" w:color="auto" w:fill="auto"/>
          </w:tcPr>
          <w:p w:rsidR="005F5AF7" w:rsidRPr="00787808" w:rsidRDefault="005F5AF7" w:rsidP="00972B90">
            <w:pPr>
              <w:pStyle w:val="ENoteTableText"/>
            </w:pPr>
            <w:r w:rsidRPr="00787808">
              <w:t>Sch 1 (item</w:t>
            </w:r>
            <w:r w:rsidR="00972B90" w:rsidRPr="00787808">
              <w:t>s</w:t>
            </w:r>
            <w:r w:rsidR="00787808">
              <w:t> </w:t>
            </w:r>
            <w:r w:rsidRPr="00787808">
              <w:t>8</w:t>
            </w:r>
            <w:r w:rsidR="00972B90" w:rsidRPr="00787808">
              <w:t>–12</w:t>
            </w:r>
            <w:r w:rsidRPr="00787808">
              <w:t xml:space="preserve">): </w:t>
            </w:r>
            <w:r w:rsidRPr="00787808">
              <w:rPr>
                <w:szCs w:val="16"/>
              </w:rPr>
              <w:t>1</w:t>
            </w:r>
            <w:r w:rsidR="00787808">
              <w:rPr>
                <w:szCs w:val="16"/>
              </w:rPr>
              <w:t> </w:t>
            </w:r>
            <w:r w:rsidRPr="00787808">
              <w:rPr>
                <w:szCs w:val="16"/>
              </w:rPr>
              <w:t>July 2011</w:t>
            </w:r>
            <w:r w:rsidR="00972B90" w:rsidRPr="00787808">
              <w:rPr>
                <w:szCs w:val="16"/>
              </w:rPr>
              <w:t xml:space="preserve"> </w:t>
            </w:r>
            <w:r w:rsidR="00972B90" w:rsidRPr="00787808">
              <w:t>(s 2(1) items</w:t>
            </w:r>
            <w:r w:rsidR="00787808">
              <w:t> </w:t>
            </w:r>
            <w:r w:rsidR="00972B90" w:rsidRPr="00787808">
              <w:t>4, 5)</w:t>
            </w:r>
            <w:r w:rsidRPr="00787808">
              <w:br/>
              <w:t>Sch 2: 13 Apr 2011</w:t>
            </w:r>
            <w:r w:rsidR="00972B90" w:rsidRPr="00787808">
              <w:t xml:space="preserve"> (s 2(1) item</w:t>
            </w:r>
            <w:r w:rsidR="00787808">
              <w:t> </w:t>
            </w:r>
            <w:r w:rsidR="00972B90" w:rsidRPr="00787808">
              <w:t>6)</w:t>
            </w:r>
          </w:p>
        </w:tc>
        <w:tc>
          <w:tcPr>
            <w:tcW w:w="1417" w:type="dxa"/>
            <w:shd w:val="clear" w:color="auto" w:fill="auto"/>
          </w:tcPr>
          <w:p w:rsidR="005F5AF7" w:rsidRPr="00787808" w:rsidRDefault="005F5AF7" w:rsidP="00972B90">
            <w:pPr>
              <w:pStyle w:val="ENoteTableText"/>
            </w:pPr>
            <w:r w:rsidRPr="00787808">
              <w:t>Sch 2</w:t>
            </w:r>
          </w:p>
        </w:tc>
      </w:tr>
      <w:tr w:rsidR="006C47FF" w:rsidRPr="00787808" w:rsidTr="005F5AF7">
        <w:trPr>
          <w:cantSplit/>
        </w:trPr>
        <w:tc>
          <w:tcPr>
            <w:tcW w:w="1838" w:type="dxa"/>
            <w:tcBorders>
              <w:bottom w:val="single" w:sz="12" w:space="0" w:color="auto"/>
            </w:tcBorders>
            <w:shd w:val="clear" w:color="auto" w:fill="auto"/>
          </w:tcPr>
          <w:p w:rsidR="006C47FF" w:rsidRPr="00787808" w:rsidRDefault="006C47FF" w:rsidP="005F5AF7">
            <w:pPr>
              <w:pStyle w:val="ENoteTableText"/>
            </w:pPr>
            <w:r w:rsidRPr="00787808">
              <w:t>Acts and Instruments (Framework Reform) (Consequential Provisions) Act 2015</w:t>
            </w:r>
          </w:p>
        </w:tc>
        <w:tc>
          <w:tcPr>
            <w:tcW w:w="992" w:type="dxa"/>
            <w:tcBorders>
              <w:bottom w:val="single" w:sz="12" w:space="0" w:color="auto"/>
            </w:tcBorders>
            <w:shd w:val="clear" w:color="auto" w:fill="auto"/>
          </w:tcPr>
          <w:p w:rsidR="006C47FF" w:rsidRPr="00787808" w:rsidRDefault="006C47FF" w:rsidP="005F5AF7">
            <w:pPr>
              <w:pStyle w:val="ENoteTableText"/>
            </w:pPr>
            <w:r w:rsidRPr="00787808">
              <w:t>126, 2015</w:t>
            </w:r>
          </w:p>
        </w:tc>
        <w:tc>
          <w:tcPr>
            <w:tcW w:w="993" w:type="dxa"/>
            <w:tcBorders>
              <w:bottom w:val="single" w:sz="12" w:space="0" w:color="auto"/>
            </w:tcBorders>
            <w:shd w:val="clear" w:color="auto" w:fill="auto"/>
          </w:tcPr>
          <w:p w:rsidR="006C47FF" w:rsidRPr="00787808" w:rsidRDefault="006C47FF" w:rsidP="005F5AF7">
            <w:pPr>
              <w:pStyle w:val="ENoteTableText"/>
            </w:pPr>
            <w:r w:rsidRPr="00787808">
              <w:t>10 Sept 2015</w:t>
            </w:r>
          </w:p>
        </w:tc>
        <w:tc>
          <w:tcPr>
            <w:tcW w:w="1845" w:type="dxa"/>
            <w:tcBorders>
              <w:bottom w:val="single" w:sz="12" w:space="0" w:color="auto"/>
            </w:tcBorders>
            <w:shd w:val="clear" w:color="auto" w:fill="auto"/>
          </w:tcPr>
          <w:p w:rsidR="006C47FF" w:rsidRPr="00787808" w:rsidRDefault="00FA19EC" w:rsidP="005F5AF7">
            <w:pPr>
              <w:pStyle w:val="ENoteTableText"/>
            </w:pPr>
            <w:r w:rsidRPr="00787808">
              <w:t>Sch 1 (item</w:t>
            </w:r>
            <w:r w:rsidR="00787808">
              <w:t> </w:t>
            </w:r>
            <w:r w:rsidRPr="00787808">
              <w:t>520): 5 Mar 2016 (s 2(1) item</w:t>
            </w:r>
            <w:r w:rsidR="00787808">
              <w:t> </w:t>
            </w:r>
            <w:r w:rsidRPr="00787808">
              <w:t>2)</w:t>
            </w:r>
          </w:p>
        </w:tc>
        <w:tc>
          <w:tcPr>
            <w:tcW w:w="1417" w:type="dxa"/>
            <w:tcBorders>
              <w:bottom w:val="single" w:sz="12" w:space="0" w:color="auto"/>
            </w:tcBorders>
            <w:shd w:val="clear" w:color="auto" w:fill="auto"/>
          </w:tcPr>
          <w:p w:rsidR="006C47FF" w:rsidRPr="00787808" w:rsidRDefault="00FA19EC" w:rsidP="005F5AF7">
            <w:pPr>
              <w:pStyle w:val="ENoteTableText"/>
            </w:pPr>
            <w:r w:rsidRPr="00787808">
              <w:t>—</w:t>
            </w:r>
          </w:p>
        </w:tc>
      </w:tr>
    </w:tbl>
    <w:p w:rsidR="005F5AF7" w:rsidRPr="00787808" w:rsidRDefault="005F5AF7" w:rsidP="00787808">
      <w:pPr>
        <w:pStyle w:val="ENotesHeading2"/>
        <w:pageBreakBefore/>
        <w:outlineLvl w:val="9"/>
      </w:pPr>
      <w:bookmarkStart w:id="30" w:name="_Toc450732127"/>
      <w:r w:rsidRPr="00787808">
        <w:lastRenderedPageBreak/>
        <w:t>Endnote 4—Amendment history</w:t>
      </w:r>
      <w:bookmarkEnd w:id="30"/>
    </w:p>
    <w:p w:rsidR="005F5AF7" w:rsidRPr="00787808" w:rsidRDefault="005F5AF7" w:rsidP="005F5AF7">
      <w:pPr>
        <w:pStyle w:val="Tabletext"/>
      </w:pPr>
    </w:p>
    <w:tbl>
      <w:tblPr>
        <w:tblW w:w="7082" w:type="dxa"/>
        <w:tblInd w:w="113" w:type="dxa"/>
        <w:tblLayout w:type="fixed"/>
        <w:tblLook w:val="0000" w:firstRow="0" w:lastRow="0" w:firstColumn="0" w:lastColumn="0" w:noHBand="0" w:noVBand="0"/>
      </w:tblPr>
      <w:tblGrid>
        <w:gridCol w:w="2139"/>
        <w:gridCol w:w="4943"/>
      </w:tblGrid>
      <w:tr w:rsidR="005F5AF7" w:rsidRPr="00787808" w:rsidTr="005F5AF7">
        <w:trPr>
          <w:cantSplit/>
          <w:tblHeader/>
        </w:trPr>
        <w:tc>
          <w:tcPr>
            <w:tcW w:w="2139" w:type="dxa"/>
            <w:tcBorders>
              <w:top w:val="single" w:sz="12" w:space="0" w:color="auto"/>
              <w:bottom w:val="single" w:sz="12" w:space="0" w:color="auto"/>
            </w:tcBorders>
            <w:shd w:val="clear" w:color="auto" w:fill="auto"/>
          </w:tcPr>
          <w:p w:rsidR="005F5AF7" w:rsidRPr="00787808" w:rsidRDefault="005F5AF7" w:rsidP="005F5AF7">
            <w:pPr>
              <w:pStyle w:val="ENoteTableHeading"/>
              <w:tabs>
                <w:tab w:val="center" w:leader="dot" w:pos="2268"/>
              </w:tabs>
            </w:pPr>
            <w:r w:rsidRPr="00787808">
              <w:t>Provision affected</w:t>
            </w:r>
          </w:p>
        </w:tc>
        <w:tc>
          <w:tcPr>
            <w:tcW w:w="4943" w:type="dxa"/>
            <w:tcBorders>
              <w:top w:val="single" w:sz="12" w:space="0" w:color="auto"/>
              <w:bottom w:val="single" w:sz="12" w:space="0" w:color="auto"/>
            </w:tcBorders>
            <w:shd w:val="clear" w:color="auto" w:fill="auto"/>
          </w:tcPr>
          <w:p w:rsidR="005F5AF7" w:rsidRPr="00787808" w:rsidRDefault="005F5AF7" w:rsidP="005F5AF7">
            <w:pPr>
              <w:pStyle w:val="ENoteTableHeading"/>
              <w:tabs>
                <w:tab w:val="center" w:leader="dot" w:pos="2268"/>
              </w:tabs>
            </w:pPr>
            <w:r w:rsidRPr="00787808">
              <w:t>How affected</w:t>
            </w:r>
          </w:p>
        </w:tc>
      </w:tr>
      <w:tr w:rsidR="005F5AF7" w:rsidRPr="00787808" w:rsidTr="005F5AF7">
        <w:trPr>
          <w:cantSplit/>
        </w:trPr>
        <w:tc>
          <w:tcPr>
            <w:tcW w:w="2139" w:type="dxa"/>
            <w:tcBorders>
              <w:top w:val="single" w:sz="12" w:space="0" w:color="auto"/>
            </w:tcBorders>
            <w:shd w:val="clear" w:color="auto" w:fill="auto"/>
          </w:tcPr>
          <w:p w:rsidR="005F5AF7" w:rsidRPr="00787808" w:rsidRDefault="005F5AF7" w:rsidP="005F5AF7">
            <w:pPr>
              <w:pStyle w:val="ENoteTableText"/>
              <w:tabs>
                <w:tab w:val="center" w:leader="dot" w:pos="2268"/>
              </w:tabs>
            </w:pPr>
            <w:r w:rsidRPr="00787808">
              <w:t>Title</w:t>
            </w:r>
            <w:r w:rsidRPr="00787808">
              <w:tab/>
            </w:r>
          </w:p>
        </w:tc>
        <w:tc>
          <w:tcPr>
            <w:tcW w:w="4943" w:type="dxa"/>
            <w:tcBorders>
              <w:top w:val="single" w:sz="12" w:space="0" w:color="auto"/>
            </w:tcBorders>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s. 1</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Schedule</w:t>
            </w:r>
            <w:r w:rsidR="00787808">
              <w:rPr>
                <w:b/>
              </w:rPr>
              <w:t> </w:t>
            </w:r>
            <w:r w:rsidRPr="00787808">
              <w:rPr>
                <w:b/>
              </w:rPr>
              <w:t>2</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1</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1</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2</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2</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856FA5">
            <w:pPr>
              <w:pStyle w:val="ENoteTableText"/>
              <w:tabs>
                <w:tab w:val="center" w:leader="dot" w:pos="2268"/>
              </w:tabs>
            </w:pPr>
            <w:r w:rsidRPr="00787808">
              <w:t>Item</w:t>
            </w:r>
            <w:r w:rsidR="00787808">
              <w:t> </w:t>
            </w:r>
            <w:r w:rsidRPr="00787808">
              <w:t>4</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856FA5" w:rsidRPr="00787808" w:rsidTr="008C6149">
        <w:trPr>
          <w:cantSplit/>
        </w:trPr>
        <w:tc>
          <w:tcPr>
            <w:tcW w:w="2139" w:type="dxa"/>
            <w:shd w:val="clear" w:color="auto" w:fill="auto"/>
          </w:tcPr>
          <w:p w:rsidR="00856FA5" w:rsidRPr="00787808" w:rsidRDefault="00856FA5" w:rsidP="00856FA5">
            <w:pPr>
              <w:pStyle w:val="ENoteTableText"/>
              <w:tabs>
                <w:tab w:val="center" w:leader="dot" w:pos="2268"/>
              </w:tabs>
            </w:pPr>
            <w:r w:rsidRPr="00787808">
              <w:t>Item</w:t>
            </w:r>
            <w:r w:rsidR="00787808">
              <w:t> </w:t>
            </w:r>
            <w:r w:rsidRPr="00787808">
              <w:t>5</w:t>
            </w:r>
            <w:r w:rsidRPr="00787808">
              <w:tab/>
            </w:r>
          </w:p>
        </w:tc>
        <w:tc>
          <w:tcPr>
            <w:tcW w:w="4943" w:type="dxa"/>
            <w:shd w:val="clear" w:color="auto" w:fill="auto"/>
          </w:tcPr>
          <w:p w:rsidR="00856FA5" w:rsidRPr="00787808" w:rsidRDefault="00856FA5" w:rsidP="008C6149">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3</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9</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4</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Division</w:t>
            </w:r>
            <w:r w:rsidR="00787808">
              <w:rPr>
                <w:b/>
              </w:rPr>
              <w:t> </w:t>
            </w:r>
            <w:r w:rsidRPr="00787808">
              <w:rPr>
                <w:b/>
              </w:rPr>
              <w:t>1</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10</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11</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Division</w:t>
            </w:r>
            <w:r w:rsidR="00787808">
              <w:rPr>
                <w:b/>
              </w:rPr>
              <w:t> </w:t>
            </w:r>
            <w:r w:rsidRPr="00787808">
              <w:rPr>
                <w:b/>
              </w:rPr>
              <w:t>3</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16</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18</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5</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Division</w:t>
            </w:r>
            <w:r w:rsidR="00787808">
              <w:rPr>
                <w:b/>
              </w:rPr>
              <w:t> </w:t>
            </w:r>
            <w:r w:rsidRPr="00787808">
              <w:rPr>
                <w:b/>
              </w:rPr>
              <w:t>1</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20</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21</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22</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23</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t>Part</w:t>
            </w:r>
            <w:r w:rsidR="00787808">
              <w:rPr>
                <w:b/>
              </w:rPr>
              <w:t> </w:t>
            </w:r>
            <w:r w:rsidRPr="00787808">
              <w:rPr>
                <w:b/>
              </w:rPr>
              <w:t>7</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Part</w:t>
            </w:r>
            <w:r w:rsidR="00787808">
              <w:t> </w:t>
            </w:r>
            <w:r w:rsidRPr="00787808">
              <w:t>7</w:t>
            </w:r>
            <w:r w:rsidR="00856FA5" w:rsidRPr="00787808">
              <w:t xml:space="preserve"> heading</w:t>
            </w:r>
            <w:r w:rsidRPr="00787808">
              <w:tab/>
            </w:r>
          </w:p>
        </w:tc>
        <w:tc>
          <w:tcPr>
            <w:tcW w:w="4943" w:type="dxa"/>
            <w:shd w:val="clear" w:color="auto" w:fill="auto"/>
          </w:tcPr>
          <w:p w:rsidR="005F5AF7" w:rsidRPr="00787808" w:rsidRDefault="005F5AF7" w:rsidP="005F5AF7">
            <w:pPr>
              <w:pStyle w:val="ENoteTableText"/>
            </w:pPr>
            <w:r w:rsidRPr="00787808">
              <w:t>rs.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33</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pPr>
            <w:r w:rsidRPr="00787808">
              <w:rPr>
                <w:b/>
              </w:rPr>
              <w:lastRenderedPageBreak/>
              <w:t>Part</w:t>
            </w:r>
            <w:r w:rsidR="00787808">
              <w:rPr>
                <w:b/>
              </w:rPr>
              <w:t> </w:t>
            </w:r>
            <w:r w:rsidRPr="00787808">
              <w:rPr>
                <w:b/>
              </w:rPr>
              <w:t>8</w:t>
            </w:r>
          </w:p>
        </w:tc>
        <w:tc>
          <w:tcPr>
            <w:tcW w:w="4943" w:type="dxa"/>
            <w:shd w:val="clear" w:color="auto" w:fill="auto"/>
          </w:tcPr>
          <w:p w:rsidR="005F5AF7" w:rsidRPr="00787808" w:rsidRDefault="005F5AF7" w:rsidP="005F5AF7">
            <w:pPr>
              <w:pStyle w:val="ENoteTableText"/>
            </w:pP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34</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p>
        </w:tc>
      </w:tr>
      <w:tr w:rsidR="005F5AF7" w:rsidRPr="00787808" w:rsidTr="005F5AF7">
        <w:trPr>
          <w:cantSplit/>
        </w:trPr>
        <w:tc>
          <w:tcPr>
            <w:tcW w:w="2139" w:type="dxa"/>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36</w:t>
            </w:r>
            <w:r w:rsidRPr="00787808">
              <w:tab/>
            </w:r>
          </w:p>
        </w:tc>
        <w:tc>
          <w:tcPr>
            <w:tcW w:w="4943" w:type="dxa"/>
            <w:shd w:val="clear" w:color="auto" w:fill="auto"/>
          </w:tcPr>
          <w:p w:rsidR="005F5AF7" w:rsidRPr="00787808" w:rsidRDefault="005F5AF7" w:rsidP="005F5AF7">
            <w:pPr>
              <w:pStyle w:val="ENoteTableText"/>
            </w:pPr>
            <w:r w:rsidRPr="00787808">
              <w:t>am. No.</w:t>
            </w:r>
            <w:r w:rsidR="00787808">
              <w:t> </w:t>
            </w:r>
            <w:r w:rsidRPr="00787808">
              <w:t>20, 2011</w:t>
            </w:r>
            <w:r w:rsidR="00AD4002" w:rsidRPr="00787808">
              <w:t xml:space="preserve">; </w:t>
            </w:r>
            <w:r w:rsidR="00856FA5" w:rsidRPr="00787808">
              <w:t xml:space="preserve">No </w:t>
            </w:r>
            <w:r w:rsidR="00AD4002" w:rsidRPr="00787808">
              <w:t>126, 2015</w:t>
            </w:r>
          </w:p>
        </w:tc>
      </w:tr>
      <w:tr w:rsidR="005F5AF7" w:rsidRPr="00787808" w:rsidTr="005F5AF7">
        <w:trPr>
          <w:cantSplit/>
        </w:trPr>
        <w:tc>
          <w:tcPr>
            <w:tcW w:w="2139" w:type="dxa"/>
            <w:tcBorders>
              <w:bottom w:val="single" w:sz="12" w:space="0" w:color="auto"/>
            </w:tcBorders>
            <w:shd w:val="clear" w:color="auto" w:fill="auto"/>
          </w:tcPr>
          <w:p w:rsidR="005F5AF7" w:rsidRPr="00787808" w:rsidRDefault="005F5AF7" w:rsidP="005F5AF7">
            <w:pPr>
              <w:pStyle w:val="ENoteTableText"/>
              <w:tabs>
                <w:tab w:val="center" w:leader="dot" w:pos="2268"/>
              </w:tabs>
            </w:pPr>
            <w:r w:rsidRPr="00787808">
              <w:t>Item</w:t>
            </w:r>
            <w:r w:rsidR="00787808">
              <w:t> </w:t>
            </w:r>
            <w:r w:rsidRPr="00787808">
              <w:t>39</w:t>
            </w:r>
            <w:r w:rsidRPr="00787808">
              <w:tab/>
            </w:r>
          </w:p>
        </w:tc>
        <w:tc>
          <w:tcPr>
            <w:tcW w:w="4943" w:type="dxa"/>
            <w:tcBorders>
              <w:bottom w:val="single" w:sz="12" w:space="0" w:color="auto"/>
            </w:tcBorders>
            <w:shd w:val="clear" w:color="auto" w:fill="auto"/>
          </w:tcPr>
          <w:p w:rsidR="005F5AF7" w:rsidRPr="00787808" w:rsidRDefault="005F5AF7" w:rsidP="005F5AF7">
            <w:pPr>
              <w:pStyle w:val="ENoteTableText"/>
            </w:pPr>
            <w:r w:rsidRPr="00787808">
              <w:t>am. No.</w:t>
            </w:r>
            <w:r w:rsidR="00787808">
              <w:t> </w:t>
            </w:r>
            <w:r w:rsidRPr="00787808">
              <w:t>20, 2011</w:t>
            </w:r>
          </w:p>
        </w:tc>
      </w:tr>
    </w:tbl>
    <w:p w:rsidR="00AC3F68" w:rsidRPr="00787808" w:rsidRDefault="00AC3F68" w:rsidP="005F5AF7"/>
    <w:p w:rsidR="00AC3F68" w:rsidRPr="00787808" w:rsidRDefault="00AC3F68" w:rsidP="005F5AF7">
      <w:pPr>
        <w:sectPr w:rsidR="00AC3F68" w:rsidRPr="00787808" w:rsidSect="00830525">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DE6DA8" w:rsidRPr="00787808" w:rsidRDefault="00DE6DA8" w:rsidP="00AC3F68"/>
    <w:sectPr w:rsidR="00DE6DA8" w:rsidRPr="00787808" w:rsidSect="00830525">
      <w:headerReference w:type="even" r:id="rId33"/>
      <w:head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54" w:rsidRPr="000D59B5" w:rsidRDefault="00AD4454" w:rsidP="001456FD">
      <w:pPr>
        <w:spacing w:line="240" w:lineRule="auto"/>
        <w:rPr>
          <w:sz w:val="16"/>
        </w:rPr>
      </w:pPr>
      <w:r>
        <w:separator/>
      </w:r>
    </w:p>
  </w:endnote>
  <w:endnote w:type="continuationSeparator" w:id="0">
    <w:p w:rsidR="00AD4454" w:rsidRPr="000D59B5" w:rsidRDefault="00AD4454" w:rsidP="001456FD">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Default="00AD445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A37BAF">
      <w:tc>
        <w:tcPr>
          <w:tcW w:w="1247" w:type="dxa"/>
        </w:tcPr>
        <w:p w:rsidR="00787808" w:rsidRPr="007B3B51" w:rsidRDefault="00787808" w:rsidP="00A37BAF">
          <w:pPr>
            <w:rPr>
              <w:i/>
              <w:sz w:val="16"/>
              <w:szCs w:val="16"/>
            </w:rPr>
          </w:pP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39</w:t>
          </w:r>
          <w:r w:rsidRPr="007B3B51">
            <w:rPr>
              <w:i/>
              <w:sz w:val="16"/>
              <w:szCs w:val="16"/>
            </w:rPr>
            <w:fldChar w:fldCharType="end"/>
          </w:r>
        </w:p>
      </w:tc>
    </w:tr>
    <w:tr w:rsidR="00787808" w:rsidRPr="00130F37" w:rsidTr="00621A70">
      <w:tc>
        <w:tcPr>
          <w:tcW w:w="2190" w:type="dxa"/>
          <w:gridSpan w:val="2"/>
        </w:tcPr>
        <w:p w:rsidR="00787808" w:rsidRPr="00130F37" w:rsidRDefault="00787808"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w:t>
          </w:r>
          <w:r w:rsidRPr="00130F37">
            <w:rPr>
              <w:sz w:val="16"/>
              <w:szCs w:val="16"/>
            </w:rPr>
            <w:fldChar w:fldCharType="end"/>
          </w:r>
        </w:p>
      </w:tc>
      <w:tc>
        <w:tcPr>
          <w:tcW w:w="2920" w:type="dxa"/>
        </w:tcPr>
        <w:p w:rsidR="00787808" w:rsidRPr="00130F37" w:rsidRDefault="00787808"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5/3/16</w:t>
          </w:r>
          <w:r w:rsidRPr="00130F37">
            <w:rPr>
              <w:sz w:val="16"/>
              <w:szCs w:val="16"/>
            </w:rPr>
            <w:fldChar w:fldCharType="end"/>
          </w:r>
        </w:p>
      </w:tc>
      <w:tc>
        <w:tcPr>
          <w:tcW w:w="2193" w:type="dxa"/>
          <w:gridSpan w:val="2"/>
        </w:tcPr>
        <w:p w:rsidR="00787808" w:rsidRPr="00130F37" w:rsidRDefault="00787808"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11/5/16</w:t>
          </w:r>
          <w:r w:rsidRPr="00130F37">
            <w:rPr>
              <w:sz w:val="16"/>
              <w:szCs w:val="16"/>
            </w:rPr>
            <w:fldChar w:fldCharType="end"/>
          </w:r>
        </w:p>
      </w:tc>
    </w:tr>
  </w:tbl>
  <w:p w:rsidR="00AD4454" w:rsidRPr="00787808" w:rsidRDefault="00AD4454" w:rsidP="0078780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7A1328" w:rsidRDefault="00AD4454" w:rsidP="00817DBD">
    <w:pPr>
      <w:pBdr>
        <w:top w:val="single" w:sz="6" w:space="1" w:color="auto"/>
      </w:pBdr>
      <w:spacing w:before="120"/>
      <w:rPr>
        <w:sz w:val="18"/>
      </w:rPr>
    </w:pPr>
  </w:p>
  <w:p w:rsidR="00AD4454" w:rsidRPr="007A1328" w:rsidRDefault="00AD4454" w:rsidP="00817DB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87808">
      <w:rPr>
        <w:i/>
        <w:noProof/>
        <w:sz w:val="18"/>
      </w:rPr>
      <w:t>Screen Australia and the National Film and Sound Archive of Australia (Consequential and Transitional Provisions)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8780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p w:rsidR="00AD4454" w:rsidRPr="007A1328" w:rsidRDefault="00AD4454" w:rsidP="00817DB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7B3B51" w:rsidRDefault="00AD4454" w:rsidP="005F5AF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D4454" w:rsidRPr="007B3B51" w:rsidTr="005F5AF7">
      <w:tc>
        <w:tcPr>
          <w:tcW w:w="1247" w:type="dxa"/>
        </w:tcPr>
        <w:p w:rsidR="00AD4454" w:rsidRPr="007B3B51" w:rsidRDefault="00AD4454" w:rsidP="005F5AF7">
          <w:pPr>
            <w:rPr>
              <w:i/>
              <w:sz w:val="16"/>
              <w:szCs w:val="16"/>
            </w:rPr>
          </w:pPr>
        </w:p>
      </w:tc>
      <w:tc>
        <w:tcPr>
          <w:tcW w:w="5387" w:type="dxa"/>
          <w:gridSpan w:val="3"/>
        </w:tcPr>
        <w:p w:rsidR="00AD4454" w:rsidRPr="007B3B51" w:rsidRDefault="00AD4454" w:rsidP="005F5AF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7808">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AD4454" w:rsidRPr="007B3B51" w:rsidRDefault="00AD4454" w:rsidP="005F5AF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w:t>
          </w:r>
          <w:r w:rsidRPr="007B3B51">
            <w:rPr>
              <w:i/>
              <w:sz w:val="16"/>
              <w:szCs w:val="16"/>
            </w:rPr>
            <w:fldChar w:fldCharType="end"/>
          </w:r>
        </w:p>
      </w:tc>
    </w:tr>
    <w:tr w:rsidR="00AD4454" w:rsidRPr="00130F37" w:rsidTr="005F5AF7">
      <w:tc>
        <w:tcPr>
          <w:tcW w:w="2190" w:type="dxa"/>
          <w:gridSpan w:val="2"/>
        </w:tcPr>
        <w:p w:rsidR="00AD4454" w:rsidRPr="00130F37" w:rsidRDefault="00AD4454" w:rsidP="005F5AF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87808">
            <w:rPr>
              <w:sz w:val="16"/>
              <w:szCs w:val="16"/>
            </w:rPr>
            <w:t>3</w:t>
          </w:r>
          <w:r w:rsidRPr="00130F37">
            <w:rPr>
              <w:sz w:val="16"/>
              <w:szCs w:val="16"/>
            </w:rPr>
            <w:fldChar w:fldCharType="end"/>
          </w:r>
        </w:p>
      </w:tc>
      <w:tc>
        <w:tcPr>
          <w:tcW w:w="2920" w:type="dxa"/>
        </w:tcPr>
        <w:p w:rsidR="00AD4454" w:rsidRPr="00130F37" w:rsidRDefault="00AD4454" w:rsidP="005F5AF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87808">
            <w:rPr>
              <w:sz w:val="16"/>
              <w:szCs w:val="16"/>
            </w:rPr>
            <w:t>5/3/16</w:t>
          </w:r>
          <w:r w:rsidRPr="00130F37">
            <w:rPr>
              <w:sz w:val="16"/>
              <w:szCs w:val="16"/>
            </w:rPr>
            <w:fldChar w:fldCharType="end"/>
          </w:r>
        </w:p>
      </w:tc>
      <w:tc>
        <w:tcPr>
          <w:tcW w:w="2193" w:type="dxa"/>
          <w:gridSpan w:val="2"/>
        </w:tcPr>
        <w:p w:rsidR="00AD4454" w:rsidRPr="00130F37" w:rsidRDefault="00AD4454" w:rsidP="005F5AF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87808">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87808">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87808">
            <w:rPr>
              <w:noProof/>
              <w:sz w:val="16"/>
              <w:szCs w:val="16"/>
            </w:rPr>
            <w:t>11/5/16</w:t>
          </w:r>
          <w:r w:rsidRPr="00130F37">
            <w:rPr>
              <w:sz w:val="16"/>
              <w:szCs w:val="16"/>
            </w:rPr>
            <w:fldChar w:fldCharType="end"/>
          </w:r>
        </w:p>
      </w:tc>
    </w:tr>
  </w:tbl>
  <w:p w:rsidR="00AD4454" w:rsidRPr="005F5AF7" w:rsidRDefault="00AD4454" w:rsidP="005F5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Default="00AD4454" w:rsidP="005F5AF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D79B6" w:rsidRDefault="00AD4454" w:rsidP="005F5AF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621A70">
      <w:tc>
        <w:tcPr>
          <w:tcW w:w="1247" w:type="dxa"/>
        </w:tcPr>
        <w:p w:rsidR="00787808" w:rsidRPr="007B3B51" w:rsidRDefault="00787808"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ii</w:t>
          </w:r>
          <w:r w:rsidRPr="007B3B51">
            <w:rPr>
              <w:i/>
              <w:sz w:val="16"/>
              <w:szCs w:val="16"/>
            </w:rPr>
            <w:fldChar w:fldCharType="end"/>
          </w: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p>
      </w:tc>
    </w:tr>
    <w:tr w:rsidR="00787808" w:rsidRPr="0055472E" w:rsidTr="00621A70">
      <w:tc>
        <w:tcPr>
          <w:tcW w:w="2190" w:type="dxa"/>
          <w:gridSpan w:val="2"/>
        </w:tcPr>
        <w:p w:rsidR="00787808" w:rsidRPr="0055472E" w:rsidRDefault="00787808"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2920" w:type="dxa"/>
        </w:tcPr>
        <w:p w:rsidR="00787808" w:rsidRPr="0055472E" w:rsidRDefault="00787808"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5/3/16</w:t>
          </w:r>
          <w:r w:rsidRPr="0055472E">
            <w:rPr>
              <w:sz w:val="16"/>
              <w:szCs w:val="16"/>
            </w:rPr>
            <w:fldChar w:fldCharType="end"/>
          </w:r>
        </w:p>
      </w:tc>
      <w:tc>
        <w:tcPr>
          <w:tcW w:w="2193" w:type="dxa"/>
          <w:gridSpan w:val="2"/>
        </w:tcPr>
        <w:p w:rsidR="00787808" w:rsidRPr="0055472E" w:rsidRDefault="00787808"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11/5/16</w:t>
          </w:r>
          <w:r w:rsidRPr="0055472E">
            <w:rPr>
              <w:sz w:val="16"/>
              <w:szCs w:val="16"/>
            </w:rPr>
            <w:fldChar w:fldCharType="end"/>
          </w:r>
        </w:p>
      </w:tc>
    </w:tr>
  </w:tbl>
  <w:p w:rsidR="00AD4454" w:rsidRPr="00787808" w:rsidRDefault="00AD4454" w:rsidP="007878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A37BAF">
      <w:tc>
        <w:tcPr>
          <w:tcW w:w="1247" w:type="dxa"/>
        </w:tcPr>
        <w:p w:rsidR="00787808" w:rsidRPr="007B3B51" w:rsidRDefault="00787808" w:rsidP="00A37BAF">
          <w:pPr>
            <w:rPr>
              <w:i/>
              <w:sz w:val="16"/>
              <w:szCs w:val="16"/>
            </w:rPr>
          </w:pP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i</w:t>
          </w:r>
          <w:r w:rsidRPr="007B3B51">
            <w:rPr>
              <w:i/>
              <w:sz w:val="16"/>
              <w:szCs w:val="16"/>
            </w:rPr>
            <w:fldChar w:fldCharType="end"/>
          </w:r>
        </w:p>
      </w:tc>
    </w:tr>
    <w:tr w:rsidR="00787808" w:rsidRPr="00130F37" w:rsidTr="00621A70">
      <w:tc>
        <w:tcPr>
          <w:tcW w:w="2190" w:type="dxa"/>
          <w:gridSpan w:val="2"/>
        </w:tcPr>
        <w:p w:rsidR="00787808" w:rsidRPr="00130F37" w:rsidRDefault="00787808"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w:t>
          </w:r>
          <w:r w:rsidRPr="00130F37">
            <w:rPr>
              <w:sz w:val="16"/>
              <w:szCs w:val="16"/>
            </w:rPr>
            <w:fldChar w:fldCharType="end"/>
          </w:r>
        </w:p>
      </w:tc>
      <w:tc>
        <w:tcPr>
          <w:tcW w:w="2920" w:type="dxa"/>
        </w:tcPr>
        <w:p w:rsidR="00787808" w:rsidRPr="00130F37" w:rsidRDefault="00787808"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5/3/16</w:t>
          </w:r>
          <w:r w:rsidRPr="00130F37">
            <w:rPr>
              <w:sz w:val="16"/>
              <w:szCs w:val="16"/>
            </w:rPr>
            <w:fldChar w:fldCharType="end"/>
          </w:r>
        </w:p>
      </w:tc>
      <w:tc>
        <w:tcPr>
          <w:tcW w:w="2193" w:type="dxa"/>
          <w:gridSpan w:val="2"/>
        </w:tcPr>
        <w:p w:rsidR="00787808" w:rsidRPr="00130F37" w:rsidRDefault="00787808"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11/5/16</w:t>
          </w:r>
          <w:r w:rsidRPr="00130F37">
            <w:rPr>
              <w:sz w:val="16"/>
              <w:szCs w:val="16"/>
            </w:rPr>
            <w:fldChar w:fldCharType="end"/>
          </w:r>
        </w:p>
      </w:tc>
    </w:tr>
  </w:tbl>
  <w:p w:rsidR="00AD4454" w:rsidRPr="00787808" w:rsidRDefault="00AD4454" w:rsidP="007878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621A70">
      <w:tc>
        <w:tcPr>
          <w:tcW w:w="1247" w:type="dxa"/>
        </w:tcPr>
        <w:p w:rsidR="00787808" w:rsidRPr="007B3B51" w:rsidRDefault="00787808"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34</w:t>
          </w:r>
          <w:r w:rsidRPr="007B3B51">
            <w:rPr>
              <w:i/>
              <w:sz w:val="16"/>
              <w:szCs w:val="16"/>
            </w:rPr>
            <w:fldChar w:fldCharType="end"/>
          </w: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p>
      </w:tc>
    </w:tr>
    <w:tr w:rsidR="00787808" w:rsidRPr="0055472E" w:rsidTr="00621A70">
      <w:tc>
        <w:tcPr>
          <w:tcW w:w="2190" w:type="dxa"/>
          <w:gridSpan w:val="2"/>
        </w:tcPr>
        <w:p w:rsidR="00787808" w:rsidRPr="0055472E" w:rsidRDefault="00787808"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2920" w:type="dxa"/>
        </w:tcPr>
        <w:p w:rsidR="00787808" w:rsidRPr="0055472E" w:rsidRDefault="00787808"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5/3/16</w:t>
          </w:r>
          <w:r w:rsidRPr="0055472E">
            <w:rPr>
              <w:sz w:val="16"/>
              <w:szCs w:val="16"/>
            </w:rPr>
            <w:fldChar w:fldCharType="end"/>
          </w:r>
        </w:p>
      </w:tc>
      <w:tc>
        <w:tcPr>
          <w:tcW w:w="2193" w:type="dxa"/>
          <w:gridSpan w:val="2"/>
        </w:tcPr>
        <w:p w:rsidR="00787808" w:rsidRPr="0055472E" w:rsidRDefault="00787808"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11/5/16</w:t>
          </w:r>
          <w:r w:rsidRPr="0055472E">
            <w:rPr>
              <w:sz w:val="16"/>
              <w:szCs w:val="16"/>
            </w:rPr>
            <w:fldChar w:fldCharType="end"/>
          </w:r>
        </w:p>
      </w:tc>
    </w:tr>
  </w:tbl>
  <w:p w:rsidR="00787808" w:rsidRPr="00787808" w:rsidRDefault="00787808" w:rsidP="0078780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A37BAF">
      <w:tc>
        <w:tcPr>
          <w:tcW w:w="1247" w:type="dxa"/>
        </w:tcPr>
        <w:p w:rsidR="00787808" w:rsidRPr="007B3B51" w:rsidRDefault="00787808" w:rsidP="00A37BAF">
          <w:pPr>
            <w:rPr>
              <w:i/>
              <w:sz w:val="16"/>
              <w:szCs w:val="16"/>
            </w:rPr>
          </w:pP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1</w:t>
          </w:r>
          <w:r w:rsidRPr="007B3B51">
            <w:rPr>
              <w:i/>
              <w:sz w:val="16"/>
              <w:szCs w:val="16"/>
            </w:rPr>
            <w:fldChar w:fldCharType="end"/>
          </w:r>
        </w:p>
      </w:tc>
    </w:tr>
    <w:tr w:rsidR="00787808" w:rsidRPr="00130F37" w:rsidTr="00621A70">
      <w:tc>
        <w:tcPr>
          <w:tcW w:w="2190" w:type="dxa"/>
          <w:gridSpan w:val="2"/>
        </w:tcPr>
        <w:p w:rsidR="00787808" w:rsidRPr="00130F37" w:rsidRDefault="00787808"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w:t>
          </w:r>
          <w:r w:rsidRPr="00130F37">
            <w:rPr>
              <w:sz w:val="16"/>
              <w:szCs w:val="16"/>
            </w:rPr>
            <w:fldChar w:fldCharType="end"/>
          </w:r>
        </w:p>
      </w:tc>
      <w:tc>
        <w:tcPr>
          <w:tcW w:w="2920" w:type="dxa"/>
        </w:tcPr>
        <w:p w:rsidR="00787808" w:rsidRPr="00130F37" w:rsidRDefault="00787808"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5/3/16</w:t>
          </w:r>
          <w:r w:rsidRPr="00130F37">
            <w:rPr>
              <w:sz w:val="16"/>
              <w:szCs w:val="16"/>
            </w:rPr>
            <w:fldChar w:fldCharType="end"/>
          </w:r>
        </w:p>
      </w:tc>
      <w:tc>
        <w:tcPr>
          <w:tcW w:w="2193" w:type="dxa"/>
          <w:gridSpan w:val="2"/>
        </w:tcPr>
        <w:p w:rsidR="00787808" w:rsidRPr="00130F37" w:rsidRDefault="00787808"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11/5/16</w:t>
          </w:r>
          <w:r w:rsidRPr="00130F37">
            <w:rPr>
              <w:sz w:val="16"/>
              <w:szCs w:val="16"/>
            </w:rPr>
            <w:fldChar w:fldCharType="end"/>
          </w:r>
        </w:p>
      </w:tc>
    </w:tr>
  </w:tbl>
  <w:p w:rsidR="00787808" w:rsidRPr="00787808" w:rsidRDefault="00787808" w:rsidP="0078780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A961C4" w:rsidRDefault="00787808" w:rsidP="00685F42">
    <w:pPr>
      <w:pBdr>
        <w:top w:val="single" w:sz="6" w:space="1" w:color="auto"/>
      </w:pBdr>
      <w:spacing w:before="120"/>
      <w:rPr>
        <w:sz w:val="18"/>
      </w:rPr>
    </w:pPr>
  </w:p>
  <w:p w:rsidR="00787808" w:rsidRPr="00A961C4" w:rsidRDefault="00787808"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Screen Australia and the National Film and Sound Archive of Australia (Consequential and Transitional Provisions) Act 2008</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3</w:t>
    </w:r>
    <w:r w:rsidRPr="00A961C4">
      <w:rPr>
        <w:i/>
        <w:sz w:val="18"/>
      </w:rPr>
      <w:fldChar w:fldCharType="end"/>
    </w:r>
  </w:p>
  <w:p w:rsidR="00787808" w:rsidRPr="00A961C4" w:rsidRDefault="00787808" w:rsidP="0048364F">
    <w:pPr>
      <w:rPr>
        <w:i/>
        <w:sz w:val="18"/>
      </w:rPr>
    </w:pPr>
    <w:r w:rsidRPr="00A961C4">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7B3B51" w:rsidRDefault="00787808"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87808" w:rsidRPr="007B3B51" w:rsidTr="00621A70">
      <w:tc>
        <w:tcPr>
          <w:tcW w:w="1247" w:type="dxa"/>
        </w:tcPr>
        <w:p w:rsidR="00787808" w:rsidRPr="007B3B51" w:rsidRDefault="00787808"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525">
            <w:rPr>
              <w:i/>
              <w:noProof/>
              <w:sz w:val="16"/>
              <w:szCs w:val="16"/>
            </w:rPr>
            <w:t>40</w:t>
          </w:r>
          <w:r w:rsidRPr="007B3B51">
            <w:rPr>
              <w:i/>
              <w:sz w:val="16"/>
              <w:szCs w:val="16"/>
            </w:rPr>
            <w:fldChar w:fldCharType="end"/>
          </w:r>
        </w:p>
      </w:tc>
      <w:tc>
        <w:tcPr>
          <w:tcW w:w="5387" w:type="dxa"/>
          <w:gridSpan w:val="3"/>
        </w:tcPr>
        <w:p w:rsidR="00787808" w:rsidRPr="007B3B51" w:rsidRDefault="00787808"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525">
            <w:rPr>
              <w:i/>
              <w:noProof/>
              <w:sz w:val="16"/>
              <w:szCs w:val="16"/>
            </w:rPr>
            <w:t>Screen Australia and the National Film and Sound Archive of Australia (Consequential and Transitional Provisions) Act 2008</w:t>
          </w:r>
          <w:r w:rsidRPr="007B3B51">
            <w:rPr>
              <w:i/>
              <w:sz w:val="16"/>
              <w:szCs w:val="16"/>
            </w:rPr>
            <w:fldChar w:fldCharType="end"/>
          </w:r>
        </w:p>
      </w:tc>
      <w:tc>
        <w:tcPr>
          <w:tcW w:w="669" w:type="dxa"/>
        </w:tcPr>
        <w:p w:rsidR="00787808" w:rsidRPr="007B3B51" w:rsidRDefault="00787808" w:rsidP="00A37BAF">
          <w:pPr>
            <w:jc w:val="right"/>
            <w:rPr>
              <w:sz w:val="16"/>
              <w:szCs w:val="16"/>
            </w:rPr>
          </w:pPr>
        </w:p>
      </w:tc>
    </w:tr>
    <w:tr w:rsidR="00787808" w:rsidRPr="0055472E" w:rsidTr="00621A70">
      <w:tc>
        <w:tcPr>
          <w:tcW w:w="2190" w:type="dxa"/>
          <w:gridSpan w:val="2"/>
        </w:tcPr>
        <w:p w:rsidR="00787808" w:rsidRPr="0055472E" w:rsidRDefault="00787808"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w:t>
          </w:r>
          <w:r w:rsidRPr="0055472E">
            <w:rPr>
              <w:sz w:val="16"/>
              <w:szCs w:val="16"/>
            </w:rPr>
            <w:fldChar w:fldCharType="end"/>
          </w:r>
        </w:p>
      </w:tc>
      <w:tc>
        <w:tcPr>
          <w:tcW w:w="2920" w:type="dxa"/>
        </w:tcPr>
        <w:p w:rsidR="00787808" w:rsidRPr="0055472E" w:rsidRDefault="00787808"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5/3/16</w:t>
          </w:r>
          <w:r w:rsidRPr="0055472E">
            <w:rPr>
              <w:sz w:val="16"/>
              <w:szCs w:val="16"/>
            </w:rPr>
            <w:fldChar w:fldCharType="end"/>
          </w:r>
        </w:p>
      </w:tc>
      <w:tc>
        <w:tcPr>
          <w:tcW w:w="2193" w:type="dxa"/>
          <w:gridSpan w:val="2"/>
        </w:tcPr>
        <w:p w:rsidR="00787808" w:rsidRPr="0055472E" w:rsidRDefault="00787808"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11/05/2016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11/5/16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11/5/16</w:t>
          </w:r>
          <w:r w:rsidRPr="0055472E">
            <w:rPr>
              <w:sz w:val="16"/>
              <w:szCs w:val="16"/>
            </w:rPr>
            <w:fldChar w:fldCharType="end"/>
          </w:r>
        </w:p>
      </w:tc>
    </w:tr>
  </w:tbl>
  <w:p w:rsidR="00AD4454" w:rsidRPr="00787808" w:rsidRDefault="00AD4454" w:rsidP="00787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54" w:rsidRPr="000D59B5" w:rsidRDefault="00AD4454" w:rsidP="001456FD">
      <w:pPr>
        <w:spacing w:line="240" w:lineRule="auto"/>
        <w:rPr>
          <w:sz w:val="16"/>
        </w:rPr>
      </w:pPr>
      <w:r>
        <w:separator/>
      </w:r>
    </w:p>
  </w:footnote>
  <w:footnote w:type="continuationSeparator" w:id="0">
    <w:p w:rsidR="00AD4454" w:rsidRPr="000D59B5" w:rsidRDefault="00AD4454" w:rsidP="001456FD">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Default="00AD4454" w:rsidP="005F5AF7">
    <w:pPr>
      <w:pStyle w:val="Header"/>
      <w:pBdr>
        <w:bottom w:val="single" w:sz="6" w:space="1" w:color="auto"/>
      </w:pBdr>
    </w:pPr>
  </w:p>
  <w:p w:rsidR="00AD4454" w:rsidRDefault="00AD4454" w:rsidP="005F5AF7">
    <w:pPr>
      <w:pStyle w:val="Header"/>
      <w:pBdr>
        <w:bottom w:val="single" w:sz="6" w:space="1" w:color="auto"/>
      </w:pBdr>
    </w:pPr>
  </w:p>
  <w:p w:rsidR="00AD4454" w:rsidRPr="001E77D2" w:rsidRDefault="00AD4454" w:rsidP="005F5AF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7E528B" w:rsidRDefault="00AD4454" w:rsidP="005F5AF7">
    <w:pPr>
      <w:rPr>
        <w:sz w:val="26"/>
        <w:szCs w:val="26"/>
      </w:rPr>
    </w:pPr>
  </w:p>
  <w:p w:rsidR="00AD4454" w:rsidRPr="00750516" w:rsidRDefault="00AD4454" w:rsidP="005F5AF7">
    <w:pPr>
      <w:rPr>
        <w:b/>
        <w:sz w:val="20"/>
      </w:rPr>
    </w:pPr>
    <w:r w:rsidRPr="00750516">
      <w:rPr>
        <w:b/>
        <w:sz w:val="20"/>
      </w:rPr>
      <w:t>Endnotes</w:t>
    </w:r>
  </w:p>
  <w:p w:rsidR="00AD4454" w:rsidRPr="007A1328" w:rsidRDefault="00AD4454" w:rsidP="005F5AF7">
    <w:pPr>
      <w:rPr>
        <w:sz w:val="20"/>
      </w:rPr>
    </w:pPr>
  </w:p>
  <w:p w:rsidR="00AD4454" w:rsidRPr="007A1328" w:rsidRDefault="00AD4454" w:rsidP="005F5AF7">
    <w:pPr>
      <w:rPr>
        <w:b/>
        <w:sz w:val="24"/>
      </w:rPr>
    </w:pPr>
  </w:p>
  <w:p w:rsidR="00AD4454" w:rsidRPr="007E528B" w:rsidRDefault="00AD4454" w:rsidP="005F5AF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30525">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7E528B" w:rsidRDefault="00AD4454" w:rsidP="005F5AF7">
    <w:pPr>
      <w:jc w:val="right"/>
      <w:rPr>
        <w:sz w:val="26"/>
        <w:szCs w:val="26"/>
      </w:rPr>
    </w:pPr>
  </w:p>
  <w:p w:rsidR="00AD4454" w:rsidRPr="00750516" w:rsidRDefault="00AD4454" w:rsidP="005F5AF7">
    <w:pPr>
      <w:jc w:val="right"/>
      <w:rPr>
        <w:b/>
        <w:sz w:val="20"/>
      </w:rPr>
    </w:pPr>
    <w:r w:rsidRPr="00750516">
      <w:rPr>
        <w:b/>
        <w:sz w:val="20"/>
      </w:rPr>
      <w:t>Endnotes</w:t>
    </w:r>
  </w:p>
  <w:p w:rsidR="00AD4454" w:rsidRPr="007A1328" w:rsidRDefault="00AD4454" w:rsidP="005F5AF7">
    <w:pPr>
      <w:jc w:val="right"/>
      <w:rPr>
        <w:sz w:val="20"/>
      </w:rPr>
    </w:pPr>
  </w:p>
  <w:p w:rsidR="00AD4454" w:rsidRPr="007A1328" w:rsidRDefault="00AD4454" w:rsidP="005F5AF7">
    <w:pPr>
      <w:jc w:val="right"/>
      <w:rPr>
        <w:b/>
        <w:sz w:val="24"/>
      </w:rPr>
    </w:pPr>
  </w:p>
  <w:p w:rsidR="00AD4454" w:rsidRPr="007E528B" w:rsidRDefault="00AD4454" w:rsidP="005F5AF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30525">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140E4" w:rsidRDefault="00AD4454">
    <w:pPr>
      <w:keepNext/>
      <w:jc w:val="right"/>
      <w:rPr>
        <w:sz w:val="20"/>
      </w:rPr>
    </w:pPr>
  </w:p>
  <w:p w:rsidR="00AD4454" w:rsidRPr="00E93190" w:rsidRDefault="00AD4454">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787808">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787808">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AD4454" w:rsidRPr="008C6D62" w:rsidRDefault="00AD4454">
    <w:pPr>
      <w:keepNext/>
      <w:rPr>
        <w:sz w:val="20"/>
      </w:rPr>
    </w:pPr>
  </w:p>
  <w:p w:rsidR="00AD4454" w:rsidRPr="00E140E4" w:rsidRDefault="00AD4454">
    <w:pPr>
      <w:keepNext/>
    </w:pPr>
  </w:p>
  <w:p w:rsidR="00AD4454" w:rsidRPr="00E93190" w:rsidRDefault="00AD4454">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ENoteNo \* CHARFORMAT </w:instrText>
    </w:r>
    <w:r w:rsidRPr="00E93190">
      <w:rPr>
        <w:rFonts w:ascii="Arial" w:hAnsi="Arial" w:cs="Arial"/>
        <w:b/>
      </w:rPr>
      <w:fldChar w:fldCharType="separate"/>
    </w:r>
    <w:r w:rsidR="00787808">
      <w:rPr>
        <w:rFonts w:ascii="Arial" w:hAnsi="Arial" w:cs="Arial"/>
        <w:bCs/>
        <w:noProof/>
        <w:lang w:val="en-US"/>
      </w:rPr>
      <w:t>Error! Use the Home tab to apply ENoteNo to the text that you want to appear here.</w:t>
    </w:r>
    <w:r w:rsidRPr="00E93190">
      <w:rPr>
        <w:rFonts w:ascii="Arial" w:hAnsi="Arial" w:cs="Arial"/>
        <w:b/>
      </w:rPr>
      <w:fldChar w:fldCharType="end"/>
    </w:r>
  </w:p>
  <w:p w:rsidR="00AD4454" w:rsidRPr="008C6D62" w:rsidRDefault="00AD4454">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140E4" w:rsidRDefault="00AD4454">
    <w:pPr>
      <w:keepNext/>
      <w:jc w:val="right"/>
      <w:rPr>
        <w:sz w:val="20"/>
      </w:rPr>
    </w:pPr>
  </w:p>
  <w:p w:rsidR="00AD4454" w:rsidRPr="00E93190" w:rsidRDefault="00AD4454">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787808">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787808">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AD4454" w:rsidRPr="008C6D62" w:rsidRDefault="00AD4454">
    <w:pPr>
      <w:keepNext/>
      <w:jc w:val="right"/>
      <w:rPr>
        <w:sz w:val="20"/>
      </w:rPr>
    </w:pPr>
  </w:p>
  <w:p w:rsidR="00AD4454" w:rsidRPr="00E140E4" w:rsidRDefault="00AD4454">
    <w:pPr>
      <w:keepNext/>
      <w:jc w:val="right"/>
    </w:pPr>
  </w:p>
  <w:p w:rsidR="00AD4454" w:rsidRPr="00E93190" w:rsidRDefault="00AD4454">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ENoteNo \* CHARFORMAT </w:instrText>
    </w:r>
    <w:r w:rsidRPr="00E93190">
      <w:rPr>
        <w:rFonts w:ascii="Arial" w:hAnsi="Arial" w:cs="Arial"/>
        <w:b/>
      </w:rPr>
      <w:fldChar w:fldCharType="separate"/>
    </w:r>
    <w:r w:rsidR="00787808">
      <w:rPr>
        <w:rFonts w:ascii="Arial" w:hAnsi="Arial" w:cs="Arial"/>
        <w:bCs/>
        <w:noProof/>
        <w:lang w:val="en-US"/>
      </w:rPr>
      <w:t>Error! Use the Home tab to apply ENoteNo to the text that you want to appear here.</w:t>
    </w:r>
    <w:r w:rsidRPr="00E93190">
      <w:rPr>
        <w:rFonts w:ascii="Arial" w:hAnsi="Arial" w:cs="Arial"/>
        <w:b/>
      </w:rPr>
      <w:fldChar w:fldCharType="end"/>
    </w:r>
  </w:p>
  <w:p w:rsidR="00AD4454" w:rsidRPr="008C6D62" w:rsidRDefault="00AD4454">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A961C4" w:rsidRDefault="00AD44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Default="00AD4454" w:rsidP="005F5AF7">
    <w:pPr>
      <w:pStyle w:val="Header"/>
      <w:pBdr>
        <w:bottom w:val="single" w:sz="4" w:space="1" w:color="auto"/>
      </w:pBdr>
    </w:pPr>
  </w:p>
  <w:p w:rsidR="00AD4454" w:rsidRDefault="00AD4454" w:rsidP="005F5AF7">
    <w:pPr>
      <w:pStyle w:val="Header"/>
      <w:pBdr>
        <w:bottom w:val="single" w:sz="4" w:space="1" w:color="auto"/>
      </w:pBdr>
    </w:pPr>
  </w:p>
  <w:p w:rsidR="00AD4454" w:rsidRPr="001E77D2" w:rsidRDefault="00AD4454" w:rsidP="005F5AF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5F1388" w:rsidRDefault="00AD4454" w:rsidP="005F5AF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D79B6" w:rsidRDefault="00AD4454" w:rsidP="005F5AF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D79B6" w:rsidRDefault="00AD4454" w:rsidP="005F5AF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54" w:rsidRPr="00ED79B6" w:rsidRDefault="00AD4454" w:rsidP="005F5AF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A961C4" w:rsidRDefault="00787808" w:rsidP="0048364F">
    <w:pPr>
      <w:rPr>
        <w:b/>
        <w:sz w:val="20"/>
      </w:rPr>
    </w:pPr>
    <w:r>
      <w:rPr>
        <w:b/>
        <w:sz w:val="20"/>
      </w:rPr>
      <w:fldChar w:fldCharType="begin"/>
    </w:r>
    <w:r>
      <w:rPr>
        <w:b/>
        <w:sz w:val="20"/>
      </w:rPr>
      <w:instrText xml:space="preserve"> STYLEREF CharAmSchNo </w:instrText>
    </w:r>
    <w:r w:rsidR="003B4403">
      <w:rPr>
        <w:b/>
        <w:sz w:val="20"/>
      </w:rPr>
      <w:fldChar w:fldCharType="separate"/>
    </w:r>
    <w:r w:rsidR="0083052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B4403">
      <w:rPr>
        <w:sz w:val="20"/>
      </w:rPr>
      <w:fldChar w:fldCharType="separate"/>
    </w:r>
    <w:r w:rsidR="00830525">
      <w:rPr>
        <w:noProof/>
        <w:sz w:val="20"/>
      </w:rPr>
      <w:t>Transitional provisions</w:t>
    </w:r>
    <w:r>
      <w:rPr>
        <w:sz w:val="20"/>
      </w:rPr>
      <w:fldChar w:fldCharType="end"/>
    </w:r>
  </w:p>
  <w:p w:rsidR="00787808" w:rsidRPr="00A961C4" w:rsidRDefault="00787808" w:rsidP="0048364F">
    <w:pPr>
      <w:rPr>
        <w:b/>
        <w:sz w:val="20"/>
      </w:rPr>
    </w:pPr>
    <w:r>
      <w:rPr>
        <w:b/>
        <w:sz w:val="20"/>
      </w:rPr>
      <w:fldChar w:fldCharType="begin"/>
    </w:r>
    <w:r>
      <w:rPr>
        <w:b/>
        <w:sz w:val="20"/>
      </w:rPr>
      <w:instrText xml:space="preserve"> STYLEREF CharAmPartNo </w:instrText>
    </w:r>
    <w:r w:rsidR="003B4403">
      <w:rPr>
        <w:b/>
        <w:sz w:val="20"/>
      </w:rPr>
      <w:fldChar w:fldCharType="separate"/>
    </w:r>
    <w:r w:rsidR="00830525">
      <w:rPr>
        <w:b/>
        <w:noProof/>
        <w:sz w:val="20"/>
      </w:rPr>
      <w:t>Part 8</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B4403">
      <w:rPr>
        <w:sz w:val="20"/>
      </w:rPr>
      <w:fldChar w:fldCharType="separate"/>
    </w:r>
    <w:r w:rsidR="00830525">
      <w:rPr>
        <w:noProof/>
        <w:sz w:val="20"/>
      </w:rPr>
      <w:t>Other transitional matters</w:t>
    </w:r>
    <w:r>
      <w:rPr>
        <w:sz w:val="20"/>
      </w:rPr>
      <w:fldChar w:fldCharType="end"/>
    </w:r>
  </w:p>
  <w:p w:rsidR="00787808" w:rsidRPr="00A961C4" w:rsidRDefault="00787808" w:rsidP="0078780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A961C4" w:rsidRDefault="0078780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787808" w:rsidRPr="00A961C4" w:rsidRDefault="0078780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87808" w:rsidRPr="00A961C4" w:rsidRDefault="00787808" w:rsidP="0078780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08" w:rsidRPr="00A961C4" w:rsidRDefault="0078780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49B51C3"/>
    <w:multiLevelType w:val="hybridMultilevel"/>
    <w:tmpl w:val="6FC65A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10466B5"/>
    <w:multiLevelType w:val="hybridMultilevel"/>
    <w:tmpl w:val="F1A01D24"/>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18"/>
  </w:num>
  <w:num w:numId="27">
    <w:abstractNumId w:val="21"/>
  </w:num>
  <w:num w:numId="28">
    <w:abstractNumId w:val="24"/>
  </w:num>
  <w:num w:numId="29">
    <w:abstractNumId w:val="12"/>
  </w:num>
  <w:num w:numId="30">
    <w:abstractNumId w:val="16"/>
  </w:num>
  <w:num w:numId="31">
    <w:abstractNumId w:val="20"/>
  </w:num>
  <w:num w:numId="32">
    <w:abstractNumId w:val="27"/>
  </w:num>
  <w:num w:numId="33">
    <w:abstractNumId w:val="15"/>
  </w:num>
  <w:num w:numId="34">
    <w:abstractNumId w:val="25"/>
  </w:num>
  <w:num w:numId="35">
    <w:abstractNumId w:val="17"/>
  </w:num>
  <w:num w:numId="36">
    <w:abstractNumId w:val="22"/>
  </w:num>
  <w:num w:numId="37">
    <w:abstractNumId w:val="26"/>
  </w:num>
  <w:num w:numId="38">
    <w:abstractNumId w:val="13"/>
  </w:num>
  <w:num w:numId="39">
    <w:abstractNumId w:val="1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A8"/>
    <w:rsid w:val="0000106E"/>
    <w:rsid w:val="000148CC"/>
    <w:rsid w:val="00044FFE"/>
    <w:rsid w:val="0006052F"/>
    <w:rsid w:val="000678CA"/>
    <w:rsid w:val="000872A8"/>
    <w:rsid w:val="000A6162"/>
    <w:rsid w:val="000B530F"/>
    <w:rsid w:val="000E79AC"/>
    <w:rsid w:val="000F1C40"/>
    <w:rsid w:val="000F581B"/>
    <w:rsid w:val="00127898"/>
    <w:rsid w:val="001375E9"/>
    <w:rsid w:val="00137D1D"/>
    <w:rsid w:val="001456FD"/>
    <w:rsid w:val="00163012"/>
    <w:rsid w:val="00171964"/>
    <w:rsid w:val="0017321C"/>
    <w:rsid w:val="00174CFF"/>
    <w:rsid w:val="001B110C"/>
    <w:rsid w:val="001C6413"/>
    <w:rsid w:val="00221E99"/>
    <w:rsid w:val="00223B60"/>
    <w:rsid w:val="002267BA"/>
    <w:rsid w:val="002419F9"/>
    <w:rsid w:val="00246B39"/>
    <w:rsid w:val="00257395"/>
    <w:rsid w:val="00257F54"/>
    <w:rsid w:val="00261FEC"/>
    <w:rsid w:val="002630B1"/>
    <w:rsid w:val="00283186"/>
    <w:rsid w:val="002F4A4F"/>
    <w:rsid w:val="0031422E"/>
    <w:rsid w:val="00321E07"/>
    <w:rsid w:val="00327298"/>
    <w:rsid w:val="003300FC"/>
    <w:rsid w:val="00337EE8"/>
    <w:rsid w:val="003513BF"/>
    <w:rsid w:val="00354E97"/>
    <w:rsid w:val="00362E5D"/>
    <w:rsid w:val="0036327C"/>
    <w:rsid w:val="00374230"/>
    <w:rsid w:val="00376122"/>
    <w:rsid w:val="003858BC"/>
    <w:rsid w:val="003A0F88"/>
    <w:rsid w:val="003A4FB5"/>
    <w:rsid w:val="003A6F40"/>
    <w:rsid w:val="003B4403"/>
    <w:rsid w:val="003D6A8A"/>
    <w:rsid w:val="003E2C34"/>
    <w:rsid w:val="003F689C"/>
    <w:rsid w:val="00415F51"/>
    <w:rsid w:val="00431267"/>
    <w:rsid w:val="00447624"/>
    <w:rsid w:val="00486C72"/>
    <w:rsid w:val="004D41F2"/>
    <w:rsid w:val="004E6A63"/>
    <w:rsid w:val="004F4E4D"/>
    <w:rsid w:val="00533596"/>
    <w:rsid w:val="005B5110"/>
    <w:rsid w:val="005F5AF7"/>
    <w:rsid w:val="00625C48"/>
    <w:rsid w:val="0068241D"/>
    <w:rsid w:val="006C47FF"/>
    <w:rsid w:val="006D05A4"/>
    <w:rsid w:val="006E4C18"/>
    <w:rsid w:val="007508A9"/>
    <w:rsid w:val="00787808"/>
    <w:rsid w:val="00796DDA"/>
    <w:rsid w:val="007B0A96"/>
    <w:rsid w:val="007E3FB5"/>
    <w:rsid w:val="00817DBD"/>
    <w:rsid w:val="008279F1"/>
    <w:rsid w:val="00830525"/>
    <w:rsid w:val="00856FA5"/>
    <w:rsid w:val="00861970"/>
    <w:rsid w:val="00885474"/>
    <w:rsid w:val="00891D22"/>
    <w:rsid w:val="008A1AB8"/>
    <w:rsid w:val="008A6A48"/>
    <w:rsid w:val="008C6149"/>
    <w:rsid w:val="008D4889"/>
    <w:rsid w:val="008E066A"/>
    <w:rsid w:val="008F6477"/>
    <w:rsid w:val="00902801"/>
    <w:rsid w:val="00907253"/>
    <w:rsid w:val="00910ED3"/>
    <w:rsid w:val="00916961"/>
    <w:rsid w:val="00930A57"/>
    <w:rsid w:val="009454B2"/>
    <w:rsid w:val="00947CEB"/>
    <w:rsid w:val="00963AAD"/>
    <w:rsid w:val="0097293B"/>
    <w:rsid w:val="00972B90"/>
    <w:rsid w:val="00993B11"/>
    <w:rsid w:val="009A42C8"/>
    <w:rsid w:val="009B5756"/>
    <w:rsid w:val="009C18EA"/>
    <w:rsid w:val="009F7D5D"/>
    <w:rsid w:val="00A629CA"/>
    <w:rsid w:val="00A70E2C"/>
    <w:rsid w:val="00A724CE"/>
    <w:rsid w:val="00A90837"/>
    <w:rsid w:val="00AC3F68"/>
    <w:rsid w:val="00AC4F5D"/>
    <w:rsid w:val="00AD4002"/>
    <w:rsid w:val="00AD4454"/>
    <w:rsid w:val="00B10346"/>
    <w:rsid w:val="00B24DE3"/>
    <w:rsid w:val="00B41371"/>
    <w:rsid w:val="00B42002"/>
    <w:rsid w:val="00B43FD0"/>
    <w:rsid w:val="00B52650"/>
    <w:rsid w:val="00B723F0"/>
    <w:rsid w:val="00B90D43"/>
    <w:rsid w:val="00BA2227"/>
    <w:rsid w:val="00BF54FC"/>
    <w:rsid w:val="00C17CD7"/>
    <w:rsid w:val="00C21F6D"/>
    <w:rsid w:val="00C23A9A"/>
    <w:rsid w:val="00C24F07"/>
    <w:rsid w:val="00C52484"/>
    <w:rsid w:val="00C963DE"/>
    <w:rsid w:val="00CE224A"/>
    <w:rsid w:val="00D105A9"/>
    <w:rsid w:val="00D13068"/>
    <w:rsid w:val="00D40B65"/>
    <w:rsid w:val="00D41DE0"/>
    <w:rsid w:val="00D55A00"/>
    <w:rsid w:val="00D607D3"/>
    <w:rsid w:val="00D75A8B"/>
    <w:rsid w:val="00D9070F"/>
    <w:rsid w:val="00DE6DA8"/>
    <w:rsid w:val="00DF4966"/>
    <w:rsid w:val="00E021BD"/>
    <w:rsid w:val="00E2061B"/>
    <w:rsid w:val="00E42D4A"/>
    <w:rsid w:val="00E9222A"/>
    <w:rsid w:val="00E95F17"/>
    <w:rsid w:val="00E96CB0"/>
    <w:rsid w:val="00EA0A48"/>
    <w:rsid w:val="00EA154F"/>
    <w:rsid w:val="00EB5D38"/>
    <w:rsid w:val="00EB7BCC"/>
    <w:rsid w:val="00ED320E"/>
    <w:rsid w:val="00EE03F1"/>
    <w:rsid w:val="00EE0493"/>
    <w:rsid w:val="00EF229D"/>
    <w:rsid w:val="00F11192"/>
    <w:rsid w:val="00F15310"/>
    <w:rsid w:val="00F24F80"/>
    <w:rsid w:val="00F40D25"/>
    <w:rsid w:val="00F87A21"/>
    <w:rsid w:val="00FA19EC"/>
    <w:rsid w:val="00FB6BB1"/>
    <w:rsid w:val="00FC4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7253"/>
    <w:pPr>
      <w:spacing w:line="260" w:lineRule="atLeast"/>
    </w:pPr>
    <w:rPr>
      <w:rFonts w:eastAsiaTheme="minorHAnsi" w:cstheme="minorBidi"/>
      <w:sz w:val="22"/>
      <w:lang w:eastAsia="en-US"/>
    </w:rPr>
  </w:style>
  <w:style w:type="paragraph" w:styleId="Heading1">
    <w:name w:val="heading 1"/>
    <w:next w:val="Heading2"/>
    <w:autoRedefine/>
    <w:qFormat/>
    <w:rsid w:val="00163012"/>
    <w:pPr>
      <w:keepNext/>
      <w:keepLines/>
      <w:ind w:left="1134" w:hanging="1134"/>
      <w:outlineLvl w:val="0"/>
    </w:pPr>
    <w:rPr>
      <w:b/>
      <w:bCs/>
      <w:kern w:val="28"/>
      <w:sz w:val="36"/>
      <w:szCs w:val="32"/>
    </w:rPr>
  </w:style>
  <w:style w:type="paragraph" w:styleId="Heading2">
    <w:name w:val="heading 2"/>
    <w:basedOn w:val="Heading1"/>
    <w:next w:val="Heading3"/>
    <w:autoRedefine/>
    <w:qFormat/>
    <w:rsid w:val="00163012"/>
    <w:pPr>
      <w:spacing w:before="280"/>
      <w:outlineLvl w:val="1"/>
    </w:pPr>
    <w:rPr>
      <w:bCs w:val="0"/>
      <w:iCs/>
      <w:sz w:val="32"/>
      <w:szCs w:val="28"/>
    </w:rPr>
  </w:style>
  <w:style w:type="paragraph" w:styleId="Heading3">
    <w:name w:val="heading 3"/>
    <w:basedOn w:val="Heading1"/>
    <w:next w:val="Heading4"/>
    <w:autoRedefine/>
    <w:qFormat/>
    <w:rsid w:val="00163012"/>
    <w:pPr>
      <w:spacing w:before="240"/>
      <w:outlineLvl w:val="2"/>
    </w:pPr>
    <w:rPr>
      <w:bCs w:val="0"/>
      <w:sz w:val="28"/>
      <w:szCs w:val="26"/>
    </w:rPr>
  </w:style>
  <w:style w:type="paragraph" w:styleId="Heading4">
    <w:name w:val="heading 4"/>
    <w:basedOn w:val="Heading1"/>
    <w:next w:val="Heading5"/>
    <w:autoRedefine/>
    <w:qFormat/>
    <w:rsid w:val="00163012"/>
    <w:pPr>
      <w:spacing w:before="220"/>
      <w:outlineLvl w:val="3"/>
    </w:pPr>
    <w:rPr>
      <w:bCs w:val="0"/>
      <w:sz w:val="26"/>
      <w:szCs w:val="28"/>
    </w:rPr>
  </w:style>
  <w:style w:type="paragraph" w:styleId="Heading5">
    <w:name w:val="heading 5"/>
    <w:basedOn w:val="Heading1"/>
    <w:next w:val="subsection"/>
    <w:autoRedefine/>
    <w:qFormat/>
    <w:rsid w:val="00163012"/>
    <w:pPr>
      <w:spacing w:before="280"/>
      <w:outlineLvl w:val="4"/>
    </w:pPr>
    <w:rPr>
      <w:bCs w:val="0"/>
      <w:iCs/>
      <w:sz w:val="24"/>
      <w:szCs w:val="26"/>
    </w:rPr>
  </w:style>
  <w:style w:type="paragraph" w:styleId="Heading6">
    <w:name w:val="heading 6"/>
    <w:basedOn w:val="Heading1"/>
    <w:next w:val="Heading7"/>
    <w:autoRedefine/>
    <w:qFormat/>
    <w:rsid w:val="00163012"/>
    <w:pPr>
      <w:outlineLvl w:val="5"/>
    </w:pPr>
    <w:rPr>
      <w:rFonts w:ascii="Arial" w:hAnsi="Arial" w:cs="Arial"/>
      <w:bCs w:val="0"/>
      <w:sz w:val="32"/>
      <w:szCs w:val="22"/>
    </w:rPr>
  </w:style>
  <w:style w:type="paragraph" w:styleId="Heading7">
    <w:name w:val="heading 7"/>
    <w:basedOn w:val="Heading6"/>
    <w:next w:val="Normal"/>
    <w:autoRedefine/>
    <w:qFormat/>
    <w:rsid w:val="00163012"/>
    <w:pPr>
      <w:spacing w:before="280"/>
      <w:outlineLvl w:val="6"/>
    </w:pPr>
    <w:rPr>
      <w:sz w:val="28"/>
    </w:rPr>
  </w:style>
  <w:style w:type="paragraph" w:styleId="Heading8">
    <w:name w:val="heading 8"/>
    <w:basedOn w:val="Heading6"/>
    <w:next w:val="Normal"/>
    <w:autoRedefine/>
    <w:qFormat/>
    <w:rsid w:val="00163012"/>
    <w:pPr>
      <w:spacing w:before="240"/>
      <w:outlineLvl w:val="7"/>
    </w:pPr>
    <w:rPr>
      <w:iCs/>
      <w:sz w:val="26"/>
    </w:rPr>
  </w:style>
  <w:style w:type="paragraph" w:styleId="Heading9">
    <w:name w:val="heading 9"/>
    <w:basedOn w:val="Heading1"/>
    <w:next w:val="Normal"/>
    <w:autoRedefine/>
    <w:qFormat/>
    <w:rsid w:val="00163012"/>
    <w:pPr>
      <w:keepNext w:val="0"/>
      <w:spacing w:before="280"/>
      <w:outlineLvl w:val="8"/>
    </w:pPr>
    <w:rPr>
      <w:i/>
      <w:sz w:val="28"/>
      <w:szCs w:val="22"/>
    </w:rPr>
  </w:style>
  <w:style w:type="character" w:default="1" w:styleId="DefaultParagraphFont">
    <w:name w:val="Default Paragraph Font"/>
    <w:uiPriority w:val="1"/>
    <w:unhideWhenUsed/>
    <w:rsid w:val="009072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253"/>
  </w:style>
  <w:style w:type="paragraph" w:customStyle="1" w:styleId="Actno">
    <w:name w:val="Actno"/>
    <w:basedOn w:val="ShortT"/>
    <w:next w:val="Normal"/>
    <w:link w:val="ActnoChar"/>
    <w:qFormat/>
    <w:rsid w:val="00907253"/>
  </w:style>
  <w:style w:type="paragraph" w:customStyle="1" w:styleId="BoxHeadBold">
    <w:name w:val="BoxHeadBold"/>
    <w:aliases w:val="bhb"/>
    <w:basedOn w:val="BoxText"/>
    <w:next w:val="BoxText"/>
    <w:qFormat/>
    <w:rsid w:val="00907253"/>
    <w:rPr>
      <w:b/>
    </w:rPr>
  </w:style>
  <w:style w:type="paragraph" w:customStyle="1" w:styleId="BoxList">
    <w:name w:val="BoxList"/>
    <w:aliases w:val="bl"/>
    <w:basedOn w:val="BoxText"/>
    <w:qFormat/>
    <w:rsid w:val="00907253"/>
    <w:pPr>
      <w:ind w:left="1559" w:hanging="425"/>
    </w:pPr>
  </w:style>
  <w:style w:type="paragraph" w:customStyle="1" w:styleId="BoxPara">
    <w:name w:val="BoxPara"/>
    <w:aliases w:val="bp"/>
    <w:basedOn w:val="BoxText"/>
    <w:qFormat/>
    <w:rsid w:val="00907253"/>
    <w:pPr>
      <w:tabs>
        <w:tab w:val="right" w:pos="2268"/>
      </w:tabs>
      <w:ind w:left="2552" w:hanging="1418"/>
    </w:pPr>
  </w:style>
  <w:style w:type="paragraph" w:customStyle="1" w:styleId="BoxText">
    <w:name w:val="BoxText"/>
    <w:aliases w:val="bt"/>
    <w:basedOn w:val="OPCParaBase"/>
    <w:qFormat/>
    <w:rsid w:val="0090725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907253"/>
  </w:style>
  <w:style w:type="character" w:customStyle="1" w:styleId="CharAmPartText">
    <w:name w:val="CharAmPartText"/>
    <w:basedOn w:val="OPCCharBase"/>
    <w:qFormat/>
    <w:rsid w:val="00907253"/>
  </w:style>
  <w:style w:type="character" w:customStyle="1" w:styleId="CharAmSchNo">
    <w:name w:val="CharAmSchNo"/>
    <w:basedOn w:val="OPCCharBase"/>
    <w:qFormat/>
    <w:rsid w:val="00907253"/>
  </w:style>
  <w:style w:type="character" w:customStyle="1" w:styleId="CharAmSchText">
    <w:name w:val="CharAmSchText"/>
    <w:basedOn w:val="OPCCharBase"/>
    <w:qFormat/>
    <w:rsid w:val="00907253"/>
  </w:style>
  <w:style w:type="character" w:customStyle="1" w:styleId="CharBoldItalic">
    <w:name w:val="CharBoldItalic"/>
    <w:basedOn w:val="OPCCharBase"/>
    <w:uiPriority w:val="1"/>
    <w:qFormat/>
    <w:rsid w:val="00907253"/>
    <w:rPr>
      <w:b/>
      <w:i/>
    </w:rPr>
  </w:style>
  <w:style w:type="character" w:customStyle="1" w:styleId="CharChapNo">
    <w:name w:val="CharChapNo"/>
    <w:basedOn w:val="OPCCharBase"/>
    <w:qFormat/>
    <w:rsid w:val="00907253"/>
  </w:style>
  <w:style w:type="character" w:customStyle="1" w:styleId="CharChapText">
    <w:name w:val="CharChapText"/>
    <w:basedOn w:val="OPCCharBase"/>
    <w:qFormat/>
    <w:rsid w:val="00907253"/>
  </w:style>
  <w:style w:type="character" w:customStyle="1" w:styleId="CharDivNo">
    <w:name w:val="CharDivNo"/>
    <w:basedOn w:val="OPCCharBase"/>
    <w:qFormat/>
    <w:rsid w:val="00907253"/>
  </w:style>
  <w:style w:type="character" w:customStyle="1" w:styleId="CharDivText">
    <w:name w:val="CharDivText"/>
    <w:basedOn w:val="OPCCharBase"/>
    <w:qFormat/>
    <w:rsid w:val="00907253"/>
  </w:style>
  <w:style w:type="character" w:customStyle="1" w:styleId="CharPartNo">
    <w:name w:val="CharPartNo"/>
    <w:basedOn w:val="OPCCharBase"/>
    <w:qFormat/>
    <w:rsid w:val="00907253"/>
  </w:style>
  <w:style w:type="character" w:customStyle="1" w:styleId="CharPartText">
    <w:name w:val="CharPartText"/>
    <w:basedOn w:val="OPCCharBase"/>
    <w:qFormat/>
    <w:rsid w:val="00907253"/>
  </w:style>
  <w:style w:type="character" w:customStyle="1" w:styleId="CharSectno">
    <w:name w:val="CharSectno"/>
    <w:basedOn w:val="OPCCharBase"/>
    <w:qFormat/>
    <w:rsid w:val="00907253"/>
  </w:style>
  <w:style w:type="character" w:customStyle="1" w:styleId="CharSubdNo">
    <w:name w:val="CharSubdNo"/>
    <w:basedOn w:val="OPCCharBase"/>
    <w:uiPriority w:val="1"/>
    <w:qFormat/>
    <w:rsid w:val="00907253"/>
  </w:style>
  <w:style w:type="character" w:customStyle="1" w:styleId="CharSubdText">
    <w:name w:val="CharSubdText"/>
    <w:basedOn w:val="OPCCharBase"/>
    <w:uiPriority w:val="1"/>
    <w:qFormat/>
    <w:rsid w:val="00907253"/>
  </w:style>
  <w:style w:type="paragraph" w:customStyle="1" w:styleId="Blocks">
    <w:name w:val="Blocks"/>
    <w:aliases w:val="bb"/>
    <w:basedOn w:val="OPCParaBase"/>
    <w:qFormat/>
    <w:rsid w:val="00907253"/>
    <w:pPr>
      <w:spacing w:line="240" w:lineRule="auto"/>
    </w:pPr>
    <w:rPr>
      <w:sz w:val="24"/>
    </w:rPr>
  </w:style>
  <w:style w:type="paragraph" w:customStyle="1" w:styleId="BoxHeadItalic">
    <w:name w:val="BoxHeadItalic"/>
    <w:aliases w:val="bhi"/>
    <w:basedOn w:val="BoxText"/>
    <w:next w:val="BoxStep"/>
    <w:qFormat/>
    <w:rsid w:val="00907253"/>
    <w:rPr>
      <w:i/>
    </w:rPr>
  </w:style>
  <w:style w:type="paragraph" w:customStyle="1" w:styleId="BoxNote">
    <w:name w:val="BoxNote"/>
    <w:aliases w:val="bn"/>
    <w:basedOn w:val="BoxText"/>
    <w:qFormat/>
    <w:rsid w:val="00907253"/>
    <w:pPr>
      <w:tabs>
        <w:tab w:val="left" w:pos="1985"/>
      </w:tabs>
      <w:spacing w:before="122" w:line="198" w:lineRule="exact"/>
      <w:ind w:left="2948" w:hanging="1814"/>
    </w:pPr>
    <w:rPr>
      <w:sz w:val="18"/>
    </w:rPr>
  </w:style>
  <w:style w:type="paragraph" w:customStyle="1" w:styleId="BoxStep">
    <w:name w:val="BoxStep"/>
    <w:aliases w:val="bs"/>
    <w:basedOn w:val="BoxText"/>
    <w:qFormat/>
    <w:rsid w:val="00907253"/>
    <w:pPr>
      <w:ind w:left="1985" w:hanging="851"/>
    </w:pPr>
  </w:style>
  <w:style w:type="paragraph" w:customStyle="1" w:styleId="Definition">
    <w:name w:val="Definition"/>
    <w:aliases w:val="dd"/>
    <w:basedOn w:val="OPCParaBase"/>
    <w:rsid w:val="00907253"/>
    <w:pPr>
      <w:spacing w:before="180" w:line="240" w:lineRule="auto"/>
      <w:ind w:left="1134"/>
    </w:pPr>
  </w:style>
  <w:style w:type="paragraph" w:customStyle="1" w:styleId="House">
    <w:name w:val="House"/>
    <w:basedOn w:val="OPCParaBase"/>
    <w:rsid w:val="00907253"/>
    <w:pPr>
      <w:spacing w:line="240" w:lineRule="auto"/>
    </w:pPr>
    <w:rPr>
      <w:sz w:val="28"/>
    </w:rPr>
  </w:style>
  <w:style w:type="paragraph" w:customStyle="1" w:styleId="paragraph">
    <w:name w:val="paragraph"/>
    <w:aliases w:val="a"/>
    <w:basedOn w:val="OPCParaBase"/>
    <w:rsid w:val="00907253"/>
    <w:pPr>
      <w:tabs>
        <w:tab w:val="right" w:pos="1531"/>
      </w:tabs>
      <w:spacing w:before="40" w:line="240" w:lineRule="auto"/>
      <w:ind w:left="1644" w:hanging="1644"/>
    </w:pPr>
  </w:style>
  <w:style w:type="paragraph" w:customStyle="1" w:styleId="paragraphsub">
    <w:name w:val="paragraph(sub)"/>
    <w:aliases w:val="aa"/>
    <w:basedOn w:val="OPCParaBase"/>
    <w:rsid w:val="00907253"/>
    <w:pPr>
      <w:tabs>
        <w:tab w:val="right" w:pos="1985"/>
      </w:tabs>
      <w:spacing w:before="40" w:line="240" w:lineRule="auto"/>
      <w:ind w:left="2098" w:hanging="2098"/>
    </w:pPr>
  </w:style>
  <w:style w:type="paragraph" w:customStyle="1" w:styleId="Formula">
    <w:name w:val="Formula"/>
    <w:basedOn w:val="OPCParaBase"/>
    <w:rsid w:val="00907253"/>
    <w:pPr>
      <w:spacing w:line="240" w:lineRule="auto"/>
      <w:ind w:left="1134"/>
    </w:pPr>
    <w:rPr>
      <w:sz w:val="20"/>
    </w:rPr>
  </w:style>
  <w:style w:type="paragraph" w:customStyle="1" w:styleId="paragraphsub-sub">
    <w:name w:val="paragraph(sub-sub)"/>
    <w:aliases w:val="aaa"/>
    <w:basedOn w:val="OPCParaBase"/>
    <w:rsid w:val="00907253"/>
    <w:pPr>
      <w:tabs>
        <w:tab w:val="right" w:pos="2722"/>
      </w:tabs>
      <w:spacing w:before="40" w:line="240" w:lineRule="auto"/>
      <w:ind w:left="2835" w:hanging="2835"/>
    </w:pPr>
  </w:style>
  <w:style w:type="paragraph" w:customStyle="1" w:styleId="Item">
    <w:name w:val="Item"/>
    <w:aliases w:val="i"/>
    <w:basedOn w:val="OPCParaBase"/>
    <w:next w:val="ItemHead"/>
    <w:rsid w:val="00907253"/>
    <w:pPr>
      <w:keepLines/>
      <w:spacing w:before="80" w:line="240" w:lineRule="auto"/>
      <w:ind w:left="709"/>
    </w:pPr>
  </w:style>
  <w:style w:type="paragraph" w:customStyle="1" w:styleId="ItemHead">
    <w:name w:val="ItemHead"/>
    <w:aliases w:val="ih"/>
    <w:basedOn w:val="OPCParaBase"/>
    <w:next w:val="Item"/>
    <w:rsid w:val="0090725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907253"/>
    <w:pPr>
      <w:spacing w:before="240" w:line="240" w:lineRule="auto"/>
      <w:ind w:left="284" w:hanging="284"/>
    </w:pPr>
    <w:rPr>
      <w:i/>
      <w:sz w:val="24"/>
    </w:rPr>
  </w:style>
  <w:style w:type="paragraph" w:customStyle="1" w:styleId="notepara">
    <w:name w:val="note(para)"/>
    <w:aliases w:val="na"/>
    <w:basedOn w:val="OPCParaBase"/>
    <w:rsid w:val="00907253"/>
    <w:pPr>
      <w:spacing w:before="40" w:line="198" w:lineRule="exact"/>
      <w:ind w:left="2354" w:hanging="369"/>
    </w:pPr>
    <w:rPr>
      <w:sz w:val="18"/>
    </w:rPr>
  </w:style>
  <w:style w:type="paragraph" w:customStyle="1" w:styleId="LongT">
    <w:name w:val="LongT"/>
    <w:basedOn w:val="OPCParaBase"/>
    <w:rsid w:val="00907253"/>
    <w:pPr>
      <w:spacing w:line="240" w:lineRule="auto"/>
    </w:pPr>
    <w:rPr>
      <w:b/>
      <w:sz w:val="32"/>
    </w:rPr>
  </w:style>
  <w:style w:type="paragraph" w:customStyle="1" w:styleId="notemargin">
    <w:name w:val="note(margin)"/>
    <w:aliases w:val="nm"/>
    <w:basedOn w:val="OPCParaBase"/>
    <w:rsid w:val="0090725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07253"/>
    <w:pPr>
      <w:spacing w:line="240" w:lineRule="auto"/>
      <w:jc w:val="right"/>
    </w:pPr>
    <w:rPr>
      <w:rFonts w:ascii="Arial" w:hAnsi="Arial"/>
      <w:b/>
      <w:i/>
    </w:rPr>
  </w:style>
  <w:style w:type="paragraph" w:customStyle="1" w:styleId="Page1">
    <w:name w:val="Page1"/>
    <w:basedOn w:val="OPCParaBase"/>
    <w:rsid w:val="00907253"/>
    <w:pPr>
      <w:spacing w:before="5600" w:line="240" w:lineRule="auto"/>
    </w:pPr>
    <w:rPr>
      <w:b/>
      <w:sz w:val="32"/>
    </w:rPr>
  </w:style>
  <w:style w:type="paragraph" w:customStyle="1" w:styleId="EnStatement">
    <w:name w:val="EnStatement"/>
    <w:basedOn w:val="Normal"/>
    <w:rsid w:val="00907253"/>
    <w:pPr>
      <w:numPr>
        <w:numId w:val="40"/>
      </w:numPr>
    </w:pPr>
    <w:rPr>
      <w:rFonts w:eastAsia="Times New Roman" w:cs="Times New Roman"/>
      <w:lang w:eastAsia="en-AU"/>
    </w:rPr>
  </w:style>
  <w:style w:type="paragraph" w:customStyle="1" w:styleId="Penalty">
    <w:name w:val="Penalty"/>
    <w:basedOn w:val="OPCParaBase"/>
    <w:rsid w:val="00907253"/>
    <w:pPr>
      <w:tabs>
        <w:tab w:val="left" w:pos="2977"/>
      </w:tabs>
      <w:spacing w:before="180" w:line="240" w:lineRule="auto"/>
      <w:ind w:left="1985" w:hanging="851"/>
    </w:pPr>
  </w:style>
  <w:style w:type="paragraph" w:customStyle="1" w:styleId="Portfolio">
    <w:name w:val="Portfolio"/>
    <w:basedOn w:val="OPCParaBase"/>
    <w:rsid w:val="00907253"/>
    <w:pPr>
      <w:spacing w:line="240" w:lineRule="auto"/>
    </w:pPr>
    <w:rPr>
      <w:i/>
      <w:sz w:val="20"/>
    </w:rPr>
  </w:style>
  <w:style w:type="paragraph" w:customStyle="1" w:styleId="Reading">
    <w:name w:val="Reading"/>
    <w:basedOn w:val="OPCParaBase"/>
    <w:rsid w:val="00907253"/>
    <w:pPr>
      <w:spacing w:line="240" w:lineRule="auto"/>
    </w:pPr>
    <w:rPr>
      <w:i/>
      <w:sz w:val="20"/>
    </w:rPr>
  </w:style>
  <w:style w:type="paragraph" w:customStyle="1" w:styleId="EnStatementHeading">
    <w:name w:val="EnStatementHeading"/>
    <w:basedOn w:val="Normal"/>
    <w:rsid w:val="00907253"/>
    <w:rPr>
      <w:rFonts w:eastAsia="Times New Roman" w:cs="Times New Roman"/>
      <w:b/>
      <w:lang w:eastAsia="en-AU"/>
    </w:rPr>
  </w:style>
  <w:style w:type="paragraph" w:customStyle="1" w:styleId="ShortT">
    <w:name w:val="ShortT"/>
    <w:basedOn w:val="OPCParaBase"/>
    <w:next w:val="Normal"/>
    <w:link w:val="ShortTChar"/>
    <w:qFormat/>
    <w:rsid w:val="00907253"/>
    <w:pPr>
      <w:spacing w:line="240" w:lineRule="auto"/>
    </w:pPr>
    <w:rPr>
      <w:b/>
      <w:sz w:val="40"/>
    </w:rPr>
  </w:style>
  <w:style w:type="paragraph" w:customStyle="1" w:styleId="Sponsor">
    <w:name w:val="Sponsor"/>
    <w:basedOn w:val="OPCParaBase"/>
    <w:rsid w:val="00907253"/>
    <w:pPr>
      <w:spacing w:line="240" w:lineRule="auto"/>
    </w:pPr>
    <w:rPr>
      <w:i/>
    </w:rPr>
  </w:style>
  <w:style w:type="paragraph" w:customStyle="1" w:styleId="Subitem">
    <w:name w:val="Subitem"/>
    <w:aliases w:val="iss"/>
    <w:basedOn w:val="OPCParaBase"/>
    <w:rsid w:val="00907253"/>
    <w:pPr>
      <w:spacing w:before="180" w:line="240" w:lineRule="auto"/>
      <w:ind w:left="709" w:hanging="709"/>
    </w:pPr>
  </w:style>
  <w:style w:type="paragraph" w:customStyle="1" w:styleId="subsection">
    <w:name w:val="subsection"/>
    <w:aliases w:val="ss"/>
    <w:basedOn w:val="OPCParaBase"/>
    <w:rsid w:val="0090725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907253"/>
    <w:pPr>
      <w:keepNext/>
      <w:keepLines/>
      <w:spacing w:before="240" w:line="240" w:lineRule="auto"/>
      <w:ind w:left="1134"/>
    </w:pPr>
    <w:rPr>
      <w:i/>
    </w:rPr>
  </w:style>
  <w:style w:type="paragraph" w:customStyle="1" w:styleId="Tablea">
    <w:name w:val="Table(a)"/>
    <w:aliases w:val="ta"/>
    <w:basedOn w:val="OPCParaBase"/>
    <w:rsid w:val="00907253"/>
    <w:pPr>
      <w:spacing w:before="60" w:line="240" w:lineRule="auto"/>
      <w:ind w:left="284" w:hanging="284"/>
    </w:pPr>
    <w:rPr>
      <w:sz w:val="20"/>
    </w:rPr>
  </w:style>
  <w:style w:type="paragraph" w:customStyle="1" w:styleId="Tablei">
    <w:name w:val="Table(i)"/>
    <w:aliases w:val="taa"/>
    <w:basedOn w:val="OPCParaBase"/>
    <w:rsid w:val="00907253"/>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907253"/>
    <w:pPr>
      <w:spacing w:before="122" w:line="198" w:lineRule="exact"/>
      <w:ind w:left="1985" w:hanging="851"/>
      <w:jc w:val="right"/>
    </w:pPr>
    <w:rPr>
      <w:sz w:val="18"/>
    </w:rPr>
  </w:style>
  <w:style w:type="paragraph" w:customStyle="1" w:styleId="notetext">
    <w:name w:val="note(text)"/>
    <w:aliases w:val="n"/>
    <w:basedOn w:val="OPCParaBase"/>
    <w:rsid w:val="00907253"/>
    <w:pPr>
      <w:spacing w:before="122" w:line="240" w:lineRule="auto"/>
      <w:ind w:left="1985" w:hanging="851"/>
    </w:pPr>
    <w:rPr>
      <w:sz w:val="18"/>
    </w:rPr>
  </w:style>
  <w:style w:type="paragraph" w:customStyle="1" w:styleId="PageBreak">
    <w:name w:val="PageBreak"/>
    <w:aliases w:val="pb"/>
    <w:basedOn w:val="OPCParaBase"/>
    <w:rsid w:val="00907253"/>
    <w:pPr>
      <w:spacing w:line="240" w:lineRule="auto"/>
    </w:pPr>
    <w:rPr>
      <w:sz w:val="20"/>
    </w:rPr>
  </w:style>
  <w:style w:type="paragraph" w:customStyle="1" w:styleId="ParlAmend">
    <w:name w:val="ParlAmend"/>
    <w:aliases w:val="pp"/>
    <w:basedOn w:val="OPCParaBase"/>
    <w:rsid w:val="00907253"/>
    <w:pPr>
      <w:spacing w:before="240" w:line="240" w:lineRule="atLeast"/>
      <w:ind w:hanging="567"/>
    </w:pPr>
    <w:rPr>
      <w:sz w:val="24"/>
    </w:rPr>
  </w:style>
  <w:style w:type="paragraph" w:customStyle="1" w:styleId="Preamble">
    <w:name w:val="Preamble"/>
    <w:basedOn w:val="OPCParaBase"/>
    <w:next w:val="Normal"/>
    <w:rsid w:val="0090725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907253"/>
    <w:pPr>
      <w:spacing w:line="240" w:lineRule="auto"/>
    </w:pPr>
    <w:rPr>
      <w:sz w:val="28"/>
    </w:rPr>
  </w:style>
  <w:style w:type="paragraph" w:customStyle="1" w:styleId="SubitemHead">
    <w:name w:val="SubitemHead"/>
    <w:aliases w:val="issh"/>
    <w:basedOn w:val="OPCParaBase"/>
    <w:rsid w:val="009072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7253"/>
    <w:pPr>
      <w:spacing w:before="40" w:line="240" w:lineRule="auto"/>
      <w:ind w:left="1134"/>
    </w:pPr>
  </w:style>
  <w:style w:type="paragraph" w:customStyle="1" w:styleId="TableAA">
    <w:name w:val="Table(AA)"/>
    <w:aliases w:val="taaa"/>
    <w:basedOn w:val="OPCParaBase"/>
    <w:rsid w:val="0090725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07253"/>
    <w:pPr>
      <w:spacing w:before="60" w:line="240" w:lineRule="atLeast"/>
    </w:pPr>
    <w:rPr>
      <w:sz w:val="20"/>
    </w:rPr>
  </w:style>
  <w:style w:type="paragraph" w:customStyle="1" w:styleId="TLPBoxTextnote">
    <w:name w:val="TLPBoxText(note"/>
    <w:aliases w:val="right)"/>
    <w:basedOn w:val="OPCParaBase"/>
    <w:rsid w:val="009072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7253"/>
    <w:pPr>
      <w:numPr>
        <w:numId w:val="3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907253"/>
    <w:pPr>
      <w:spacing w:line="240" w:lineRule="exact"/>
      <w:ind w:left="284" w:hanging="284"/>
    </w:pPr>
    <w:rPr>
      <w:sz w:val="20"/>
    </w:rPr>
  </w:style>
  <w:style w:type="paragraph" w:customStyle="1" w:styleId="TofSectsHeading">
    <w:name w:val="TofSects(Heading)"/>
    <w:basedOn w:val="OPCParaBase"/>
    <w:rsid w:val="00907253"/>
    <w:pPr>
      <w:spacing w:before="240" w:after="120" w:line="240" w:lineRule="auto"/>
    </w:pPr>
    <w:rPr>
      <w:b/>
      <w:sz w:val="24"/>
    </w:rPr>
  </w:style>
  <w:style w:type="paragraph" w:customStyle="1" w:styleId="TofSectsSubdiv">
    <w:name w:val="TofSects(Subdiv)"/>
    <w:basedOn w:val="OPCParaBase"/>
    <w:rsid w:val="0090725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907253"/>
    <w:pPr>
      <w:keepLines/>
      <w:spacing w:before="240" w:after="120" w:line="240" w:lineRule="auto"/>
      <w:ind w:left="794"/>
    </w:pPr>
    <w:rPr>
      <w:b/>
      <w:kern w:val="28"/>
      <w:sz w:val="20"/>
    </w:rPr>
  </w:style>
  <w:style w:type="paragraph" w:customStyle="1" w:styleId="TofSectsSection">
    <w:name w:val="TofSects(Section)"/>
    <w:basedOn w:val="OPCParaBase"/>
    <w:rsid w:val="0090725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907253"/>
    <w:pPr>
      <w:spacing w:line="240" w:lineRule="auto"/>
    </w:pPr>
    <w:rPr>
      <w:rFonts w:ascii="Tahoma" w:hAnsi="Tahoma" w:cs="Tahoma"/>
      <w:sz w:val="16"/>
      <w:szCs w:val="16"/>
    </w:rPr>
  </w:style>
  <w:style w:type="paragraph" w:styleId="BlockText">
    <w:name w:val="Block Text"/>
    <w:rsid w:val="00163012"/>
    <w:pPr>
      <w:spacing w:after="120"/>
      <w:ind w:left="1440" w:right="1440"/>
    </w:pPr>
    <w:rPr>
      <w:sz w:val="22"/>
      <w:szCs w:val="24"/>
    </w:rPr>
  </w:style>
  <w:style w:type="paragraph" w:styleId="BodyText">
    <w:name w:val="Body Text"/>
    <w:rsid w:val="00163012"/>
    <w:pPr>
      <w:spacing w:after="120"/>
    </w:pPr>
    <w:rPr>
      <w:sz w:val="22"/>
      <w:szCs w:val="24"/>
    </w:rPr>
  </w:style>
  <w:style w:type="paragraph" w:styleId="BodyText2">
    <w:name w:val="Body Text 2"/>
    <w:rsid w:val="00163012"/>
    <w:pPr>
      <w:spacing w:after="120" w:line="480" w:lineRule="auto"/>
    </w:pPr>
    <w:rPr>
      <w:sz w:val="22"/>
      <w:szCs w:val="24"/>
    </w:rPr>
  </w:style>
  <w:style w:type="paragraph" w:styleId="BodyText3">
    <w:name w:val="Body Text 3"/>
    <w:rsid w:val="00163012"/>
    <w:pPr>
      <w:spacing w:after="120"/>
    </w:pPr>
    <w:rPr>
      <w:sz w:val="16"/>
      <w:szCs w:val="16"/>
    </w:rPr>
  </w:style>
  <w:style w:type="paragraph" w:styleId="BodyTextIndent">
    <w:name w:val="Body Text Indent"/>
    <w:rsid w:val="00163012"/>
    <w:pPr>
      <w:spacing w:after="120"/>
      <w:ind w:left="283"/>
    </w:pPr>
    <w:rPr>
      <w:sz w:val="22"/>
      <w:szCs w:val="24"/>
    </w:rPr>
  </w:style>
  <w:style w:type="paragraph" w:styleId="BodyTextIndent2">
    <w:name w:val="Body Text Indent 2"/>
    <w:rsid w:val="00163012"/>
    <w:pPr>
      <w:spacing w:after="120" w:line="480" w:lineRule="auto"/>
      <w:ind w:left="283"/>
    </w:pPr>
    <w:rPr>
      <w:sz w:val="22"/>
      <w:szCs w:val="24"/>
    </w:rPr>
  </w:style>
  <w:style w:type="paragraph" w:styleId="BodyTextIndent3">
    <w:name w:val="Body Text Indent 3"/>
    <w:rsid w:val="00163012"/>
    <w:pPr>
      <w:spacing w:after="120"/>
      <w:ind w:left="283"/>
    </w:pPr>
    <w:rPr>
      <w:sz w:val="16"/>
      <w:szCs w:val="16"/>
    </w:rPr>
  </w:style>
  <w:style w:type="paragraph" w:styleId="Caption">
    <w:name w:val="caption"/>
    <w:next w:val="Normal"/>
    <w:qFormat/>
    <w:rsid w:val="00163012"/>
    <w:pPr>
      <w:spacing w:before="120" w:after="120"/>
    </w:pPr>
    <w:rPr>
      <w:b/>
      <w:bCs/>
    </w:rPr>
  </w:style>
  <w:style w:type="paragraph" w:styleId="Closing">
    <w:name w:val="Closing"/>
    <w:rsid w:val="00163012"/>
    <w:pPr>
      <w:ind w:left="4252"/>
    </w:pPr>
    <w:rPr>
      <w:sz w:val="22"/>
      <w:szCs w:val="24"/>
    </w:rPr>
  </w:style>
  <w:style w:type="paragraph" w:styleId="CommentText">
    <w:name w:val="annotation text"/>
    <w:rsid w:val="00163012"/>
  </w:style>
  <w:style w:type="paragraph" w:styleId="CommentSubject">
    <w:name w:val="annotation subject"/>
    <w:next w:val="CommentText"/>
    <w:rsid w:val="00163012"/>
    <w:rPr>
      <w:b/>
      <w:bCs/>
      <w:szCs w:val="24"/>
    </w:rPr>
  </w:style>
  <w:style w:type="paragraph" w:styleId="Date">
    <w:name w:val="Date"/>
    <w:next w:val="Normal"/>
    <w:rsid w:val="00163012"/>
    <w:rPr>
      <w:sz w:val="22"/>
      <w:szCs w:val="24"/>
    </w:rPr>
  </w:style>
  <w:style w:type="paragraph" w:styleId="DocumentMap">
    <w:name w:val="Document Map"/>
    <w:rsid w:val="00163012"/>
    <w:pPr>
      <w:shd w:val="clear" w:color="auto" w:fill="000080"/>
    </w:pPr>
    <w:rPr>
      <w:rFonts w:ascii="Tahoma" w:hAnsi="Tahoma" w:cs="Tahoma"/>
      <w:sz w:val="22"/>
      <w:szCs w:val="24"/>
    </w:rPr>
  </w:style>
  <w:style w:type="paragraph" w:styleId="E-mailSignature">
    <w:name w:val="E-mail Signature"/>
    <w:rsid w:val="00163012"/>
    <w:rPr>
      <w:sz w:val="22"/>
      <w:szCs w:val="24"/>
    </w:rPr>
  </w:style>
  <w:style w:type="paragraph" w:styleId="EndnoteText">
    <w:name w:val="endnote text"/>
    <w:rsid w:val="00163012"/>
  </w:style>
  <w:style w:type="paragraph" w:styleId="EnvelopeAddress">
    <w:name w:val="envelope address"/>
    <w:rsid w:val="0016301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63012"/>
    <w:rPr>
      <w:rFonts w:ascii="Arial" w:hAnsi="Arial" w:cs="Arial"/>
    </w:rPr>
  </w:style>
  <w:style w:type="paragraph" w:styleId="Footer">
    <w:name w:val="footer"/>
    <w:link w:val="FooterChar"/>
    <w:rsid w:val="00907253"/>
    <w:pPr>
      <w:tabs>
        <w:tab w:val="center" w:pos="4153"/>
        <w:tab w:val="right" w:pos="8306"/>
      </w:tabs>
    </w:pPr>
    <w:rPr>
      <w:sz w:val="22"/>
      <w:szCs w:val="24"/>
    </w:rPr>
  </w:style>
  <w:style w:type="paragraph" w:styleId="FootnoteText">
    <w:name w:val="footnote text"/>
    <w:rsid w:val="00163012"/>
  </w:style>
  <w:style w:type="paragraph" w:styleId="Header">
    <w:name w:val="header"/>
    <w:basedOn w:val="OPCParaBase"/>
    <w:link w:val="HeaderChar"/>
    <w:unhideWhenUsed/>
    <w:rsid w:val="00907253"/>
    <w:pPr>
      <w:keepNext/>
      <w:keepLines/>
      <w:tabs>
        <w:tab w:val="center" w:pos="4150"/>
        <w:tab w:val="right" w:pos="8307"/>
      </w:tabs>
      <w:spacing w:line="160" w:lineRule="exact"/>
    </w:pPr>
    <w:rPr>
      <w:sz w:val="16"/>
    </w:rPr>
  </w:style>
  <w:style w:type="paragraph" w:styleId="HTMLAddress">
    <w:name w:val="HTML Address"/>
    <w:rsid w:val="00163012"/>
    <w:rPr>
      <w:i/>
      <w:iCs/>
      <w:sz w:val="22"/>
      <w:szCs w:val="24"/>
    </w:rPr>
  </w:style>
  <w:style w:type="paragraph" w:styleId="HTMLPreformatted">
    <w:name w:val="HTML Preformatted"/>
    <w:rsid w:val="00163012"/>
    <w:rPr>
      <w:rFonts w:ascii="Courier New" w:hAnsi="Courier New" w:cs="Courier New"/>
    </w:rPr>
  </w:style>
  <w:style w:type="paragraph" w:styleId="Index1">
    <w:name w:val="index 1"/>
    <w:next w:val="Normal"/>
    <w:rsid w:val="00163012"/>
    <w:pPr>
      <w:ind w:left="220" w:hanging="220"/>
    </w:pPr>
    <w:rPr>
      <w:sz w:val="22"/>
      <w:szCs w:val="24"/>
    </w:rPr>
  </w:style>
  <w:style w:type="paragraph" w:styleId="Index2">
    <w:name w:val="index 2"/>
    <w:next w:val="Normal"/>
    <w:rsid w:val="00163012"/>
    <w:pPr>
      <w:ind w:left="440" w:hanging="220"/>
    </w:pPr>
    <w:rPr>
      <w:sz w:val="22"/>
      <w:szCs w:val="24"/>
    </w:rPr>
  </w:style>
  <w:style w:type="paragraph" w:styleId="Index3">
    <w:name w:val="index 3"/>
    <w:next w:val="Normal"/>
    <w:rsid w:val="00163012"/>
    <w:pPr>
      <w:ind w:left="660" w:hanging="220"/>
    </w:pPr>
    <w:rPr>
      <w:sz w:val="22"/>
      <w:szCs w:val="24"/>
    </w:rPr>
  </w:style>
  <w:style w:type="paragraph" w:styleId="Index4">
    <w:name w:val="index 4"/>
    <w:next w:val="Normal"/>
    <w:rsid w:val="00163012"/>
    <w:pPr>
      <w:ind w:left="880" w:hanging="220"/>
    </w:pPr>
    <w:rPr>
      <w:sz w:val="22"/>
      <w:szCs w:val="24"/>
    </w:rPr>
  </w:style>
  <w:style w:type="paragraph" w:styleId="Index5">
    <w:name w:val="index 5"/>
    <w:next w:val="Normal"/>
    <w:rsid w:val="00163012"/>
    <w:pPr>
      <w:ind w:left="1100" w:hanging="220"/>
    </w:pPr>
    <w:rPr>
      <w:sz w:val="22"/>
      <w:szCs w:val="24"/>
    </w:rPr>
  </w:style>
  <w:style w:type="paragraph" w:styleId="Index6">
    <w:name w:val="index 6"/>
    <w:next w:val="Normal"/>
    <w:rsid w:val="00163012"/>
    <w:pPr>
      <w:ind w:left="1320" w:hanging="220"/>
    </w:pPr>
    <w:rPr>
      <w:sz w:val="22"/>
      <w:szCs w:val="24"/>
    </w:rPr>
  </w:style>
  <w:style w:type="paragraph" w:styleId="Index7">
    <w:name w:val="index 7"/>
    <w:next w:val="Normal"/>
    <w:rsid w:val="00163012"/>
    <w:pPr>
      <w:ind w:left="1540" w:hanging="220"/>
    </w:pPr>
    <w:rPr>
      <w:sz w:val="22"/>
      <w:szCs w:val="24"/>
    </w:rPr>
  </w:style>
  <w:style w:type="paragraph" w:styleId="Index8">
    <w:name w:val="index 8"/>
    <w:next w:val="Normal"/>
    <w:rsid w:val="00163012"/>
    <w:pPr>
      <w:ind w:left="1760" w:hanging="220"/>
    </w:pPr>
    <w:rPr>
      <w:sz w:val="22"/>
      <w:szCs w:val="24"/>
    </w:rPr>
  </w:style>
  <w:style w:type="paragraph" w:styleId="Index9">
    <w:name w:val="index 9"/>
    <w:next w:val="Normal"/>
    <w:rsid w:val="00163012"/>
    <w:pPr>
      <w:ind w:left="1980" w:hanging="220"/>
    </w:pPr>
    <w:rPr>
      <w:sz w:val="22"/>
      <w:szCs w:val="24"/>
    </w:rPr>
  </w:style>
  <w:style w:type="paragraph" w:styleId="IndexHeading">
    <w:name w:val="index heading"/>
    <w:next w:val="Index1"/>
    <w:rsid w:val="00163012"/>
    <w:rPr>
      <w:rFonts w:ascii="Arial" w:hAnsi="Arial" w:cs="Arial"/>
      <w:b/>
      <w:bCs/>
      <w:sz w:val="22"/>
      <w:szCs w:val="24"/>
    </w:rPr>
  </w:style>
  <w:style w:type="paragraph" w:styleId="List">
    <w:name w:val="List"/>
    <w:rsid w:val="00163012"/>
    <w:pPr>
      <w:ind w:left="283" w:hanging="283"/>
    </w:pPr>
    <w:rPr>
      <w:sz w:val="22"/>
      <w:szCs w:val="24"/>
    </w:rPr>
  </w:style>
  <w:style w:type="paragraph" w:styleId="List2">
    <w:name w:val="List 2"/>
    <w:rsid w:val="00163012"/>
    <w:pPr>
      <w:ind w:left="566" w:hanging="283"/>
    </w:pPr>
    <w:rPr>
      <w:sz w:val="22"/>
      <w:szCs w:val="24"/>
    </w:rPr>
  </w:style>
  <w:style w:type="paragraph" w:styleId="List3">
    <w:name w:val="List 3"/>
    <w:rsid w:val="00163012"/>
    <w:pPr>
      <w:ind w:left="849" w:hanging="283"/>
    </w:pPr>
    <w:rPr>
      <w:sz w:val="22"/>
      <w:szCs w:val="24"/>
    </w:rPr>
  </w:style>
  <w:style w:type="paragraph" w:styleId="List4">
    <w:name w:val="List 4"/>
    <w:rsid w:val="00163012"/>
    <w:pPr>
      <w:ind w:left="1132" w:hanging="283"/>
    </w:pPr>
    <w:rPr>
      <w:sz w:val="22"/>
      <w:szCs w:val="24"/>
    </w:rPr>
  </w:style>
  <w:style w:type="paragraph" w:styleId="List5">
    <w:name w:val="List 5"/>
    <w:rsid w:val="00163012"/>
    <w:pPr>
      <w:ind w:left="1415" w:hanging="283"/>
    </w:pPr>
    <w:rPr>
      <w:sz w:val="22"/>
      <w:szCs w:val="24"/>
    </w:rPr>
  </w:style>
  <w:style w:type="paragraph" w:styleId="ListBullet">
    <w:name w:val="List Bullet"/>
    <w:rsid w:val="00163012"/>
    <w:pPr>
      <w:numPr>
        <w:numId w:val="1"/>
      </w:numPr>
      <w:tabs>
        <w:tab w:val="clear" w:pos="360"/>
        <w:tab w:val="num" w:pos="2989"/>
      </w:tabs>
      <w:ind w:left="1225" w:firstLine="1043"/>
    </w:pPr>
    <w:rPr>
      <w:sz w:val="22"/>
      <w:szCs w:val="24"/>
    </w:rPr>
  </w:style>
  <w:style w:type="paragraph" w:styleId="ListBullet2">
    <w:name w:val="List Bullet 2"/>
    <w:rsid w:val="00163012"/>
    <w:pPr>
      <w:numPr>
        <w:numId w:val="2"/>
      </w:numPr>
      <w:tabs>
        <w:tab w:val="clear" w:pos="643"/>
        <w:tab w:val="num" w:pos="360"/>
      </w:tabs>
      <w:ind w:left="360"/>
    </w:pPr>
    <w:rPr>
      <w:sz w:val="22"/>
      <w:szCs w:val="24"/>
    </w:rPr>
  </w:style>
  <w:style w:type="paragraph" w:styleId="ListBullet3">
    <w:name w:val="List Bullet 3"/>
    <w:rsid w:val="00163012"/>
    <w:pPr>
      <w:numPr>
        <w:numId w:val="3"/>
      </w:numPr>
      <w:tabs>
        <w:tab w:val="clear" w:pos="926"/>
        <w:tab w:val="num" w:pos="360"/>
      </w:tabs>
      <w:ind w:left="360"/>
    </w:pPr>
    <w:rPr>
      <w:sz w:val="22"/>
      <w:szCs w:val="24"/>
    </w:rPr>
  </w:style>
  <w:style w:type="paragraph" w:styleId="ListBullet4">
    <w:name w:val="List Bullet 4"/>
    <w:rsid w:val="00163012"/>
    <w:pPr>
      <w:numPr>
        <w:numId w:val="4"/>
      </w:numPr>
      <w:tabs>
        <w:tab w:val="clear" w:pos="1209"/>
        <w:tab w:val="num" w:pos="926"/>
      </w:tabs>
      <w:ind w:left="926"/>
    </w:pPr>
    <w:rPr>
      <w:sz w:val="22"/>
      <w:szCs w:val="24"/>
    </w:rPr>
  </w:style>
  <w:style w:type="paragraph" w:styleId="ListBullet5">
    <w:name w:val="List Bullet 5"/>
    <w:rsid w:val="00163012"/>
    <w:pPr>
      <w:numPr>
        <w:numId w:val="5"/>
      </w:numPr>
    </w:pPr>
    <w:rPr>
      <w:sz w:val="22"/>
      <w:szCs w:val="24"/>
    </w:rPr>
  </w:style>
  <w:style w:type="paragraph" w:styleId="ListContinue">
    <w:name w:val="List Continue"/>
    <w:rsid w:val="00163012"/>
    <w:pPr>
      <w:spacing w:after="120"/>
      <w:ind w:left="283"/>
    </w:pPr>
    <w:rPr>
      <w:sz w:val="22"/>
      <w:szCs w:val="24"/>
    </w:rPr>
  </w:style>
  <w:style w:type="paragraph" w:styleId="ListContinue2">
    <w:name w:val="List Continue 2"/>
    <w:rsid w:val="00163012"/>
    <w:pPr>
      <w:spacing w:after="120"/>
      <w:ind w:left="566"/>
    </w:pPr>
    <w:rPr>
      <w:sz w:val="22"/>
      <w:szCs w:val="24"/>
    </w:rPr>
  </w:style>
  <w:style w:type="paragraph" w:styleId="ListContinue3">
    <w:name w:val="List Continue 3"/>
    <w:rsid w:val="00163012"/>
    <w:pPr>
      <w:spacing w:after="120"/>
      <w:ind w:left="849"/>
    </w:pPr>
    <w:rPr>
      <w:sz w:val="22"/>
      <w:szCs w:val="24"/>
    </w:rPr>
  </w:style>
  <w:style w:type="paragraph" w:styleId="ListContinue4">
    <w:name w:val="List Continue 4"/>
    <w:rsid w:val="00163012"/>
    <w:pPr>
      <w:spacing w:after="120"/>
      <w:ind w:left="1132"/>
    </w:pPr>
    <w:rPr>
      <w:sz w:val="22"/>
      <w:szCs w:val="24"/>
    </w:rPr>
  </w:style>
  <w:style w:type="paragraph" w:styleId="ListContinue5">
    <w:name w:val="List Continue 5"/>
    <w:rsid w:val="00163012"/>
    <w:pPr>
      <w:spacing w:after="120"/>
      <w:ind w:left="1415"/>
    </w:pPr>
    <w:rPr>
      <w:sz w:val="22"/>
      <w:szCs w:val="24"/>
    </w:rPr>
  </w:style>
  <w:style w:type="paragraph" w:styleId="ListNumber">
    <w:name w:val="List Number"/>
    <w:rsid w:val="00163012"/>
    <w:pPr>
      <w:numPr>
        <w:numId w:val="6"/>
      </w:numPr>
      <w:tabs>
        <w:tab w:val="clear" w:pos="360"/>
        <w:tab w:val="num" w:pos="4242"/>
      </w:tabs>
      <w:ind w:left="3521" w:hanging="1043"/>
    </w:pPr>
    <w:rPr>
      <w:sz w:val="22"/>
      <w:szCs w:val="24"/>
    </w:rPr>
  </w:style>
  <w:style w:type="paragraph" w:styleId="ListNumber2">
    <w:name w:val="List Number 2"/>
    <w:rsid w:val="00163012"/>
    <w:pPr>
      <w:numPr>
        <w:numId w:val="7"/>
      </w:numPr>
      <w:tabs>
        <w:tab w:val="clear" w:pos="643"/>
        <w:tab w:val="num" w:pos="360"/>
      </w:tabs>
      <w:ind w:left="360"/>
    </w:pPr>
    <w:rPr>
      <w:sz w:val="22"/>
      <w:szCs w:val="24"/>
    </w:rPr>
  </w:style>
  <w:style w:type="paragraph" w:styleId="ListNumber3">
    <w:name w:val="List Number 3"/>
    <w:rsid w:val="00163012"/>
    <w:pPr>
      <w:numPr>
        <w:numId w:val="8"/>
      </w:numPr>
      <w:tabs>
        <w:tab w:val="clear" w:pos="926"/>
        <w:tab w:val="num" w:pos="360"/>
      </w:tabs>
      <w:ind w:left="360"/>
    </w:pPr>
    <w:rPr>
      <w:sz w:val="22"/>
      <w:szCs w:val="24"/>
    </w:rPr>
  </w:style>
  <w:style w:type="paragraph" w:styleId="ListNumber4">
    <w:name w:val="List Number 4"/>
    <w:rsid w:val="00163012"/>
    <w:pPr>
      <w:numPr>
        <w:numId w:val="9"/>
      </w:numPr>
      <w:tabs>
        <w:tab w:val="clear" w:pos="1209"/>
        <w:tab w:val="num" w:pos="360"/>
      </w:tabs>
      <w:ind w:left="360"/>
    </w:pPr>
    <w:rPr>
      <w:sz w:val="22"/>
      <w:szCs w:val="24"/>
    </w:rPr>
  </w:style>
  <w:style w:type="paragraph" w:styleId="ListNumber5">
    <w:name w:val="List Number 5"/>
    <w:rsid w:val="00163012"/>
    <w:pPr>
      <w:numPr>
        <w:numId w:val="10"/>
      </w:numPr>
      <w:tabs>
        <w:tab w:val="clear" w:pos="1492"/>
        <w:tab w:val="num" w:pos="1440"/>
      </w:tabs>
      <w:ind w:left="0" w:firstLine="0"/>
    </w:pPr>
    <w:rPr>
      <w:sz w:val="22"/>
      <w:szCs w:val="24"/>
    </w:rPr>
  </w:style>
  <w:style w:type="paragraph" w:styleId="MessageHeader">
    <w:name w:val="Message Header"/>
    <w:rsid w:val="001630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63012"/>
    <w:rPr>
      <w:sz w:val="24"/>
      <w:szCs w:val="24"/>
    </w:rPr>
  </w:style>
  <w:style w:type="paragraph" w:styleId="NormalIndent">
    <w:name w:val="Normal Indent"/>
    <w:rsid w:val="00163012"/>
    <w:pPr>
      <w:ind w:left="720"/>
    </w:pPr>
    <w:rPr>
      <w:sz w:val="22"/>
      <w:szCs w:val="24"/>
    </w:rPr>
  </w:style>
  <w:style w:type="paragraph" w:styleId="NoteHeading">
    <w:name w:val="Note Heading"/>
    <w:next w:val="Normal"/>
    <w:rsid w:val="00163012"/>
    <w:rPr>
      <w:sz w:val="22"/>
      <w:szCs w:val="24"/>
    </w:rPr>
  </w:style>
  <w:style w:type="paragraph" w:styleId="PlainText">
    <w:name w:val="Plain Text"/>
    <w:rsid w:val="00163012"/>
    <w:rPr>
      <w:rFonts w:ascii="Courier New" w:hAnsi="Courier New" w:cs="Courier New"/>
      <w:sz w:val="22"/>
    </w:rPr>
  </w:style>
  <w:style w:type="paragraph" w:styleId="Salutation">
    <w:name w:val="Salutation"/>
    <w:next w:val="Normal"/>
    <w:rsid w:val="00163012"/>
    <w:rPr>
      <w:sz w:val="22"/>
      <w:szCs w:val="24"/>
    </w:rPr>
  </w:style>
  <w:style w:type="paragraph" w:styleId="Signature">
    <w:name w:val="Signature"/>
    <w:rsid w:val="00163012"/>
    <w:pPr>
      <w:ind w:left="4252"/>
    </w:pPr>
    <w:rPr>
      <w:sz w:val="22"/>
      <w:szCs w:val="24"/>
    </w:rPr>
  </w:style>
  <w:style w:type="paragraph" w:styleId="Subtitle">
    <w:name w:val="Subtitle"/>
    <w:qFormat/>
    <w:rsid w:val="00163012"/>
    <w:pPr>
      <w:spacing w:after="60"/>
      <w:jc w:val="center"/>
    </w:pPr>
    <w:rPr>
      <w:rFonts w:ascii="Arial" w:hAnsi="Arial" w:cs="Arial"/>
      <w:sz w:val="24"/>
      <w:szCs w:val="24"/>
    </w:rPr>
  </w:style>
  <w:style w:type="paragraph" w:styleId="TableofAuthorities">
    <w:name w:val="table of authorities"/>
    <w:next w:val="Normal"/>
    <w:rsid w:val="00163012"/>
    <w:pPr>
      <w:ind w:left="220" w:hanging="220"/>
    </w:pPr>
    <w:rPr>
      <w:sz w:val="22"/>
      <w:szCs w:val="24"/>
    </w:rPr>
  </w:style>
  <w:style w:type="paragraph" w:styleId="TableofFigures">
    <w:name w:val="table of figures"/>
    <w:next w:val="Normal"/>
    <w:rsid w:val="00163012"/>
    <w:pPr>
      <w:ind w:left="440" w:hanging="440"/>
    </w:pPr>
    <w:rPr>
      <w:sz w:val="22"/>
      <w:szCs w:val="24"/>
    </w:rPr>
  </w:style>
  <w:style w:type="paragraph" w:styleId="Title">
    <w:name w:val="Title"/>
    <w:qFormat/>
    <w:rsid w:val="00163012"/>
    <w:pPr>
      <w:spacing w:before="240" w:after="60"/>
      <w:jc w:val="center"/>
    </w:pPr>
    <w:rPr>
      <w:rFonts w:ascii="Arial" w:hAnsi="Arial" w:cs="Arial"/>
      <w:b/>
      <w:bCs/>
      <w:kern w:val="28"/>
      <w:sz w:val="32"/>
      <w:szCs w:val="32"/>
    </w:rPr>
  </w:style>
  <w:style w:type="paragraph" w:styleId="TOAHeading">
    <w:name w:val="toa heading"/>
    <w:next w:val="Normal"/>
    <w:rsid w:val="00163012"/>
    <w:pPr>
      <w:spacing w:before="120"/>
    </w:pPr>
    <w:rPr>
      <w:rFonts w:ascii="Arial" w:hAnsi="Arial" w:cs="Arial"/>
      <w:b/>
      <w:bCs/>
      <w:sz w:val="24"/>
      <w:szCs w:val="24"/>
    </w:rPr>
  </w:style>
  <w:style w:type="paragraph" w:styleId="BodyTextFirstIndent">
    <w:name w:val="Body Text First Indent"/>
    <w:basedOn w:val="BodyText"/>
    <w:rsid w:val="00163012"/>
    <w:pPr>
      <w:ind w:firstLine="210"/>
    </w:pPr>
  </w:style>
  <w:style w:type="paragraph" w:styleId="BodyTextFirstIndent2">
    <w:name w:val="Body Text First Indent 2"/>
    <w:basedOn w:val="BodyTextIndent"/>
    <w:rsid w:val="00163012"/>
    <w:pPr>
      <w:ind w:firstLine="210"/>
    </w:pPr>
  </w:style>
  <w:style w:type="character" w:styleId="CommentReference">
    <w:name w:val="annotation reference"/>
    <w:basedOn w:val="DefaultParagraphFont"/>
    <w:rsid w:val="00163012"/>
    <w:rPr>
      <w:sz w:val="16"/>
      <w:szCs w:val="16"/>
    </w:rPr>
  </w:style>
  <w:style w:type="character" w:styleId="Emphasis">
    <w:name w:val="Emphasis"/>
    <w:basedOn w:val="DefaultParagraphFont"/>
    <w:qFormat/>
    <w:rsid w:val="00163012"/>
    <w:rPr>
      <w:i/>
      <w:iCs/>
    </w:rPr>
  </w:style>
  <w:style w:type="character" w:styleId="EndnoteReference">
    <w:name w:val="endnote reference"/>
    <w:basedOn w:val="DefaultParagraphFont"/>
    <w:rsid w:val="00163012"/>
    <w:rPr>
      <w:vertAlign w:val="superscript"/>
    </w:rPr>
  </w:style>
  <w:style w:type="character" w:styleId="FollowedHyperlink">
    <w:name w:val="FollowedHyperlink"/>
    <w:basedOn w:val="DefaultParagraphFont"/>
    <w:rsid w:val="00163012"/>
    <w:rPr>
      <w:color w:val="800080"/>
      <w:u w:val="single"/>
    </w:rPr>
  </w:style>
  <w:style w:type="character" w:styleId="FootnoteReference">
    <w:name w:val="footnote reference"/>
    <w:basedOn w:val="DefaultParagraphFont"/>
    <w:rsid w:val="00163012"/>
    <w:rPr>
      <w:vertAlign w:val="superscript"/>
    </w:rPr>
  </w:style>
  <w:style w:type="character" w:styleId="HTMLAcronym">
    <w:name w:val="HTML Acronym"/>
    <w:basedOn w:val="DefaultParagraphFont"/>
    <w:rsid w:val="00163012"/>
  </w:style>
  <w:style w:type="character" w:styleId="HTMLCite">
    <w:name w:val="HTML Cite"/>
    <w:basedOn w:val="DefaultParagraphFont"/>
    <w:rsid w:val="00163012"/>
    <w:rPr>
      <w:i/>
      <w:iCs/>
    </w:rPr>
  </w:style>
  <w:style w:type="character" w:styleId="HTMLCode">
    <w:name w:val="HTML Code"/>
    <w:basedOn w:val="DefaultParagraphFont"/>
    <w:rsid w:val="00163012"/>
    <w:rPr>
      <w:rFonts w:ascii="Courier New" w:hAnsi="Courier New" w:cs="Courier New"/>
      <w:sz w:val="20"/>
      <w:szCs w:val="20"/>
    </w:rPr>
  </w:style>
  <w:style w:type="character" w:styleId="HTMLDefinition">
    <w:name w:val="HTML Definition"/>
    <w:basedOn w:val="DefaultParagraphFont"/>
    <w:rsid w:val="00163012"/>
    <w:rPr>
      <w:i/>
      <w:iCs/>
    </w:rPr>
  </w:style>
  <w:style w:type="character" w:styleId="HTMLKeyboard">
    <w:name w:val="HTML Keyboard"/>
    <w:basedOn w:val="DefaultParagraphFont"/>
    <w:rsid w:val="00163012"/>
    <w:rPr>
      <w:rFonts w:ascii="Courier New" w:hAnsi="Courier New" w:cs="Courier New"/>
      <w:sz w:val="20"/>
      <w:szCs w:val="20"/>
    </w:rPr>
  </w:style>
  <w:style w:type="character" w:styleId="HTMLSample">
    <w:name w:val="HTML Sample"/>
    <w:basedOn w:val="DefaultParagraphFont"/>
    <w:rsid w:val="00163012"/>
    <w:rPr>
      <w:rFonts w:ascii="Courier New" w:hAnsi="Courier New" w:cs="Courier New"/>
    </w:rPr>
  </w:style>
  <w:style w:type="character" w:styleId="HTMLTypewriter">
    <w:name w:val="HTML Typewriter"/>
    <w:basedOn w:val="DefaultParagraphFont"/>
    <w:rsid w:val="00163012"/>
    <w:rPr>
      <w:rFonts w:ascii="Courier New" w:hAnsi="Courier New" w:cs="Courier New"/>
      <w:sz w:val="20"/>
      <w:szCs w:val="20"/>
    </w:rPr>
  </w:style>
  <w:style w:type="character" w:styleId="HTMLVariable">
    <w:name w:val="HTML Variable"/>
    <w:basedOn w:val="DefaultParagraphFont"/>
    <w:rsid w:val="00163012"/>
    <w:rPr>
      <w:i/>
      <w:iCs/>
    </w:rPr>
  </w:style>
  <w:style w:type="character" w:styleId="Hyperlink">
    <w:name w:val="Hyperlink"/>
    <w:basedOn w:val="DefaultParagraphFont"/>
    <w:rsid w:val="00163012"/>
    <w:rPr>
      <w:color w:val="0000FF"/>
      <w:u w:val="single"/>
    </w:rPr>
  </w:style>
  <w:style w:type="character" w:styleId="LineNumber">
    <w:name w:val="line number"/>
    <w:basedOn w:val="OPCCharBase"/>
    <w:uiPriority w:val="99"/>
    <w:unhideWhenUsed/>
    <w:rsid w:val="00907253"/>
    <w:rPr>
      <w:sz w:val="16"/>
    </w:rPr>
  </w:style>
  <w:style w:type="paragraph" w:styleId="MacroText">
    <w:name w:val="macro"/>
    <w:rsid w:val="001630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63012"/>
  </w:style>
  <w:style w:type="character" w:styleId="Strong">
    <w:name w:val="Strong"/>
    <w:basedOn w:val="DefaultParagraphFont"/>
    <w:qFormat/>
    <w:rsid w:val="00163012"/>
    <w:rPr>
      <w:b/>
      <w:bCs/>
    </w:rPr>
  </w:style>
  <w:style w:type="paragraph" w:styleId="TOC1">
    <w:name w:val="toc 1"/>
    <w:basedOn w:val="OPCParaBase"/>
    <w:next w:val="Normal"/>
    <w:uiPriority w:val="39"/>
    <w:unhideWhenUsed/>
    <w:rsid w:val="0090725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725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0725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0725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0725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072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72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072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07253"/>
    <w:pPr>
      <w:keepLines/>
      <w:tabs>
        <w:tab w:val="right" w:pos="7088"/>
      </w:tabs>
      <w:spacing w:before="80" w:line="240" w:lineRule="auto"/>
      <w:ind w:left="851" w:right="567"/>
    </w:pPr>
    <w:rPr>
      <w:i/>
      <w:kern w:val="28"/>
      <w:sz w:val="20"/>
    </w:rPr>
  </w:style>
  <w:style w:type="paragraph" w:customStyle="1" w:styleId="CTA-">
    <w:name w:val="CTA -"/>
    <w:basedOn w:val="OPCParaBase"/>
    <w:rsid w:val="00907253"/>
    <w:pPr>
      <w:spacing w:before="60" w:line="240" w:lineRule="atLeast"/>
      <w:ind w:left="85" w:hanging="85"/>
    </w:pPr>
    <w:rPr>
      <w:sz w:val="20"/>
    </w:rPr>
  </w:style>
  <w:style w:type="paragraph" w:customStyle="1" w:styleId="CTA--">
    <w:name w:val="CTA --"/>
    <w:basedOn w:val="OPCParaBase"/>
    <w:next w:val="Normal"/>
    <w:rsid w:val="00907253"/>
    <w:pPr>
      <w:spacing w:before="60" w:line="240" w:lineRule="atLeast"/>
      <w:ind w:left="142" w:hanging="142"/>
    </w:pPr>
    <w:rPr>
      <w:sz w:val="20"/>
    </w:rPr>
  </w:style>
  <w:style w:type="paragraph" w:customStyle="1" w:styleId="CTA---">
    <w:name w:val="CTA ---"/>
    <w:basedOn w:val="OPCParaBase"/>
    <w:next w:val="Normal"/>
    <w:rsid w:val="00907253"/>
    <w:pPr>
      <w:spacing w:before="60" w:line="240" w:lineRule="atLeast"/>
      <w:ind w:left="198" w:hanging="198"/>
    </w:pPr>
    <w:rPr>
      <w:sz w:val="20"/>
    </w:rPr>
  </w:style>
  <w:style w:type="paragraph" w:customStyle="1" w:styleId="CTA----">
    <w:name w:val="CTA ----"/>
    <w:basedOn w:val="OPCParaBase"/>
    <w:next w:val="Normal"/>
    <w:rsid w:val="00907253"/>
    <w:pPr>
      <w:spacing w:before="60" w:line="240" w:lineRule="atLeast"/>
      <w:ind w:left="255" w:hanging="255"/>
    </w:pPr>
    <w:rPr>
      <w:sz w:val="20"/>
    </w:rPr>
  </w:style>
  <w:style w:type="paragraph" w:customStyle="1" w:styleId="CTA1a">
    <w:name w:val="CTA 1(a)"/>
    <w:basedOn w:val="OPCParaBase"/>
    <w:rsid w:val="00907253"/>
    <w:pPr>
      <w:tabs>
        <w:tab w:val="right" w:pos="414"/>
      </w:tabs>
      <w:spacing w:before="40" w:line="240" w:lineRule="atLeast"/>
      <w:ind w:left="675" w:hanging="675"/>
    </w:pPr>
    <w:rPr>
      <w:sz w:val="20"/>
    </w:rPr>
  </w:style>
  <w:style w:type="paragraph" w:customStyle="1" w:styleId="CTA1ai">
    <w:name w:val="CTA 1(a)(i)"/>
    <w:basedOn w:val="OPCParaBase"/>
    <w:rsid w:val="00907253"/>
    <w:pPr>
      <w:tabs>
        <w:tab w:val="right" w:pos="1004"/>
      </w:tabs>
      <w:spacing w:before="40" w:line="240" w:lineRule="atLeast"/>
      <w:ind w:left="1253" w:hanging="1253"/>
    </w:pPr>
    <w:rPr>
      <w:sz w:val="20"/>
    </w:rPr>
  </w:style>
  <w:style w:type="paragraph" w:customStyle="1" w:styleId="CTA2a">
    <w:name w:val="CTA 2(a)"/>
    <w:basedOn w:val="OPCParaBase"/>
    <w:rsid w:val="00907253"/>
    <w:pPr>
      <w:tabs>
        <w:tab w:val="right" w:pos="482"/>
      </w:tabs>
      <w:spacing w:before="40" w:line="240" w:lineRule="atLeast"/>
      <w:ind w:left="748" w:hanging="748"/>
    </w:pPr>
    <w:rPr>
      <w:sz w:val="20"/>
    </w:rPr>
  </w:style>
  <w:style w:type="paragraph" w:customStyle="1" w:styleId="CTA2ai">
    <w:name w:val="CTA 2(a)(i)"/>
    <w:basedOn w:val="OPCParaBase"/>
    <w:rsid w:val="00907253"/>
    <w:pPr>
      <w:tabs>
        <w:tab w:val="right" w:pos="1089"/>
      </w:tabs>
      <w:spacing w:before="40" w:line="240" w:lineRule="atLeast"/>
      <w:ind w:left="1327" w:hanging="1327"/>
    </w:pPr>
    <w:rPr>
      <w:sz w:val="20"/>
    </w:rPr>
  </w:style>
  <w:style w:type="paragraph" w:customStyle="1" w:styleId="CTA3a">
    <w:name w:val="CTA 3(a)"/>
    <w:basedOn w:val="OPCParaBase"/>
    <w:rsid w:val="00907253"/>
    <w:pPr>
      <w:tabs>
        <w:tab w:val="right" w:pos="556"/>
      </w:tabs>
      <w:spacing w:before="40" w:line="240" w:lineRule="atLeast"/>
      <w:ind w:left="805" w:hanging="805"/>
    </w:pPr>
    <w:rPr>
      <w:sz w:val="20"/>
    </w:rPr>
  </w:style>
  <w:style w:type="paragraph" w:customStyle="1" w:styleId="CTA3ai">
    <w:name w:val="CTA 3(a)(i)"/>
    <w:basedOn w:val="OPCParaBase"/>
    <w:rsid w:val="00907253"/>
    <w:pPr>
      <w:tabs>
        <w:tab w:val="right" w:pos="1140"/>
      </w:tabs>
      <w:spacing w:before="40" w:line="240" w:lineRule="atLeast"/>
      <w:ind w:left="1361" w:hanging="1361"/>
    </w:pPr>
    <w:rPr>
      <w:sz w:val="20"/>
    </w:rPr>
  </w:style>
  <w:style w:type="paragraph" w:customStyle="1" w:styleId="CTA4a">
    <w:name w:val="CTA 4(a)"/>
    <w:basedOn w:val="OPCParaBase"/>
    <w:rsid w:val="00907253"/>
    <w:pPr>
      <w:tabs>
        <w:tab w:val="right" w:pos="624"/>
      </w:tabs>
      <w:spacing w:before="40" w:line="240" w:lineRule="atLeast"/>
      <w:ind w:left="873" w:hanging="873"/>
    </w:pPr>
    <w:rPr>
      <w:sz w:val="20"/>
    </w:rPr>
  </w:style>
  <w:style w:type="paragraph" w:customStyle="1" w:styleId="CTA4ai">
    <w:name w:val="CTA 4(a)(i)"/>
    <w:basedOn w:val="OPCParaBase"/>
    <w:rsid w:val="00907253"/>
    <w:pPr>
      <w:tabs>
        <w:tab w:val="right" w:pos="1213"/>
      </w:tabs>
      <w:spacing w:before="40" w:line="240" w:lineRule="atLeast"/>
      <w:ind w:left="1452" w:hanging="1452"/>
    </w:pPr>
    <w:rPr>
      <w:sz w:val="20"/>
    </w:rPr>
  </w:style>
  <w:style w:type="paragraph" w:customStyle="1" w:styleId="CTACAPS">
    <w:name w:val="CTA CAPS"/>
    <w:basedOn w:val="OPCParaBase"/>
    <w:rsid w:val="00907253"/>
    <w:pPr>
      <w:spacing w:before="60" w:line="240" w:lineRule="atLeast"/>
    </w:pPr>
    <w:rPr>
      <w:sz w:val="20"/>
    </w:rPr>
  </w:style>
  <w:style w:type="paragraph" w:customStyle="1" w:styleId="CTAright">
    <w:name w:val="CTA right"/>
    <w:basedOn w:val="OPCParaBase"/>
    <w:rsid w:val="00907253"/>
    <w:pPr>
      <w:spacing w:before="60" w:line="240" w:lineRule="auto"/>
      <w:jc w:val="right"/>
    </w:pPr>
    <w:rPr>
      <w:sz w:val="20"/>
    </w:rPr>
  </w:style>
  <w:style w:type="paragraph" w:customStyle="1" w:styleId="ActHead1">
    <w:name w:val="ActHead 1"/>
    <w:aliases w:val="c"/>
    <w:basedOn w:val="OPCParaBase"/>
    <w:next w:val="Normal"/>
    <w:qFormat/>
    <w:rsid w:val="009072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72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72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72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72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72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72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72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7253"/>
    <w:pPr>
      <w:keepNext/>
      <w:keepLines/>
      <w:spacing w:before="280" w:line="240" w:lineRule="auto"/>
      <w:ind w:left="1134" w:hanging="1134"/>
      <w:outlineLvl w:val="8"/>
    </w:pPr>
    <w:rPr>
      <w:b/>
      <w:i/>
      <w:kern w:val="28"/>
      <w:sz w:val="28"/>
    </w:rPr>
  </w:style>
  <w:style w:type="character" w:customStyle="1" w:styleId="CharItalic">
    <w:name w:val="CharItalic"/>
    <w:basedOn w:val="OPCCharBase"/>
    <w:uiPriority w:val="1"/>
    <w:qFormat/>
    <w:rsid w:val="00907253"/>
    <w:rPr>
      <w:i/>
    </w:rPr>
  </w:style>
  <w:style w:type="numbering" w:styleId="111111">
    <w:name w:val="Outline List 2"/>
    <w:basedOn w:val="NoList"/>
    <w:rsid w:val="00163012"/>
    <w:pPr>
      <w:numPr>
        <w:numId w:val="28"/>
      </w:numPr>
    </w:pPr>
  </w:style>
  <w:style w:type="numbering" w:styleId="1ai">
    <w:name w:val="Outline List 1"/>
    <w:basedOn w:val="NoList"/>
    <w:rsid w:val="00163012"/>
    <w:pPr>
      <w:numPr>
        <w:numId w:val="37"/>
      </w:numPr>
    </w:pPr>
  </w:style>
  <w:style w:type="numbering" w:styleId="ArticleSection">
    <w:name w:val="Outline List 3"/>
    <w:basedOn w:val="NoList"/>
    <w:rsid w:val="00163012"/>
    <w:pPr>
      <w:numPr>
        <w:numId w:val="30"/>
      </w:numPr>
    </w:pPr>
  </w:style>
  <w:style w:type="table" w:styleId="Table3Deffects1">
    <w:name w:val="Table 3D effects 1"/>
    <w:basedOn w:val="TableNormal"/>
    <w:rsid w:val="0016301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6301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6301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6301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6301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6301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6301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6301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6301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6301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6301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6301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6301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6301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6301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6301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6301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725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6301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6301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6301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6301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6301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6301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6301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6301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6301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6301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6301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6301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6301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6301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6301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6301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6301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6301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6301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hortTChar">
    <w:name w:val="ShortT Char"/>
    <w:basedOn w:val="DefaultParagraphFont"/>
    <w:link w:val="ShortT"/>
    <w:rsid w:val="00174CFF"/>
    <w:rPr>
      <w:b/>
      <w:sz w:val="40"/>
    </w:rPr>
  </w:style>
  <w:style w:type="character" w:customStyle="1" w:styleId="ActnoChar">
    <w:name w:val="Actno Char"/>
    <w:basedOn w:val="ShortTChar"/>
    <w:link w:val="Actno"/>
    <w:rsid w:val="00174CFF"/>
    <w:rPr>
      <w:b/>
      <w:sz w:val="40"/>
    </w:rPr>
  </w:style>
  <w:style w:type="character" w:customStyle="1" w:styleId="FooterChar">
    <w:name w:val="Footer Char"/>
    <w:basedOn w:val="DefaultParagraphFont"/>
    <w:link w:val="Footer"/>
    <w:rsid w:val="00907253"/>
    <w:rPr>
      <w:sz w:val="22"/>
      <w:szCs w:val="24"/>
    </w:rPr>
  </w:style>
  <w:style w:type="character" w:customStyle="1" w:styleId="HeaderChar">
    <w:name w:val="Header Char"/>
    <w:basedOn w:val="DefaultParagraphFont"/>
    <w:link w:val="Header"/>
    <w:rsid w:val="00907253"/>
    <w:rPr>
      <w:sz w:val="16"/>
    </w:rPr>
  </w:style>
  <w:style w:type="character" w:customStyle="1" w:styleId="OPCCharBase">
    <w:name w:val="OPCCharBase"/>
    <w:uiPriority w:val="1"/>
    <w:qFormat/>
    <w:rsid w:val="00907253"/>
  </w:style>
  <w:style w:type="paragraph" w:customStyle="1" w:styleId="OPCParaBase">
    <w:name w:val="OPCParaBase"/>
    <w:qFormat/>
    <w:rsid w:val="00907253"/>
    <w:pPr>
      <w:spacing w:line="260" w:lineRule="atLeast"/>
    </w:pPr>
    <w:rPr>
      <w:sz w:val="22"/>
    </w:rPr>
  </w:style>
  <w:style w:type="paragraph" w:customStyle="1" w:styleId="noteToPara">
    <w:name w:val="noteToPara"/>
    <w:aliases w:val="ntp"/>
    <w:basedOn w:val="OPCParaBase"/>
    <w:rsid w:val="00907253"/>
    <w:pPr>
      <w:spacing w:before="122" w:line="198" w:lineRule="exact"/>
      <w:ind w:left="2353" w:hanging="709"/>
    </w:pPr>
    <w:rPr>
      <w:sz w:val="18"/>
    </w:rPr>
  </w:style>
  <w:style w:type="paragraph" w:customStyle="1" w:styleId="WRStyle">
    <w:name w:val="WR Style"/>
    <w:aliases w:val="WR"/>
    <w:basedOn w:val="OPCParaBase"/>
    <w:rsid w:val="00907253"/>
    <w:pPr>
      <w:spacing w:before="240" w:line="240" w:lineRule="auto"/>
      <w:ind w:left="284" w:hanging="284"/>
    </w:pPr>
    <w:rPr>
      <w:b/>
      <w:i/>
      <w:kern w:val="28"/>
      <w:sz w:val="24"/>
    </w:rPr>
  </w:style>
  <w:style w:type="table" w:customStyle="1" w:styleId="CFlag">
    <w:name w:val="CFlag"/>
    <w:basedOn w:val="TableNormal"/>
    <w:uiPriority w:val="99"/>
    <w:rsid w:val="00907253"/>
    <w:tblPr/>
  </w:style>
  <w:style w:type="paragraph" w:customStyle="1" w:styleId="SignCoverPageEnd">
    <w:name w:val="SignCoverPageEnd"/>
    <w:basedOn w:val="OPCParaBase"/>
    <w:next w:val="Normal"/>
    <w:rsid w:val="009072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7253"/>
    <w:pPr>
      <w:pBdr>
        <w:top w:val="single" w:sz="4" w:space="1" w:color="auto"/>
      </w:pBdr>
      <w:spacing w:before="360"/>
      <w:ind w:right="397"/>
      <w:jc w:val="both"/>
    </w:pPr>
  </w:style>
  <w:style w:type="paragraph" w:customStyle="1" w:styleId="ENotesHeading1">
    <w:name w:val="ENotesHeading 1"/>
    <w:aliases w:val="Enh1"/>
    <w:basedOn w:val="OPCParaBase"/>
    <w:next w:val="Normal"/>
    <w:rsid w:val="00907253"/>
    <w:pPr>
      <w:spacing w:before="120"/>
      <w:outlineLvl w:val="1"/>
    </w:pPr>
    <w:rPr>
      <w:b/>
      <w:sz w:val="28"/>
      <w:szCs w:val="28"/>
    </w:rPr>
  </w:style>
  <w:style w:type="paragraph" w:customStyle="1" w:styleId="ENotesHeading2">
    <w:name w:val="ENotesHeading 2"/>
    <w:aliases w:val="Enh2"/>
    <w:basedOn w:val="OPCParaBase"/>
    <w:next w:val="Normal"/>
    <w:rsid w:val="00907253"/>
    <w:pPr>
      <w:spacing w:before="120" w:after="120"/>
      <w:outlineLvl w:val="2"/>
    </w:pPr>
    <w:rPr>
      <w:b/>
      <w:sz w:val="24"/>
      <w:szCs w:val="28"/>
    </w:rPr>
  </w:style>
  <w:style w:type="paragraph" w:customStyle="1" w:styleId="CompiledActNo">
    <w:name w:val="CompiledActNo"/>
    <w:basedOn w:val="Normal"/>
    <w:next w:val="Normal"/>
    <w:rsid w:val="00907253"/>
    <w:rPr>
      <w:rFonts w:eastAsia="Times New Roman" w:cs="Times New Roman"/>
      <w:b/>
      <w:sz w:val="24"/>
      <w:szCs w:val="24"/>
      <w:lang w:eastAsia="en-AU"/>
    </w:rPr>
  </w:style>
  <w:style w:type="paragraph" w:customStyle="1" w:styleId="ENotesText">
    <w:name w:val="ENotesText"/>
    <w:aliases w:val="Ent"/>
    <w:basedOn w:val="OPCParaBase"/>
    <w:next w:val="Normal"/>
    <w:rsid w:val="00907253"/>
    <w:pPr>
      <w:spacing w:before="120"/>
    </w:pPr>
  </w:style>
  <w:style w:type="paragraph" w:customStyle="1" w:styleId="Paragraphsub-sub-sub">
    <w:name w:val="Paragraph(sub-sub-sub)"/>
    <w:aliases w:val="aaaa"/>
    <w:basedOn w:val="OPCParaBase"/>
    <w:rsid w:val="009072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72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72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72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72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7253"/>
    <w:pPr>
      <w:spacing w:before="60" w:line="240" w:lineRule="auto"/>
    </w:pPr>
    <w:rPr>
      <w:rFonts w:cs="Arial"/>
      <w:sz w:val="20"/>
      <w:szCs w:val="22"/>
    </w:rPr>
  </w:style>
  <w:style w:type="paragraph" w:customStyle="1" w:styleId="ActHead10">
    <w:name w:val="ActHead 10"/>
    <w:aliases w:val="sp"/>
    <w:basedOn w:val="OPCParaBase"/>
    <w:next w:val="ActHead3"/>
    <w:rsid w:val="0090725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07253"/>
    <w:rPr>
      <w:rFonts w:ascii="Tahoma" w:eastAsiaTheme="minorHAnsi" w:hAnsi="Tahoma" w:cs="Tahoma"/>
      <w:sz w:val="16"/>
      <w:szCs w:val="16"/>
      <w:lang w:eastAsia="en-US"/>
    </w:rPr>
  </w:style>
  <w:style w:type="paragraph" w:customStyle="1" w:styleId="NoteToSubpara">
    <w:name w:val="NoteToSubpara"/>
    <w:aliases w:val="nts"/>
    <w:basedOn w:val="OPCParaBase"/>
    <w:rsid w:val="00907253"/>
    <w:pPr>
      <w:spacing w:before="40" w:line="198" w:lineRule="exact"/>
      <w:ind w:left="2835" w:hanging="709"/>
    </w:pPr>
    <w:rPr>
      <w:sz w:val="18"/>
    </w:rPr>
  </w:style>
  <w:style w:type="paragraph" w:customStyle="1" w:styleId="ENoteTableHeading">
    <w:name w:val="ENoteTableHeading"/>
    <w:aliases w:val="enth"/>
    <w:basedOn w:val="OPCParaBase"/>
    <w:rsid w:val="00907253"/>
    <w:pPr>
      <w:keepNext/>
      <w:spacing w:before="60" w:line="240" w:lineRule="atLeast"/>
    </w:pPr>
    <w:rPr>
      <w:rFonts w:ascii="Arial" w:hAnsi="Arial"/>
      <w:b/>
      <w:sz w:val="16"/>
    </w:rPr>
  </w:style>
  <w:style w:type="paragraph" w:customStyle="1" w:styleId="ENoteTTi">
    <w:name w:val="ENoteTTi"/>
    <w:aliases w:val="entti"/>
    <w:basedOn w:val="OPCParaBase"/>
    <w:rsid w:val="00907253"/>
    <w:pPr>
      <w:keepNext/>
      <w:spacing w:before="60" w:line="240" w:lineRule="atLeast"/>
      <w:ind w:left="170"/>
    </w:pPr>
    <w:rPr>
      <w:sz w:val="16"/>
    </w:rPr>
  </w:style>
  <w:style w:type="paragraph" w:customStyle="1" w:styleId="ENoteTTIndentHeading">
    <w:name w:val="ENoteTTIndentHeading"/>
    <w:aliases w:val="enTTHi"/>
    <w:basedOn w:val="OPCParaBase"/>
    <w:rsid w:val="009072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7253"/>
    <w:pPr>
      <w:spacing w:before="60" w:line="240" w:lineRule="atLeast"/>
    </w:pPr>
    <w:rPr>
      <w:sz w:val="16"/>
    </w:rPr>
  </w:style>
  <w:style w:type="paragraph" w:customStyle="1" w:styleId="MadeunderText">
    <w:name w:val="MadeunderText"/>
    <w:basedOn w:val="OPCParaBase"/>
    <w:next w:val="Normal"/>
    <w:rsid w:val="00907253"/>
    <w:pPr>
      <w:spacing w:before="240"/>
    </w:pPr>
    <w:rPr>
      <w:sz w:val="24"/>
      <w:szCs w:val="24"/>
    </w:rPr>
  </w:style>
  <w:style w:type="paragraph" w:customStyle="1" w:styleId="ENotesHeading3">
    <w:name w:val="ENotesHeading 3"/>
    <w:aliases w:val="Enh3"/>
    <w:basedOn w:val="OPCParaBase"/>
    <w:next w:val="Normal"/>
    <w:rsid w:val="00907253"/>
    <w:pPr>
      <w:keepNext/>
      <w:spacing w:before="120" w:line="240" w:lineRule="auto"/>
      <w:outlineLvl w:val="4"/>
    </w:pPr>
    <w:rPr>
      <w:b/>
      <w:szCs w:val="24"/>
    </w:rPr>
  </w:style>
  <w:style w:type="paragraph" w:customStyle="1" w:styleId="SubPartCASA">
    <w:name w:val="SubPart(CASA)"/>
    <w:aliases w:val="csp"/>
    <w:basedOn w:val="OPCParaBase"/>
    <w:next w:val="ActHead3"/>
    <w:rsid w:val="00907253"/>
    <w:pPr>
      <w:keepNext/>
      <w:keepLines/>
      <w:spacing w:before="280"/>
      <w:outlineLvl w:val="1"/>
    </w:pPr>
    <w:rPr>
      <w:b/>
      <w:kern w:val="28"/>
      <w:sz w:val="32"/>
    </w:rPr>
  </w:style>
  <w:style w:type="character" w:customStyle="1" w:styleId="CharSubPartTextCASA">
    <w:name w:val="CharSubPartText(CASA)"/>
    <w:basedOn w:val="OPCCharBase"/>
    <w:uiPriority w:val="1"/>
    <w:rsid w:val="00907253"/>
  </w:style>
  <w:style w:type="character" w:customStyle="1" w:styleId="CharSubPartNoCASA">
    <w:name w:val="CharSubPartNo(CASA)"/>
    <w:basedOn w:val="OPCCharBase"/>
    <w:uiPriority w:val="1"/>
    <w:rsid w:val="00907253"/>
  </w:style>
  <w:style w:type="paragraph" w:customStyle="1" w:styleId="ENoteTTIndentHeadingSub">
    <w:name w:val="ENoteTTIndentHeadingSub"/>
    <w:aliases w:val="enTTHis"/>
    <w:basedOn w:val="OPCParaBase"/>
    <w:rsid w:val="00907253"/>
    <w:pPr>
      <w:keepNext/>
      <w:spacing w:before="60" w:line="240" w:lineRule="atLeast"/>
      <w:ind w:left="340"/>
    </w:pPr>
    <w:rPr>
      <w:b/>
      <w:sz w:val="16"/>
    </w:rPr>
  </w:style>
  <w:style w:type="paragraph" w:customStyle="1" w:styleId="ENoteTTiSub">
    <w:name w:val="ENoteTTiSub"/>
    <w:aliases w:val="enttis"/>
    <w:basedOn w:val="OPCParaBase"/>
    <w:rsid w:val="00907253"/>
    <w:pPr>
      <w:keepNext/>
      <w:spacing w:before="60" w:line="240" w:lineRule="atLeast"/>
      <w:ind w:left="340"/>
    </w:pPr>
    <w:rPr>
      <w:sz w:val="16"/>
    </w:rPr>
  </w:style>
  <w:style w:type="paragraph" w:customStyle="1" w:styleId="SubDivisionMigration">
    <w:name w:val="SubDivisionMigration"/>
    <w:aliases w:val="sdm"/>
    <w:basedOn w:val="OPCParaBase"/>
    <w:rsid w:val="009072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7253"/>
    <w:pPr>
      <w:keepNext/>
      <w:keepLines/>
      <w:spacing w:before="240" w:line="240" w:lineRule="auto"/>
      <w:ind w:left="1134" w:hanging="1134"/>
    </w:pPr>
    <w:rPr>
      <w:b/>
      <w:sz w:val="28"/>
    </w:rPr>
  </w:style>
  <w:style w:type="paragraph" w:customStyle="1" w:styleId="FreeForm">
    <w:name w:val="FreeForm"/>
    <w:rsid w:val="00907253"/>
    <w:rPr>
      <w:rFonts w:ascii="Arial" w:eastAsiaTheme="minorHAnsi" w:hAnsi="Arial" w:cstheme="minorBidi"/>
      <w:sz w:val="22"/>
      <w:lang w:eastAsia="en-US"/>
    </w:rPr>
  </w:style>
  <w:style w:type="paragraph" w:customStyle="1" w:styleId="SOText">
    <w:name w:val="SO Text"/>
    <w:aliases w:val="sot"/>
    <w:link w:val="SOTextChar"/>
    <w:rsid w:val="009072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7253"/>
    <w:rPr>
      <w:rFonts w:eastAsiaTheme="minorHAnsi" w:cstheme="minorBidi"/>
      <w:sz w:val="22"/>
      <w:lang w:eastAsia="en-US"/>
    </w:rPr>
  </w:style>
  <w:style w:type="paragraph" w:customStyle="1" w:styleId="SOTextNote">
    <w:name w:val="SO TextNote"/>
    <w:aliases w:val="sont"/>
    <w:basedOn w:val="SOText"/>
    <w:qFormat/>
    <w:rsid w:val="00907253"/>
    <w:pPr>
      <w:spacing w:before="122" w:line="198" w:lineRule="exact"/>
      <w:ind w:left="1843" w:hanging="709"/>
    </w:pPr>
    <w:rPr>
      <w:sz w:val="18"/>
    </w:rPr>
  </w:style>
  <w:style w:type="paragraph" w:customStyle="1" w:styleId="SOPara">
    <w:name w:val="SO Para"/>
    <w:aliases w:val="soa"/>
    <w:basedOn w:val="SOText"/>
    <w:link w:val="SOParaChar"/>
    <w:qFormat/>
    <w:rsid w:val="00907253"/>
    <w:pPr>
      <w:tabs>
        <w:tab w:val="right" w:pos="1786"/>
      </w:tabs>
      <w:spacing w:before="40"/>
      <w:ind w:left="2070" w:hanging="936"/>
    </w:pPr>
  </w:style>
  <w:style w:type="character" w:customStyle="1" w:styleId="SOParaChar">
    <w:name w:val="SO Para Char"/>
    <w:aliases w:val="soa Char"/>
    <w:basedOn w:val="DefaultParagraphFont"/>
    <w:link w:val="SOPara"/>
    <w:rsid w:val="00907253"/>
    <w:rPr>
      <w:rFonts w:eastAsiaTheme="minorHAnsi" w:cstheme="minorBidi"/>
      <w:sz w:val="22"/>
      <w:lang w:eastAsia="en-US"/>
    </w:rPr>
  </w:style>
  <w:style w:type="paragraph" w:customStyle="1" w:styleId="FileName">
    <w:name w:val="FileName"/>
    <w:basedOn w:val="Normal"/>
    <w:rsid w:val="00907253"/>
  </w:style>
  <w:style w:type="paragraph" w:customStyle="1" w:styleId="TableHeading">
    <w:name w:val="TableHeading"/>
    <w:aliases w:val="th"/>
    <w:basedOn w:val="OPCParaBase"/>
    <w:next w:val="Tabletext"/>
    <w:rsid w:val="00907253"/>
    <w:pPr>
      <w:keepNext/>
      <w:spacing w:before="60" w:line="240" w:lineRule="atLeast"/>
    </w:pPr>
    <w:rPr>
      <w:b/>
      <w:sz w:val="20"/>
    </w:rPr>
  </w:style>
  <w:style w:type="paragraph" w:customStyle="1" w:styleId="SOHeadBold">
    <w:name w:val="SO HeadBold"/>
    <w:aliases w:val="sohb"/>
    <w:basedOn w:val="SOText"/>
    <w:next w:val="SOText"/>
    <w:link w:val="SOHeadBoldChar"/>
    <w:qFormat/>
    <w:rsid w:val="00907253"/>
    <w:rPr>
      <w:b/>
    </w:rPr>
  </w:style>
  <w:style w:type="character" w:customStyle="1" w:styleId="SOHeadBoldChar">
    <w:name w:val="SO HeadBold Char"/>
    <w:aliases w:val="sohb Char"/>
    <w:basedOn w:val="DefaultParagraphFont"/>
    <w:link w:val="SOHeadBold"/>
    <w:rsid w:val="0090725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7253"/>
    <w:rPr>
      <w:i/>
    </w:rPr>
  </w:style>
  <w:style w:type="character" w:customStyle="1" w:styleId="SOHeadItalicChar">
    <w:name w:val="SO HeadItalic Char"/>
    <w:aliases w:val="sohi Char"/>
    <w:basedOn w:val="DefaultParagraphFont"/>
    <w:link w:val="SOHeadItalic"/>
    <w:rsid w:val="00907253"/>
    <w:rPr>
      <w:rFonts w:eastAsiaTheme="minorHAnsi" w:cstheme="minorBidi"/>
      <w:i/>
      <w:sz w:val="22"/>
      <w:lang w:eastAsia="en-US"/>
    </w:rPr>
  </w:style>
  <w:style w:type="paragraph" w:customStyle="1" w:styleId="SOBullet">
    <w:name w:val="SO Bullet"/>
    <w:aliases w:val="sotb"/>
    <w:basedOn w:val="SOText"/>
    <w:link w:val="SOBulletChar"/>
    <w:qFormat/>
    <w:rsid w:val="00907253"/>
    <w:pPr>
      <w:ind w:left="1559" w:hanging="425"/>
    </w:pPr>
  </w:style>
  <w:style w:type="character" w:customStyle="1" w:styleId="SOBulletChar">
    <w:name w:val="SO Bullet Char"/>
    <w:aliases w:val="sotb Char"/>
    <w:basedOn w:val="DefaultParagraphFont"/>
    <w:link w:val="SOBullet"/>
    <w:rsid w:val="00907253"/>
    <w:rPr>
      <w:rFonts w:eastAsiaTheme="minorHAnsi" w:cstheme="minorBidi"/>
      <w:sz w:val="22"/>
      <w:lang w:eastAsia="en-US"/>
    </w:rPr>
  </w:style>
  <w:style w:type="paragraph" w:customStyle="1" w:styleId="SOBulletNote">
    <w:name w:val="SO BulletNote"/>
    <w:aliases w:val="sonb"/>
    <w:basedOn w:val="SOTextNote"/>
    <w:link w:val="SOBulletNoteChar"/>
    <w:qFormat/>
    <w:rsid w:val="00907253"/>
    <w:pPr>
      <w:tabs>
        <w:tab w:val="left" w:pos="1560"/>
      </w:tabs>
      <w:ind w:left="2268" w:hanging="1134"/>
    </w:pPr>
  </w:style>
  <w:style w:type="character" w:customStyle="1" w:styleId="SOBulletNoteChar">
    <w:name w:val="SO BulletNote Char"/>
    <w:aliases w:val="sonb Char"/>
    <w:basedOn w:val="DefaultParagraphFont"/>
    <w:link w:val="SOBulletNote"/>
    <w:rsid w:val="00907253"/>
    <w:rPr>
      <w:rFonts w:eastAsiaTheme="minorHAnsi" w:cstheme="minorBidi"/>
      <w:sz w:val="18"/>
      <w:lang w:eastAsia="en-US"/>
    </w:rPr>
  </w:style>
  <w:style w:type="paragraph" w:styleId="Revision">
    <w:name w:val="Revision"/>
    <w:hidden/>
    <w:uiPriority w:val="99"/>
    <w:semiHidden/>
    <w:rsid w:val="002F4A4F"/>
    <w:rPr>
      <w:rFonts w:eastAsiaTheme="minorHAnsi" w:cstheme="minorBidi"/>
      <w:sz w:val="22"/>
      <w:lang w:eastAsia="en-US"/>
    </w:rPr>
  </w:style>
  <w:style w:type="paragraph" w:customStyle="1" w:styleId="ETAsubitem">
    <w:name w:val="ETA(subitem)"/>
    <w:basedOn w:val="OPCParaBase"/>
    <w:rsid w:val="00907253"/>
    <w:pPr>
      <w:tabs>
        <w:tab w:val="right" w:pos="340"/>
      </w:tabs>
      <w:spacing w:before="60" w:line="240" w:lineRule="auto"/>
      <w:ind w:left="454" w:hanging="454"/>
    </w:pPr>
    <w:rPr>
      <w:sz w:val="20"/>
    </w:rPr>
  </w:style>
  <w:style w:type="paragraph" w:customStyle="1" w:styleId="ETApara">
    <w:name w:val="ETA(para)"/>
    <w:basedOn w:val="OPCParaBase"/>
    <w:rsid w:val="00907253"/>
    <w:pPr>
      <w:tabs>
        <w:tab w:val="right" w:pos="754"/>
      </w:tabs>
      <w:spacing w:before="60" w:line="240" w:lineRule="auto"/>
      <w:ind w:left="828" w:hanging="828"/>
    </w:pPr>
    <w:rPr>
      <w:sz w:val="20"/>
    </w:rPr>
  </w:style>
  <w:style w:type="paragraph" w:customStyle="1" w:styleId="ETAsubpara">
    <w:name w:val="ETA(subpara)"/>
    <w:basedOn w:val="OPCParaBase"/>
    <w:rsid w:val="00907253"/>
    <w:pPr>
      <w:tabs>
        <w:tab w:val="right" w:pos="1083"/>
      </w:tabs>
      <w:spacing w:before="60" w:line="240" w:lineRule="auto"/>
      <w:ind w:left="1191" w:hanging="1191"/>
    </w:pPr>
    <w:rPr>
      <w:sz w:val="20"/>
    </w:rPr>
  </w:style>
  <w:style w:type="paragraph" w:customStyle="1" w:styleId="ETAsub-subpara">
    <w:name w:val="ETA(sub-subpara)"/>
    <w:basedOn w:val="OPCParaBase"/>
    <w:rsid w:val="0090725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07253"/>
    <w:rPr>
      <w:b/>
      <w:sz w:val="28"/>
      <w:szCs w:val="28"/>
    </w:rPr>
  </w:style>
  <w:style w:type="paragraph" w:customStyle="1" w:styleId="NotesHeading2">
    <w:name w:val="NotesHeading 2"/>
    <w:basedOn w:val="OPCParaBase"/>
    <w:next w:val="Normal"/>
    <w:rsid w:val="00907253"/>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7253"/>
    <w:pPr>
      <w:spacing w:line="260" w:lineRule="atLeast"/>
    </w:pPr>
    <w:rPr>
      <w:rFonts w:eastAsiaTheme="minorHAnsi" w:cstheme="minorBidi"/>
      <w:sz w:val="22"/>
      <w:lang w:eastAsia="en-US"/>
    </w:rPr>
  </w:style>
  <w:style w:type="paragraph" w:styleId="Heading1">
    <w:name w:val="heading 1"/>
    <w:next w:val="Heading2"/>
    <w:autoRedefine/>
    <w:qFormat/>
    <w:rsid w:val="00163012"/>
    <w:pPr>
      <w:keepNext/>
      <w:keepLines/>
      <w:ind w:left="1134" w:hanging="1134"/>
      <w:outlineLvl w:val="0"/>
    </w:pPr>
    <w:rPr>
      <w:b/>
      <w:bCs/>
      <w:kern w:val="28"/>
      <w:sz w:val="36"/>
      <w:szCs w:val="32"/>
    </w:rPr>
  </w:style>
  <w:style w:type="paragraph" w:styleId="Heading2">
    <w:name w:val="heading 2"/>
    <w:basedOn w:val="Heading1"/>
    <w:next w:val="Heading3"/>
    <w:autoRedefine/>
    <w:qFormat/>
    <w:rsid w:val="00163012"/>
    <w:pPr>
      <w:spacing w:before="280"/>
      <w:outlineLvl w:val="1"/>
    </w:pPr>
    <w:rPr>
      <w:bCs w:val="0"/>
      <w:iCs/>
      <w:sz w:val="32"/>
      <w:szCs w:val="28"/>
    </w:rPr>
  </w:style>
  <w:style w:type="paragraph" w:styleId="Heading3">
    <w:name w:val="heading 3"/>
    <w:basedOn w:val="Heading1"/>
    <w:next w:val="Heading4"/>
    <w:autoRedefine/>
    <w:qFormat/>
    <w:rsid w:val="00163012"/>
    <w:pPr>
      <w:spacing w:before="240"/>
      <w:outlineLvl w:val="2"/>
    </w:pPr>
    <w:rPr>
      <w:bCs w:val="0"/>
      <w:sz w:val="28"/>
      <w:szCs w:val="26"/>
    </w:rPr>
  </w:style>
  <w:style w:type="paragraph" w:styleId="Heading4">
    <w:name w:val="heading 4"/>
    <w:basedOn w:val="Heading1"/>
    <w:next w:val="Heading5"/>
    <w:autoRedefine/>
    <w:qFormat/>
    <w:rsid w:val="00163012"/>
    <w:pPr>
      <w:spacing w:before="220"/>
      <w:outlineLvl w:val="3"/>
    </w:pPr>
    <w:rPr>
      <w:bCs w:val="0"/>
      <w:sz w:val="26"/>
      <w:szCs w:val="28"/>
    </w:rPr>
  </w:style>
  <w:style w:type="paragraph" w:styleId="Heading5">
    <w:name w:val="heading 5"/>
    <w:basedOn w:val="Heading1"/>
    <w:next w:val="subsection"/>
    <w:autoRedefine/>
    <w:qFormat/>
    <w:rsid w:val="00163012"/>
    <w:pPr>
      <w:spacing w:before="280"/>
      <w:outlineLvl w:val="4"/>
    </w:pPr>
    <w:rPr>
      <w:bCs w:val="0"/>
      <w:iCs/>
      <w:sz w:val="24"/>
      <w:szCs w:val="26"/>
    </w:rPr>
  </w:style>
  <w:style w:type="paragraph" w:styleId="Heading6">
    <w:name w:val="heading 6"/>
    <w:basedOn w:val="Heading1"/>
    <w:next w:val="Heading7"/>
    <w:autoRedefine/>
    <w:qFormat/>
    <w:rsid w:val="00163012"/>
    <w:pPr>
      <w:outlineLvl w:val="5"/>
    </w:pPr>
    <w:rPr>
      <w:rFonts w:ascii="Arial" w:hAnsi="Arial" w:cs="Arial"/>
      <w:bCs w:val="0"/>
      <w:sz w:val="32"/>
      <w:szCs w:val="22"/>
    </w:rPr>
  </w:style>
  <w:style w:type="paragraph" w:styleId="Heading7">
    <w:name w:val="heading 7"/>
    <w:basedOn w:val="Heading6"/>
    <w:next w:val="Normal"/>
    <w:autoRedefine/>
    <w:qFormat/>
    <w:rsid w:val="00163012"/>
    <w:pPr>
      <w:spacing w:before="280"/>
      <w:outlineLvl w:val="6"/>
    </w:pPr>
    <w:rPr>
      <w:sz w:val="28"/>
    </w:rPr>
  </w:style>
  <w:style w:type="paragraph" w:styleId="Heading8">
    <w:name w:val="heading 8"/>
    <w:basedOn w:val="Heading6"/>
    <w:next w:val="Normal"/>
    <w:autoRedefine/>
    <w:qFormat/>
    <w:rsid w:val="00163012"/>
    <w:pPr>
      <w:spacing w:before="240"/>
      <w:outlineLvl w:val="7"/>
    </w:pPr>
    <w:rPr>
      <w:iCs/>
      <w:sz w:val="26"/>
    </w:rPr>
  </w:style>
  <w:style w:type="paragraph" w:styleId="Heading9">
    <w:name w:val="heading 9"/>
    <w:basedOn w:val="Heading1"/>
    <w:next w:val="Normal"/>
    <w:autoRedefine/>
    <w:qFormat/>
    <w:rsid w:val="00163012"/>
    <w:pPr>
      <w:keepNext w:val="0"/>
      <w:spacing w:before="280"/>
      <w:outlineLvl w:val="8"/>
    </w:pPr>
    <w:rPr>
      <w:i/>
      <w:sz w:val="28"/>
      <w:szCs w:val="22"/>
    </w:rPr>
  </w:style>
  <w:style w:type="character" w:default="1" w:styleId="DefaultParagraphFont">
    <w:name w:val="Default Paragraph Font"/>
    <w:uiPriority w:val="1"/>
    <w:unhideWhenUsed/>
    <w:rsid w:val="009072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253"/>
  </w:style>
  <w:style w:type="paragraph" w:customStyle="1" w:styleId="Actno">
    <w:name w:val="Actno"/>
    <w:basedOn w:val="ShortT"/>
    <w:next w:val="Normal"/>
    <w:link w:val="ActnoChar"/>
    <w:qFormat/>
    <w:rsid w:val="00907253"/>
  </w:style>
  <w:style w:type="paragraph" w:customStyle="1" w:styleId="BoxHeadBold">
    <w:name w:val="BoxHeadBold"/>
    <w:aliases w:val="bhb"/>
    <w:basedOn w:val="BoxText"/>
    <w:next w:val="BoxText"/>
    <w:qFormat/>
    <w:rsid w:val="00907253"/>
    <w:rPr>
      <w:b/>
    </w:rPr>
  </w:style>
  <w:style w:type="paragraph" w:customStyle="1" w:styleId="BoxList">
    <w:name w:val="BoxList"/>
    <w:aliases w:val="bl"/>
    <w:basedOn w:val="BoxText"/>
    <w:qFormat/>
    <w:rsid w:val="00907253"/>
    <w:pPr>
      <w:ind w:left="1559" w:hanging="425"/>
    </w:pPr>
  </w:style>
  <w:style w:type="paragraph" w:customStyle="1" w:styleId="BoxPara">
    <w:name w:val="BoxPara"/>
    <w:aliases w:val="bp"/>
    <w:basedOn w:val="BoxText"/>
    <w:qFormat/>
    <w:rsid w:val="00907253"/>
    <w:pPr>
      <w:tabs>
        <w:tab w:val="right" w:pos="2268"/>
      </w:tabs>
      <w:ind w:left="2552" w:hanging="1418"/>
    </w:pPr>
  </w:style>
  <w:style w:type="paragraph" w:customStyle="1" w:styleId="BoxText">
    <w:name w:val="BoxText"/>
    <w:aliases w:val="bt"/>
    <w:basedOn w:val="OPCParaBase"/>
    <w:qFormat/>
    <w:rsid w:val="0090725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907253"/>
  </w:style>
  <w:style w:type="character" w:customStyle="1" w:styleId="CharAmPartText">
    <w:name w:val="CharAmPartText"/>
    <w:basedOn w:val="OPCCharBase"/>
    <w:qFormat/>
    <w:rsid w:val="00907253"/>
  </w:style>
  <w:style w:type="character" w:customStyle="1" w:styleId="CharAmSchNo">
    <w:name w:val="CharAmSchNo"/>
    <w:basedOn w:val="OPCCharBase"/>
    <w:qFormat/>
    <w:rsid w:val="00907253"/>
  </w:style>
  <w:style w:type="character" w:customStyle="1" w:styleId="CharAmSchText">
    <w:name w:val="CharAmSchText"/>
    <w:basedOn w:val="OPCCharBase"/>
    <w:qFormat/>
    <w:rsid w:val="00907253"/>
  </w:style>
  <w:style w:type="character" w:customStyle="1" w:styleId="CharBoldItalic">
    <w:name w:val="CharBoldItalic"/>
    <w:basedOn w:val="OPCCharBase"/>
    <w:uiPriority w:val="1"/>
    <w:qFormat/>
    <w:rsid w:val="00907253"/>
    <w:rPr>
      <w:b/>
      <w:i/>
    </w:rPr>
  </w:style>
  <w:style w:type="character" w:customStyle="1" w:styleId="CharChapNo">
    <w:name w:val="CharChapNo"/>
    <w:basedOn w:val="OPCCharBase"/>
    <w:qFormat/>
    <w:rsid w:val="00907253"/>
  </w:style>
  <w:style w:type="character" w:customStyle="1" w:styleId="CharChapText">
    <w:name w:val="CharChapText"/>
    <w:basedOn w:val="OPCCharBase"/>
    <w:qFormat/>
    <w:rsid w:val="00907253"/>
  </w:style>
  <w:style w:type="character" w:customStyle="1" w:styleId="CharDivNo">
    <w:name w:val="CharDivNo"/>
    <w:basedOn w:val="OPCCharBase"/>
    <w:qFormat/>
    <w:rsid w:val="00907253"/>
  </w:style>
  <w:style w:type="character" w:customStyle="1" w:styleId="CharDivText">
    <w:name w:val="CharDivText"/>
    <w:basedOn w:val="OPCCharBase"/>
    <w:qFormat/>
    <w:rsid w:val="00907253"/>
  </w:style>
  <w:style w:type="character" w:customStyle="1" w:styleId="CharPartNo">
    <w:name w:val="CharPartNo"/>
    <w:basedOn w:val="OPCCharBase"/>
    <w:qFormat/>
    <w:rsid w:val="00907253"/>
  </w:style>
  <w:style w:type="character" w:customStyle="1" w:styleId="CharPartText">
    <w:name w:val="CharPartText"/>
    <w:basedOn w:val="OPCCharBase"/>
    <w:qFormat/>
    <w:rsid w:val="00907253"/>
  </w:style>
  <w:style w:type="character" w:customStyle="1" w:styleId="CharSectno">
    <w:name w:val="CharSectno"/>
    <w:basedOn w:val="OPCCharBase"/>
    <w:qFormat/>
    <w:rsid w:val="00907253"/>
  </w:style>
  <w:style w:type="character" w:customStyle="1" w:styleId="CharSubdNo">
    <w:name w:val="CharSubdNo"/>
    <w:basedOn w:val="OPCCharBase"/>
    <w:uiPriority w:val="1"/>
    <w:qFormat/>
    <w:rsid w:val="00907253"/>
  </w:style>
  <w:style w:type="character" w:customStyle="1" w:styleId="CharSubdText">
    <w:name w:val="CharSubdText"/>
    <w:basedOn w:val="OPCCharBase"/>
    <w:uiPriority w:val="1"/>
    <w:qFormat/>
    <w:rsid w:val="00907253"/>
  </w:style>
  <w:style w:type="paragraph" w:customStyle="1" w:styleId="Blocks">
    <w:name w:val="Blocks"/>
    <w:aliases w:val="bb"/>
    <w:basedOn w:val="OPCParaBase"/>
    <w:qFormat/>
    <w:rsid w:val="00907253"/>
    <w:pPr>
      <w:spacing w:line="240" w:lineRule="auto"/>
    </w:pPr>
    <w:rPr>
      <w:sz w:val="24"/>
    </w:rPr>
  </w:style>
  <w:style w:type="paragraph" w:customStyle="1" w:styleId="BoxHeadItalic">
    <w:name w:val="BoxHeadItalic"/>
    <w:aliases w:val="bhi"/>
    <w:basedOn w:val="BoxText"/>
    <w:next w:val="BoxStep"/>
    <w:qFormat/>
    <w:rsid w:val="00907253"/>
    <w:rPr>
      <w:i/>
    </w:rPr>
  </w:style>
  <w:style w:type="paragraph" w:customStyle="1" w:styleId="BoxNote">
    <w:name w:val="BoxNote"/>
    <w:aliases w:val="bn"/>
    <w:basedOn w:val="BoxText"/>
    <w:qFormat/>
    <w:rsid w:val="00907253"/>
    <w:pPr>
      <w:tabs>
        <w:tab w:val="left" w:pos="1985"/>
      </w:tabs>
      <w:spacing w:before="122" w:line="198" w:lineRule="exact"/>
      <w:ind w:left="2948" w:hanging="1814"/>
    </w:pPr>
    <w:rPr>
      <w:sz w:val="18"/>
    </w:rPr>
  </w:style>
  <w:style w:type="paragraph" w:customStyle="1" w:styleId="BoxStep">
    <w:name w:val="BoxStep"/>
    <w:aliases w:val="bs"/>
    <w:basedOn w:val="BoxText"/>
    <w:qFormat/>
    <w:rsid w:val="00907253"/>
    <w:pPr>
      <w:ind w:left="1985" w:hanging="851"/>
    </w:pPr>
  </w:style>
  <w:style w:type="paragraph" w:customStyle="1" w:styleId="Definition">
    <w:name w:val="Definition"/>
    <w:aliases w:val="dd"/>
    <w:basedOn w:val="OPCParaBase"/>
    <w:rsid w:val="00907253"/>
    <w:pPr>
      <w:spacing w:before="180" w:line="240" w:lineRule="auto"/>
      <w:ind w:left="1134"/>
    </w:pPr>
  </w:style>
  <w:style w:type="paragraph" w:customStyle="1" w:styleId="House">
    <w:name w:val="House"/>
    <w:basedOn w:val="OPCParaBase"/>
    <w:rsid w:val="00907253"/>
    <w:pPr>
      <w:spacing w:line="240" w:lineRule="auto"/>
    </w:pPr>
    <w:rPr>
      <w:sz w:val="28"/>
    </w:rPr>
  </w:style>
  <w:style w:type="paragraph" w:customStyle="1" w:styleId="paragraph">
    <w:name w:val="paragraph"/>
    <w:aliases w:val="a"/>
    <w:basedOn w:val="OPCParaBase"/>
    <w:rsid w:val="00907253"/>
    <w:pPr>
      <w:tabs>
        <w:tab w:val="right" w:pos="1531"/>
      </w:tabs>
      <w:spacing w:before="40" w:line="240" w:lineRule="auto"/>
      <w:ind w:left="1644" w:hanging="1644"/>
    </w:pPr>
  </w:style>
  <w:style w:type="paragraph" w:customStyle="1" w:styleId="paragraphsub">
    <w:name w:val="paragraph(sub)"/>
    <w:aliases w:val="aa"/>
    <w:basedOn w:val="OPCParaBase"/>
    <w:rsid w:val="00907253"/>
    <w:pPr>
      <w:tabs>
        <w:tab w:val="right" w:pos="1985"/>
      </w:tabs>
      <w:spacing w:before="40" w:line="240" w:lineRule="auto"/>
      <w:ind w:left="2098" w:hanging="2098"/>
    </w:pPr>
  </w:style>
  <w:style w:type="paragraph" w:customStyle="1" w:styleId="Formula">
    <w:name w:val="Formula"/>
    <w:basedOn w:val="OPCParaBase"/>
    <w:rsid w:val="00907253"/>
    <w:pPr>
      <w:spacing w:line="240" w:lineRule="auto"/>
      <w:ind w:left="1134"/>
    </w:pPr>
    <w:rPr>
      <w:sz w:val="20"/>
    </w:rPr>
  </w:style>
  <w:style w:type="paragraph" w:customStyle="1" w:styleId="paragraphsub-sub">
    <w:name w:val="paragraph(sub-sub)"/>
    <w:aliases w:val="aaa"/>
    <w:basedOn w:val="OPCParaBase"/>
    <w:rsid w:val="00907253"/>
    <w:pPr>
      <w:tabs>
        <w:tab w:val="right" w:pos="2722"/>
      </w:tabs>
      <w:spacing w:before="40" w:line="240" w:lineRule="auto"/>
      <w:ind w:left="2835" w:hanging="2835"/>
    </w:pPr>
  </w:style>
  <w:style w:type="paragraph" w:customStyle="1" w:styleId="Item">
    <w:name w:val="Item"/>
    <w:aliases w:val="i"/>
    <w:basedOn w:val="OPCParaBase"/>
    <w:next w:val="ItemHead"/>
    <w:rsid w:val="00907253"/>
    <w:pPr>
      <w:keepLines/>
      <w:spacing w:before="80" w:line="240" w:lineRule="auto"/>
      <w:ind w:left="709"/>
    </w:pPr>
  </w:style>
  <w:style w:type="paragraph" w:customStyle="1" w:styleId="ItemHead">
    <w:name w:val="ItemHead"/>
    <w:aliases w:val="ih"/>
    <w:basedOn w:val="OPCParaBase"/>
    <w:next w:val="Item"/>
    <w:rsid w:val="0090725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907253"/>
    <w:pPr>
      <w:spacing w:before="240" w:line="240" w:lineRule="auto"/>
      <w:ind w:left="284" w:hanging="284"/>
    </w:pPr>
    <w:rPr>
      <w:i/>
      <w:sz w:val="24"/>
    </w:rPr>
  </w:style>
  <w:style w:type="paragraph" w:customStyle="1" w:styleId="notepara">
    <w:name w:val="note(para)"/>
    <w:aliases w:val="na"/>
    <w:basedOn w:val="OPCParaBase"/>
    <w:rsid w:val="00907253"/>
    <w:pPr>
      <w:spacing w:before="40" w:line="198" w:lineRule="exact"/>
      <w:ind w:left="2354" w:hanging="369"/>
    </w:pPr>
    <w:rPr>
      <w:sz w:val="18"/>
    </w:rPr>
  </w:style>
  <w:style w:type="paragraph" w:customStyle="1" w:styleId="LongT">
    <w:name w:val="LongT"/>
    <w:basedOn w:val="OPCParaBase"/>
    <w:rsid w:val="00907253"/>
    <w:pPr>
      <w:spacing w:line="240" w:lineRule="auto"/>
    </w:pPr>
    <w:rPr>
      <w:b/>
      <w:sz w:val="32"/>
    </w:rPr>
  </w:style>
  <w:style w:type="paragraph" w:customStyle="1" w:styleId="notemargin">
    <w:name w:val="note(margin)"/>
    <w:aliases w:val="nm"/>
    <w:basedOn w:val="OPCParaBase"/>
    <w:rsid w:val="0090725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07253"/>
    <w:pPr>
      <w:spacing w:line="240" w:lineRule="auto"/>
      <w:jc w:val="right"/>
    </w:pPr>
    <w:rPr>
      <w:rFonts w:ascii="Arial" w:hAnsi="Arial"/>
      <w:b/>
      <w:i/>
    </w:rPr>
  </w:style>
  <w:style w:type="paragraph" w:customStyle="1" w:styleId="Page1">
    <w:name w:val="Page1"/>
    <w:basedOn w:val="OPCParaBase"/>
    <w:rsid w:val="00907253"/>
    <w:pPr>
      <w:spacing w:before="5600" w:line="240" w:lineRule="auto"/>
    </w:pPr>
    <w:rPr>
      <w:b/>
      <w:sz w:val="32"/>
    </w:rPr>
  </w:style>
  <w:style w:type="paragraph" w:customStyle="1" w:styleId="EnStatement">
    <w:name w:val="EnStatement"/>
    <w:basedOn w:val="Normal"/>
    <w:rsid w:val="00907253"/>
    <w:pPr>
      <w:numPr>
        <w:numId w:val="40"/>
      </w:numPr>
    </w:pPr>
    <w:rPr>
      <w:rFonts w:eastAsia="Times New Roman" w:cs="Times New Roman"/>
      <w:lang w:eastAsia="en-AU"/>
    </w:rPr>
  </w:style>
  <w:style w:type="paragraph" w:customStyle="1" w:styleId="Penalty">
    <w:name w:val="Penalty"/>
    <w:basedOn w:val="OPCParaBase"/>
    <w:rsid w:val="00907253"/>
    <w:pPr>
      <w:tabs>
        <w:tab w:val="left" w:pos="2977"/>
      </w:tabs>
      <w:spacing w:before="180" w:line="240" w:lineRule="auto"/>
      <w:ind w:left="1985" w:hanging="851"/>
    </w:pPr>
  </w:style>
  <w:style w:type="paragraph" w:customStyle="1" w:styleId="Portfolio">
    <w:name w:val="Portfolio"/>
    <w:basedOn w:val="OPCParaBase"/>
    <w:rsid w:val="00907253"/>
    <w:pPr>
      <w:spacing w:line="240" w:lineRule="auto"/>
    </w:pPr>
    <w:rPr>
      <w:i/>
      <w:sz w:val="20"/>
    </w:rPr>
  </w:style>
  <w:style w:type="paragraph" w:customStyle="1" w:styleId="Reading">
    <w:name w:val="Reading"/>
    <w:basedOn w:val="OPCParaBase"/>
    <w:rsid w:val="00907253"/>
    <w:pPr>
      <w:spacing w:line="240" w:lineRule="auto"/>
    </w:pPr>
    <w:rPr>
      <w:i/>
      <w:sz w:val="20"/>
    </w:rPr>
  </w:style>
  <w:style w:type="paragraph" w:customStyle="1" w:styleId="EnStatementHeading">
    <w:name w:val="EnStatementHeading"/>
    <w:basedOn w:val="Normal"/>
    <w:rsid w:val="00907253"/>
    <w:rPr>
      <w:rFonts w:eastAsia="Times New Roman" w:cs="Times New Roman"/>
      <w:b/>
      <w:lang w:eastAsia="en-AU"/>
    </w:rPr>
  </w:style>
  <w:style w:type="paragraph" w:customStyle="1" w:styleId="ShortT">
    <w:name w:val="ShortT"/>
    <w:basedOn w:val="OPCParaBase"/>
    <w:next w:val="Normal"/>
    <w:link w:val="ShortTChar"/>
    <w:qFormat/>
    <w:rsid w:val="00907253"/>
    <w:pPr>
      <w:spacing w:line="240" w:lineRule="auto"/>
    </w:pPr>
    <w:rPr>
      <w:b/>
      <w:sz w:val="40"/>
    </w:rPr>
  </w:style>
  <w:style w:type="paragraph" w:customStyle="1" w:styleId="Sponsor">
    <w:name w:val="Sponsor"/>
    <w:basedOn w:val="OPCParaBase"/>
    <w:rsid w:val="00907253"/>
    <w:pPr>
      <w:spacing w:line="240" w:lineRule="auto"/>
    </w:pPr>
    <w:rPr>
      <w:i/>
    </w:rPr>
  </w:style>
  <w:style w:type="paragraph" w:customStyle="1" w:styleId="Subitem">
    <w:name w:val="Subitem"/>
    <w:aliases w:val="iss"/>
    <w:basedOn w:val="OPCParaBase"/>
    <w:rsid w:val="00907253"/>
    <w:pPr>
      <w:spacing w:before="180" w:line="240" w:lineRule="auto"/>
      <w:ind w:left="709" w:hanging="709"/>
    </w:pPr>
  </w:style>
  <w:style w:type="paragraph" w:customStyle="1" w:styleId="subsection">
    <w:name w:val="subsection"/>
    <w:aliases w:val="ss"/>
    <w:basedOn w:val="OPCParaBase"/>
    <w:rsid w:val="0090725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907253"/>
    <w:pPr>
      <w:keepNext/>
      <w:keepLines/>
      <w:spacing w:before="240" w:line="240" w:lineRule="auto"/>
      <w:ind w:left="1134"/>
    </w:pPr>
    <w:rPr>
      <w:i/>
    </w:rPr>
  </w:style>
  <w:style w:type="paragraph" w:customStyle="1" w:styleId="Tablea">
    <w:name w:val="Table(a)"/>
    <w:aliases w:val="ta"/>
    <w:basedOn w:val="OPCParaBase"/>
    <w:rsid w:val="00907253"/>
    <w:pPr>
      <w:spacing w:before="60" w:line="240" w:lineRule="auto"/>
      <w:ind w:left="284" w:hanging="284"/>
    </w:pPr>
    <w:rPr>
      <w:sz w:val="20"/>
    </w:rPr>
  </w:style>
  <w:style w:type="paragraph" w:customStyle="1" w:styleId="Tablei">
    <w:name w:val="Table(i)"/>
    <w:aliases w:val="taa"/>
    <w:basedOn w:val="OPCParaBase"/>
    <w:rsid w:val="00907253"/>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907253"/>
    <w:pPr>
      <w:spacing w:before="122" w:line="198" w:lineRule="exact"/>
      <w:ind w:left="1985" w:hanging="851"/>
      <w:jc w:val="right"/>
    </w:pPr>
    <w:rPr>
      <w:sz w:val="18"/>
    </w:rPr>
  </w:style>
  <w:style w:type="paragraph" w:customStyle="1" w:styleId="notetext">
    <w:name w:val="note(text)"/>
    <w:aliases w:val="n"/>
    <w:basedOn w:val="OPCParaBase"/>
    <w:rsid w:val="00907253"/>
    <w:pPr>
      <w:spacing w:before="122" w:line="240" w:lineRule="auto"/>
      <w:ind w:left="1985" w:hanging="851"/>
    </w:pPr>
    <w:rPr>
      <w:sz w:val="18"/>
    </w:rPr>
  </w:style>
  <w:style w:type="paragraph" w:customStyle="1" w:styleId="PageBreak">
    <w:name w:val="PageBreak"/>
    <w:aliases w:val="pb"/>
    <w:basedOn w:val="OPCParaBase"/>
    <w:rsid w:val="00907253"/>
    <w:pPr>
      <w:spacing w:line="240" w:lineRule="auto"/>
    </w:pPr>
    <w:rPr>
      <w:sz w:val="20"/>
    </w:rPr>
  </w:style>
  <w:style w:type="paragraph" w:customStyle="1" w:styleId="ParlAmend">
    <w:name w:val="ParlAmend"/>
    <w:aliases w:val="pp"/>
    <w:basedOn w:val="OPCParaBase"/>
    <w:rsid w:val="00907253"/>
    <w:pPr>
      <w:spacing w:before="240" w:line="240" w:lineRule="atLeast"/>
      <w:ind w:hanging="567"/>
    </w:pPr>
    <w:rPr>
      <w:sz w:val="24"/>
    </w:rPr>
  </w:style>
  <w:style w:type="paragraph" w:customStyle="1" w:styleId="Preamble">
    <w:name w:val="Preamble"/>
    <w:basedOn w:val="OPCParaBase"/>
    <w:next w:val="Normal"/>
    <w:rsid w:val="0090725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907253"/>
    <w:pPr>
      <w:spacing w:line="240" w:lineRule="auto"/>
    </w:pPr>
    <w:rPr>
      <w:sz w:val="28"/>
    </w:rPr>
  </w:style>
  <w:style w:type="paragraph" w:customStyle="1" w:styleId="SubitemHead">
    <w:name w:val="SubitemHead"/>
    <w:aliases w:val="issh"/>
    <w:basedOn w:val="OPCParaBase"/>
    <w:rsid w:val="009072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7253"/>
    <w:pPr>
      <w:spacing w:before="40" w:line="240" w:lineRule="auto"/>
      <w:ind w:left="1134"/>
    </w:pPr>
  </w:style>
  <w:style w:type="paragraph" w:customStyle="1" w:styleId="TableAA">
    <w:name w:val="Table(AA)"/>
    <w:aliases w:val="taaa"/>
    <w:basedOn w:val="OPCParaBase"/>
    <w:rsid w:val="0090725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07253"/>
    <w:pPr>
      <w:spacing w:before="60" w:line="240" w:lineRule="atLeast"/>
    </w:pPr>
    <w:rPr>
      <w:sz w:val="20"/>
    </w:rPr>
  </w:style>
  <w:style w:type="paragraph" w:customStyle="1" w:styleId="TLPBoxTextnote">
    <w:name w:val="TLPBoxText(note"/>
    <w:aliases w:val="right)"/>
    <w:basedOn w:val="OPCParaBase"/>
    <w:rsid w:val="009072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7253"/>
    <w:pPr>
      <w:numPr>
        <w:numId w:val="3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907253"/>
    <w:pPr>
      <w:spacing w:line="240" w:lineRule="exact"/>
      <w:ind w:left="284" w:hanging="284"/>
    </w:pPr>
    <w:rPr>
      <w:sz w:val="20"/>
    </w:rPr>
  </w:style>
  <w:style w:type="paragraph" w:customStyle="1" w:styleId="TofSectsHeading">
    <w:name w:val="TofSects(Heading)"/>
    <w:basedOn w:val="OPCParaBase"/>
    <w:rsid w:val="00907253"/>
    <w:pPr>
      <w:spacing w:before="240" w:after="120" w:line="240" w:lineRule="auto"/>
    </w:pPr>
    <w:rPr>
      <w:b/>
      <w:sz w:val="24"/>
    </w:rPr>
  </w:style>
  <w:style w:type="paragraph" w:customStyle="1" w:styleId="TofSectsSubdiv">
    <w:name w:val="TofSects(Subdiv)"/>
    <w:basedOn w:val="OPCParaBase"/>
    <w:rsid w:val="0090725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907253"/>
    <w:pPr>
      <w:keepLines/>
      <w:spacing w:before="240" w:after="120" w:line="240" w:lineRule="auto"/>
      <w:ind w:left="794"/>
    </w:pPr>
    <w:rPr>
      <w:b/>
      <w:kern w:val="28"/>
      <w:sz w:val="20"/>
    </w:rPr>
  </w:style>
  <w:style w:type="paragraph" w:customStyle="1" w:styleId="TofSectsSection">
    <w:name w:val="TofSects(Section)"/>
    <w:basedOn w:val="OPCParaBase"/>
    <w:rsid w:val="0090725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907253"/>
    <w:pPr>
      <w:spacing w:line="240" w:lineRule="auto"/>
    </w:pPr>
    <w:rPr>
      <w:rFonts w:ascii="Tahoma" w:hAnsi="Tahoma" w:cs="Tahoma"/>
      <w:sz w:val="16"/>
      <w:szCs w:val="16"/>
    </w:rPr>
  </w:style>
  <w:style w:type="paragraph" w:styleId="BlockText">
    <w:name w:val="Block Text"/>
    <w:rsid w:val="00163012"/>
    <w:pPr>
      <w:spacing w:after="120"/>
      <w:ind w:left="1440" w:right="1440"/>
    </w:pPr>
    <w:rPr>
      <w:sz w:val="22"/>
      <w:szCs w:val="24"/>
    </w:rPr>
  </w:style>
  <w:style w:type="paragraph" w:styleId="BodyText">
    <w:name w:val="Body Text"/>
    <w:rsid w:val="00163012"/>
    <w:pPr>
      <w:spacing w:after="120"/>
    </w:pPr>
    <w:rPr>
      <w:sz w:val="22"/>
      <w:szCs w:val="24"/>
    </w:rPr>
  </w:style>
  <w:style w:type="paragraph" w:styleId="BodyText2">
    <w:name w:val="Body Text 2"/>
    <w:rsid w:val="00163012"/>
    <w:pPr>
      <w:spacing w:after="120" w:line="480" w:lineRule="auto"/>
    </w:pPr>
    <w:rPr>
      <w:sz w:val="22"/>
      <w:szCs w:val="24"/>
    </w:rPr>
  </w:style>
  <w:style w:type="paragraph" w:styleId="BodyText3">
    <w:name w:val="Body Text 3"/>
    <w:rsid w:val="00163012"/>
    <w:pPr>
      <w:spacing w:after="120"/>
    </w:pPr>
    <w:rPr>
      <w:sz w:val="16"/>
      <w:szCs w:val="16"/>
    </w:rPr>
  </w:style>
  <w:style w:type="paragraph" w:styleId="BodyTextIndent">
    <w:name w:val="Body Text Indent"/>
    <w:rsid w:val="00163012"/>
    <w:pPr>
      <w:spacing w:after="120"/>
      <w:ind w:left="283"/>
    </w:pPr>
    <w:rPr>
      <w:sz w:val="22"/>
      <w:szCs w:val="24"/>
    </w:rPr>
  </w:style>
  <w:style w:type="paragraph" w:styleId="BodyTextIndent2">
    <w:name w:val="Body Text Indent 2"/>
    <w:rsid w:val="00163012"/>
    <w:pPr>
      <w:spacing w:after="120" w:line="480" w:lineRule="auto"/>
      <w:ind w:left="283"/>
    </w:pPr>
    <w:rPr>
      <w:sz w:val="22"/>
      <w:szCs w:val="24"/>
    </w:rPr>
  </w:style>
  <w:style w:type="paragraph" w:styleId="BodyTextIndent3">
    <w:name w:val="Body Text Indent 3"/>
    <w:rsid w:val="00163012"/>
    <w:pPr>
      <w:spacing w:after="120"/>
      <w:ind w:left="283"/>
    </w:pPr>
    <w:rPr>
      <w:sz w:val="16"/>
      <w:szCs w:val="16"/>
    </w:rPr>
  </w:style>
  <w:style w:type="paragraph" w:styleId="Caption">
    <w:name w:val="caption"/>
    <w:next w:val="Normal"/>
    <w:qFormat/>
    <w:rsid w:val="00163012"/>
    <w:pPr>
      <w:spacing w:before="120" w:after="120"/>
    </w:pPr>
    <w:rPr>
      <w:b/>
      <w:bCs/>
    </w:rPr>
  </w:style>
  <w:style w:type="paragraph" w:styleId="Closing">
    <w:name w:val="Closing"/>
    <w:rsid w:val="00163012"/>
    <w:pPr>
      <w:ind w:left="4252"/>
    </w:pPr>
    <w:rPr>
      <w:sz w:val="22"/>
      <w:szCs w:val="24"/>
    </w:rPr>
  </w:style>
  <w:style w:type="paragraph" w:styleId="CommentText">
    <w:name w:val="annotation text"/>
    <w:rsid w:val="00163012"/>
  </w:style>
  <w:style w:type="paragraph" w:styleId="CommentSubject">
    <w:name w:val="annotation subject"/>
    <w:next w:val="CommentText"/>
    <w:rsid w:val="00163012"/>
    <w:rPr>
      <w:b/>
      <w:bCs/>
      <w:szCs w:val="24"/>
    </w:rPr>
  </w:style>
  <w:style w:type="paragraph" w:styleId="Date">
    <w:name w:val="Date"/>
    <w:next w:val="Normal"/>
    <w:rsid w:val="00163012"/>
    <w:rPr>
      <w:sz w:val="22"/>
      <w:szCs w:val="24"/>
    </w:rPr>
  </w:style>
  <w:style w:type="paragraph" w:styleId="DocumentMap">
    <w:name w:val="Document Map"/>
    <w:rsid w:val="00163012"/>
    <w:pPr>
      <w:shd w:val="clear" w:color="auto" w:fill="000080"/>
    </w:pPr>
    <w:rPr>
      <w:rFonts w:ascii="Tahoma" w:hAnsi="Tahoma" w:cs="Tahoma"/>
      <w:sz w:val="22"/>
      <w:szCs w:val="24"/>
    </w:rPr>
  </w:style>
  <w:style w:type="paragraph" w:styleId="E-mailSignature">
    <w:name w:val="E-mail Signature"/>
    <w:rsid w:val="00163012"/>
    <w:rPr>
      <w:sz w:val="22"/>
      <w:szCs w:val="24"/>
    </w:rPr>
  </w:style>
  <w:style w:type="paragraph" w:styleId="EndnoteText">
    <w:name w:val="endnote text"/>
    <w:rsid w:val="00163012"/>
  </w:style>
  <w:style w:type="paragraph" w:styleId="EnvelopeAddress">
    <w:name w:val="envelope address"/>
    <w:rsid w:val="0016301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63012"/>
    <w:rPr>
      <w:rFonts w:ascii="Arial" w:hAnsi="Arial" w:cs="Arial"/>
    </w:rPr>
  </w:style>
  <w:style w:type="paragraph" w:styleId="Footer">
    <w:name w:val="footer"/>
    <w:link w:val="FooterChar"/>
    <w:rsid w:val="00907253"/>
    <w:pPr>
      <w:tabs>
        <w:tab w:val="center" w:pos="4153"/>
        <w:tab w:val="right" w:pos="8306"/>
      </w:tabs>
    </w:pPr>
    <w:rPr>
      <w:sz w:val="22"/>
      <w:szCs w:val="24"/>
    </w:rPr>
  </w:style>
  <w:style w:type="paragraph" w:styleId="FootnoteText">
    <w:name w:val="footnote text"/>
    <w:rsid w:val="00163012"/>
  </w:style>
  <w:style w:type="paragraph" w:styleId="Header">
    <w:name w:val="header"/>
    <w:basedOn w:val="OPCParaBase"/>
    <w:link w:val="HeaderChar"/>
    <w:unhideWhenUsed/>
    <w:rsid w:val="00907253"/>
    <w:pPr>
      <w:keepNext/>
      <w:keepLines/>
      <w:tabs>
        <w:tab w:val="center" w:pos="4150"/>
        <w:tab w:val="right" w:pos="8307"/>
      </w:tabs>
      <w:spacing w:line="160" w:lineRule="exact"/>
    </w:pPr>
    <w:rPr>
      <w:sz w:val="16"/>
    </w:rPr>
  </w:style>
  <w:style w:type="paragraph" w:styleId="HTMLAddress">
    <w:name w:val="HTML Address"/>
    <w:rsid w:val="00163012"/>
    <w:rPr>
      <w:i/>
      <w:iCs/>
      <w:sz w:val="22"/>
      <w:szCs w:val="24"/>
    </w:rPr>
  </w:style>
  <w:style w:type="paragraph" w:styleId="HTMLPreformatted">
    <w:name w:val="HTML Preformatted"/>
    <w:rsid w:val="00163012"/>
    <w:rPr>
      <w:rFonts w:ascii="Courier New" w:hAnsi="Courier New" w:cs="Courier New"/>
    </w:rPr>
  </w:style>
  <w:style w:type="paragraph" w:styleId="Index1">
    <w:name w:val="index 1"/>
    <w:next w:val="Normal"/>
    <w:rsid w:val="00163012"/>
    <w:pPr>
      <w:ind w:left="220" w:hanging="220"/>
    </w:pPr>
    <w:rPr>
      <w:sz w:val="22"/>
      <w:szCs w:val="24"/>
    </w:rPr>
  </w:style>
  <w:style w:type="paragraph" w:styleId="Index2">
    <w:name w:val="index 2"/>
    <w:next w:val="Normal"/>
    <w:rsid w:val="00163012"/>
    <w:pPr>
      <w:ind w:left="440" w:hanging="220"/>
    </w:pPr>
    <w:rPr>
      <w:sz w:val="22"/>
      <w:szCs w:val="24"/>
    </w:rPr>
  </w:style>
  <w:style w:type="paragraph" w:styleId="Index3">
    <w:name w:val="index 3"/>
    <w:next w:val="Normal"/>
    <w:rsid w:val="00163012"/>
    <w:pPr>
      <w:ind w:left="660" w:hanging="220"/>
    </w:pPr>
    <w:rPr>
      <w:sz w:val="22"/>
      <w:szCs w:val="24"/>
    </w:rPr>
  </w:style>
  <w:style w:type="paragraph" w:styleId="Index4">
    <w:name w:val="index 4"/>
    <w:next w:val="Normal"/>
    <w:rsid w:val="00163012"/>
    <w:pPr>
      <w:ind w:left="880" w:hanging="220"/>
    </w:pPr>
    <w:rPr>
      <w:sz w:val="22"/>
      <w:szCs w:val="24"/>
    </w:rPr>
  </w:style>
  <w:style w:type="paragraph" w:styleId="Index5">
    <w:name w:val="index 5"/>
    <w:next w:val="Normal"/>
    <w:rsid w:val="00163012"/>
    <w:pPr>
      <w:ind w:left="1100" w:hanging="220"/>
    </w:pPr>
    <w:rPr>
      <w:sz w:val="22"/>
      <w:szCs w:val="24"/>
    </w:rPr>
  </w:style>
  <w:style w:type="paragraph" w:styleId="Index6">
    <w:name w:val="index 6"/>
    <w:next w:val="Normal"/>
    <w:rsid w:val="00163012"/>
    <w:pPr>
      <w:ind w:left="1320" w:hanging="220"/>
    </w:pPr>
    <w:rPr>
      <w:sz w:val="22"/>
      <w:szCs w:val="24"/>
    </w:rPr>
  </w:style>
  <w:style w:type="paragraph" w:styleId="Index7">
    <w:name w:val="index 7"/>
    <w:next w:val="Normal"/>
    <w:rsid w:val="00163012"/>
    <w:pPr>
      <w:ind w:left="1540" w:hanging="220"/>
    </w:pPr>
    <w:rPr>
      <w:sz w:val="22"/>
      <w:szCs w:val="24"/>
    </w:rPr>
  </w:style>
  <w:style w:type="paragraph" w:styleId="Index8">
    <w:name w:val="index 8"/>
    <w:next w:val="Normal"/>
    <w:rsid w:val="00163012"/>
    <w:pPr>
      <w:ind w:left="1760" w:hanging="220"/>
    </w:pPr>
    <w:rPr>
      <w:sz w:val="22"/>
      <w:szCs w:val="24"/>
    </w:rPr>
  </w:style>
  <w:style w:type="paragraph" w:styleId="Index9">
    <w:name w:val="index 9"/>
    <w:next w:val="Normal"/>
    <w:rsid w:val="00163012"/>
    <w:pPr>
      <w:ind w:left="1980" w:hanging="220"/>
    </w:pPr>
    <w:rPr>
      <w:sz w:val="22"/>
      <w:szCs w:val="24"/>
    </w:rPr>
  </w:style>
  <w:style w:type="paragraph" w:styleId="IndexHeading">
    <w:name w:val="index heading"/>
    <w:next w:val="Index1"/>
    <w:rsid w:val="00163012"/>
    <w:rPr>
      <w:rFonts w:ascii="Arial" w:hAnsi="Arial" w:cs="Arial"/>
      <w:b/>
      <w:bCs/>
      <w:sz w:val="22"/>
      <w:szCs w:val="24"/>
    </w:rPr>
  </w:style>
  <w:style w:type="paragraph" w:styleId="List">
    <w:name w:val="List"/>
    <w:rsid w:val="00163012"/>
    <w:pPr>
      <w:ind w:left="283" w:hanging="283"/>
    </w:pPr>
    <w:rPr>
      <w:sz w:val="22"/>
      <w:szCs w:val="24"/>
    </w:rPr>
  </w:style>
  <w:style w:type="paragraph" w:styleId="List2">
    <w:name w:val="List 2"/>
    <w:rsid w:val="00163012"/>
    <w:pPr>
      <w:ind w:left="566" w:hanging="283"/>
    </w:pPr>
    <w:rPr>
      <w:sz w:val="22"/>
      <w:szCs w:val="24"/>
    </w:rPr>
  </w:style>
  <w:style w:type="paragraph" w:styleId="List3">
    <w:name w:val="List 3"/>
    <w:rsid w:val="00163012"/>
    <w:pPr>
      <w:ind w:left="849" w:hanging="283"/>
    </w:pPr>
    <w:rPr>
      <w:sz w:val="22"/>
      <w:szCs w:val="24"/>
    </w:rPr>
  </w:style>
  <w:style w:type="paragraph" w:styleId="List4">
    <w:name w:val="List 4"/>
    <w:rsid w:val="00163012"/>
    <w:pPr>
      <w:ind w:left="1132" w:hanging="283"/>
    </w:pPr>
    <w:rPr>
      <w:sz w:val="22"/>
      <w:szCs w:val="24"/>
    </w:rPr>
  </w:style>
  <w:style w:type="paragraph" w:styleId="List5">
    <w:name w:val="List 5"/>
    <w:rsid w:val="00163012"/>
    <w:pPr>
      <w:ind w:left="1415" w:hanging="283"/>
    </w:pPr>
    <w:rPr>
      <w:sz w:val="22"/>
      <w:szCs w:val="24"/>
    </w:rPr>
  </w:style>
  <w:style w:type="paragraph" w:styleId="ListBullet">
    <w:name w:val="List Bullet"/>
    <w:rsid w:val="00163012"/>
    <w:pPr>
      <w:numPr>
        <w:numId w:val="1"/>
      </w:numPr>
      <w:tabs>
        <w:tab w:val="clear" w:pos="360"/>
        <w:tab w:val="num" w:pos="2989"/>
      </w:tabs>
      <w:ind w:left="1225" w:firstLine="1043"/>
    </w:pPr>
    <w:rPr>
      <w:sz w:val="22"/>
      <w:szCs w:val="24"/>
    </w:rPr>
  </w:style>
  <w:style w:type="paragraph" w:styleId="ListBullet2">
    <w:name w:val="List Bullet 2"/>
    <w:rsid w:val="00163012"/>
    <w:pPr>
      <w:numPr>
        <w:numId w:val="2"/>
      </w:numPr>
      <w:tabs>
        <w:tab w:val="clear" w:pos="643"/>
        <w:tab w:val="num" w:pos="360"/>
      </w:tabs>
      <w:ind w:left="360"/>
    </w:pPr>
    <w:rPr>
      <w:sz w:val="22"/>
      <w:szCs w:val="24"/>
    </w:rPr>
  </w:style>
  <w:style w:type="paragraph" w:styleId="ListBullet3">
    <w:name w:val="List Bullet 3"/>
    <w:rsid w:val="00163012"/>
    <w:pPr>
      <w:numPr>
        <w:numId w:val="3"/>
      </w:numPr>
      <w:tabs>
        <w:tab w:val="clear" w:pos="926"/>
        <w:tab w:val="num" w:pos="360"/>
      </w:tabs>
      <w:ind w:left="360"/>
    </w:pPr>
    <w:rPr>
      <w:sz w:val="22"/>
      <w:szCs w:val="24"/>
    </w:rPr>
  </w:style>
  <w:style w:type="paragraph" w:styleId="ListBullet4">
    <w:name w:val="List Bullet 4"/>
    <w:rsid w:val="00163012"/>
    <w:pPr>
      <w:numPr>
        <w:numId w:val="4"/>
      </w:numPr>
      <w:tabs>
        <w:tab w:val="clear" w:pos="1209"/>
        <w:tab w:val="num" w:pos="926"/>
      </w:tabs>
      <w:ind w:left="926"/>
    </w:pPr>
    <w:rPr>
      <w:sz w:val="22"/>
      <w:szCs w:val="24"/>
    </w:rPr>
  </w:style>
  <w:style w:type="paragraph" w:styleId="ListBullet5">
    <w:name w:val="List Bullet 5"/>
    <w:rsid w:val="00163012"/>
    <w:pPr>
      <w:numPr>
        <w:numId w:val="5"/>
      </w:numPr>
    </w:pPr>
    <w:rPr>
      <w:sz w:val="22"/>
      <w:szCs w:val="24"/>
    </w:rPr>
  </w:style>
  <w:style w:type="paragraph" w:styleId="ListContinue">
    <w:name w:val="List Continue"/>
    <w:rsid w:val="00163012"/>
    <w:pPr>
      <w:spacing w:after="120"/>
      <w:ind w:left="283"/>
    </w:pPr>
    <w:rPr>
      <w:sz w:val="22"/>
      <w:szCs w:val="24"/>
    </w:rPr>
  </w:style>
  <w:style w:type="paragraph" w:styleId="ListContinue2">
    <w:name w:val="List Continue 2"/>
    <w:rsid w:val="00163012"/>
    <w:pPr>
      <w:spacing w:after="120"/>
      <w:ind w:left="566"/>
    </w:pPr>
    <w:rPr>
      <w:sz w:val="22"/>
      <w:szCs w:val="24"/>
    </w:rPr>
  </w:style>
  <w:style w:type="paragraph" w:styleId="ListContinue3">
    <w:name w:val="List Continue 3"/>
    <w:rsid w:val="00163012"/>
    <w:pPr>
      <w:spacing w:after="120"/>
      <w:ind w:left="849"/>
    </w:pPr>
    <w:rPr>
      <w:sz w:val="22"/>
      <w:szCs w:val="24"/>
    </w:rPr>
  </w:style>
  <w:style w:type="paragraph" w:styleId="ListContinue4">
    <w:name w:val="List Continue 4"/>
    <w:rsid w:val="00163012"/>
    <w:pPr>
      <w:spacing w:after="120"/>
      <w:ind w:left="1132"/>
    </w:pPr>
    <w:rPr>
      <w:sz w:val="22"/>
      <w:szCs w:val="24"/>
    </w:rPr>
  </w:style>
  <w:style w:type="paragraph" w:styleId="ListContinue5">
    <w:name w:val="List Continue 5"/>
    <w:rsid w:val="00163012"/>
    <w:pPr>
      <w:spacing w:after="120"/>
      <w:ind w:left="1415"/>
    </w:pPr>
    <w:rPr>
      <w:sz w:val="22"/>
      <w:szCs w:val="24"/>
    </w:rPr>
  </w:style>
  <w:style w:type="paragraph" w:styleId="ListNumber">
    <w:name w:val="List Number"/>
    <w:rsid w:val="00163012"/>
    <w:pPr>
      <w:numPr>
        <w:numId w:val="6"/>
      </w:numPr>
      <w:tabs>
        <w:tab w:val="clear" w:pos="360"/>
        <w:tab w:val="num" w:pos="4242"/>
      </w:tabs>
      <w:ind w:left="3521" w:hanging="1043"/>
    </w:pPr>
    <w:rPr>
      <w:sz w:val="22"/>
      <w:szCs w:val="24"/>
    </w:rPr>
  </w:style>
  <w:style w:type="paragraph" w:styleId="ListNumber2">
    <w:name w:val="List Number 2"/>
    <w:rsid w:val="00163012"/>
    <w:pPr>
      <w:numPr>
        <w:numId w:val="7"/>
      </w:numPr>
      <w:tabs>
        <w:tab w:val="clear" w:pos="643"/>
        <w:tab w:val="num" w:pos="360"/>
      </w:tabs>
      <w:ind w:left="360"/>
    </w:pPr>
    <w:rPr>
      <w:sz w:val="22"/>
      <w:szCs w:val="24"/>
    </w:rPr>
  </w:style>
  <w:style w:type="paragraph" w:styleId="ListNumber3">
    <w:name w:val="List Number 3"/>
    <w:rsid w:val="00163012"/>
    <w:pPr>
      <w:numPr>
        <w:numId w:val="8"/>
      </w:numPr>
      <w:tabs>
        <w:tab w:val="clear" w:pos="926"/>
        <w:tab w:val="num" w:pos="360"/>
      </w:tabs>
      <w:ind w:left="360"/>
    </w:pPr>
    <w:rPr>
      <w:sz w:val="22"/>
      <w:szCs w:val="24"/>
    </w:rPr>
  </w:style>
  <w:style w:type="paragraph" w:styleId="ListNumber4">
    <w:name w:val="List Number 4"/>
    <w:rsid w:val="00163012"/>
    <w:pPr>
      <w:numPr>
        <w:numId w:val="9"/>
      </w:numPr>
      <w:tabs>
        <w:tab w:val="clear" w:pos="1209"/>
        <w:tab w:val="num" w:pos="360"/>
      </w:tabs>
      <w:ind w:left="360"/>
    </w:pPr>
    <w:rPr>
      <w:sz w:val="22"/>
      <w:szCs w:val="24"/>
    </w:rPr>
  </w:style>
  <w:style w:type="paragraph" w:styleId="ListNumber5">
    <w:name w:val="List Number 5"/>
    <w:rsid w:val="00163012"/>
    <w:pPr>
      <w:numPr>
        <w:numId w:val="10"/>
      </w:numPr>
      <w:tabs>
        <w:tab w:val="clear" w:pos="1492"/>
        <w:tab w:val="num" w:pos="1440"/>
      </w:tabs>
      <w:ind w:left="0" w:firstLine="0"/>
    </w:pPr>
    <w:rPr>
      <w:sz w:val="22"/>
      <w:szCs w:val="24"/>
    </w:rPr>
  </w:style>
  <w:style w:type="paragraph" w:styleId="MessageHeader">
    <w:name w:val="Message Header"/>
    <w:rsid w:val="001630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63012"/>
    <w:rPr>
      <w:sz w:val="24"/>
      <w:szCs w:val="24"/>
    </w:rPr>
  </w:style>
  <w:style w:type="paragraph" w:styleId="NormalIndent">
    <w:name w:val="Normal Indent"/>
    <w:rsid w:val="00163012"/>
    <w:pPr>
      <w:ind w:left="720"/>
    </w:pPr>
    <w:rPr>
      <w:sz w:val="22"/>
      <w:szCs w:val="24"/>
    </w:rPr>
  </w:style>
  <w:style w:type="paragraph" w:styleId="NoteHeading">
    <w:name w:val="Note Heading"/>
    <w:next w:val="Normal"/>
    <w:rsid w:val="00163012"/>
    <w:rPr>
      <w:sz w:val="22"/>
      <w:szCs w:val="24"/>
    </w:rPr>
  </w:style>
  <w:style w:type="paragraph" w:styleId="PlainText">
    <w:name w:val="Plain Text"/>
    <w:rsid w:val="00163012"/>
    <w:rPr>
      <w:rFonts w:ascii="Courier New" w:hAnsi="Courier New" w:cs="Courier New"/>
      <w:sz w:val="22"/>
    </w:rPr>
  </w:style>
  <w:style w:type="paragraph" w:styleId="Salutation">
    <w:name w:val="Salutation"/>
    <w:next w:val="Normal"/>
    <w:rsid w:val="00163012"/>
    <w:rPr>
      <w:sz w:val="22"/>
      <w:szCs w:val="24"/>
    </w:rPr>
  </w:style>
  <w:style w:type="paragraph" w:styleId="Signature">
    <w:name w:val="Signature"/>
    <w:rsid w:val="00163012"/>
    <w:pPr>
      <w:ind w:left="4252"/>
    </w:pPr>
    <w:rPr>
      <w:sz w:val="22"/>
      <w:szCs w:val="24"/>
    </w:rPr>
  </w:style>
  <w:style w:type="paragraph" w:styleId="Subtitle">
    <w:name w:val="Subtitle"/>
    <w:qFormat/>
    <w:rsid w:val="00163012"/>
    <w:pPr>
      <w:spacing w:after="60"/>
      <w:jc w:val="center"/>
    </w:pPr>
    <w:rPr>
      <w:rFonts w:ascii="Arial" w:hAnsi="Arial" w:cs="Arial"/>
      <w:sz w:val="24"/>
      <w:szCs w:val="24"/>
    </w:rPr>
  </w:style>
  <w:style w:type="paragraph" w:styleId="TableofAuthorities">
    <w:name w:val="table of authorities"/>
    <w:next w:val="Normal"/>
    <w:rsid w:val="00163012"/>
    <w:pPr>
      <w:ind w:left="220" w:hanging="220"/>
    </w:pPr>
    <w:rPr>
      <w:sz w:val="22"/>
      <w:szCs w:val="24"/>
    </w:rPr>
  </w:style>
  <w:style w:type="paragraph" w:styleId="TableofFigures">
    <w:name w:val="table of figures"/>
    <w:next w:val="Normal"/>
    <w:rsid w:val="00163012"/>
    <w:pPr>
      <w:ind w:left="440" w:hanging="440"/>
    </w:pPr>
    <w:rPr>
      <w:sz w:val="22"/>
      <w:szCs w:val="24"/>
    </w:rPr>
  </w:style>
  <w:style w:type="paragraph" w:styleId="Title">
    <w:name w:val="Title"/>
    <w:qFormat/>
    <w:rsid w:val="00163012"/>
    <w:pPr>
      <w:spacing w:before="240" w:after="60"/>
      <w:jc w:val="center"/>
    </w:pPr>
    <w:rPr>
      <w:rFonts w:ascii="Arial" w:hAnsi="Arial" w:cs="Arial"/>
      <w:b/>
      <w:bCs/>
      <w:kern w:val="28"/>
      <w:sz w:val="32"/>
      <w:szCs w:val="32"/>
    </w:rPr>
  </w:style>
  <w:style w:type="paragraph" w:styleId="TOAHeading">
    <w:name w:val="toa heading"/>
    <w:next w:val="Normal"/>
    <w:rsid w:val="00163012"/>
    <w:pPr>
      <w:spacing w:before="120"/>
    </w:pPr>
    <w:rPr>
      <w:rFonts w:ascii="Arial" w:hAnsi="Arial" w:cs="Arial"/>
      <w:b/>
      <w:bCs/>
      <w:sz w:val="24"/>
      <w:szCs w:val="24"/>
    </w:rPr>
  </w:style>
  <w:style w:type="paragraph" w:styleId="BodyTextFirstIndent">
    <w:name w:val="Body Text First Indent"/>
    <w:basedOn w:val="BodyText"/>
    <w:rsid w:val="00163012"/>
    <w:pPr>
      <w:ind w:firstLine="210"/>
    </w:pPr>
  </w:style>
  <w:style w:type="paragraph" w:styleId="BodyTextFirstIndent2">
    <w:name w:val="Body Text First Indent 2"/>
    <w:basedOn w:val="BodyTextIndent"/>
    <w:rsid w:val="00163012"/>
    <w:pPr>
      <w:ind w:firstLine="210"/>
    </w:pPr>
  </w:style>
  <w:style w:type="character" w:styleId="CommentReference">
    <w:name w:val="annotation reference"/>
    <w:basedOn w:val="DefaultParagraphFont"/>
    <w:rsid w:val="00163012"/>
    <w:rPr>
      <w:sz w:val="16"/>
      <w:szCs w:val="16"/>
    </w:rPr>
  </w:style>
  <w:style w:type="character" w:styleId="Emphasis">
    <w:name w:val="Emphasis"/>
    <w:basedOn w:val="DefaultParagraphFont"/>
    <w:qFormat/>
    <w:rsid w:val="00163012"/>
    <w:rPr>
      <w:i/>
      <w:iCs/>
    </w:rPr>
  </w:style>
  <w:style w:type="character" w:styleId="EndnoteReference">
    <w:name w:val="endnote reference"/>
    <w:basedOn w:val="DefaultParagraphFont"/>
    <w:rsid w:val="00163012"/>
    <w:rPr>
      <w:vertAlign w:val="superscript"/>
    </w:rPr>
  </w:style>
  <w:style w:type="character" w:styleId="FollowedHyperlink">
    <w:name w:val="FollowedHyperlink"/>
    <w:basedOn w:val="DefaultParagraphFont"/>
    <w:rsid w:val="00163012"/>
    <w:rPr>
      <w:color w:val="800080"/>
      <w:u w:val="single"/>
    </w:rPr>
  </w:style>
  <w:style w:type="character" w:styleId="FootnoteReference">
    <w:name w:val="footnote reference"/>
    <w:basedOn w:val="DefaultParagraphFont"/>
    <w:rsid w:val="00163012"/>
    <w:rPr>
      <w:vertAlign w:val="superscript"/>
    </w:rPr>
  </w:style>
  <w:style w:type="character" w:styleId="HTMLAcronym">
    <w:name w:val="HTML Acronym"/>
    <w:basedOn w:val="DefaultParagraphFont"/>
    <w:rsid w:val="00163012"/>
  </w:style>
  <w:style w:type="character" w:styleId="HTMLCite">
    <w:name w:val="HTML Cite"/>
    <w:basedOn w:val="DefaultParagraphFont"/>
    <w:rsid w:val="00163012"/>
    <w:rPr>
      <w:i/>
      <w:iCs/>
    </w:rPr>
  </w:style>
  <w:style w:type="character" w:styleId="HTMLCode">
    <w:name w:val="HTML Code"/>
    <w:basedOn w:val="DefaultParagraphFont"/>
    <w:rsid w:val="00163012"/>
    <w:rPr>
      <w:rFonts w:ascii="Courier New" w:hAnsi="Courier New" w:cs="Courier New"/>
      <w:sz w:val="20"/>
      <w:szCs w:val="20"/>
    </w:rPr>
  </w:style>
  <w:style w:type="character" w:styleId="HTMLDefinition">
    <w:name w:val="HTML Definition"/>
    <w:basedOn w:val="DefaultParagraphFont"/>
    <w:rsid w:val="00163012"/>
    <w:rPr>
      <w:i/>
      <w:iCs/>
    </w:rPr>
  </w:style>
  <w:style w:type="character" w:styleId="HTMLKeyboard">
    <w:name w:val="HTML Keyboard"/>
    <w:basedOn w:val="DefaultParagraphFont"/>
    <w:rsid w:val="00163012"/>
    <w:rPr>
      <w:rFonts w:ascii="Courier New" w:hAnsi="Courier New" w:cs="Courier New"/>
      <w:sz w:val="20"/>
      <w:szCs w:val="20"/>
    </w:rPr>
  </w:style>
  <w:style w:type="character" w:styleId="HTMLSample">
    <w:name w:val="HTML Sample"/>
    <w:basedOn w:val="DefaultParagraphFont"/>
    <w:rsid w:val="00163012"/>
    <w:rPr>
      <w:rFonts w:ascii="Courier New" w:hAnsi="Courier New" w:cs="Courier New"/>
    </w:rPr>
  </w:style>
  <w:style w:type="character" w:styleId="HTMLTypewriter">
    <w:name w:val="HTML Typewriter"/>
    <w:basedOn w:val="DefaultParagraphFont"/>
    <w:rsid w:val="00163012"/>
    <w:rPr>
      <w:rFonts w:ascii="Courier New" w:hAnsi="Courier New" w:cs="Courier New"/>
      <w:sz w:val="20"/>
      <w:szCs w:val="20"/>
    </w:rPr>
  </w:style>
  <w:style w:type="character" w:styleId="HTMLVariable">
    <w:name w:val="HTML Variable"/>
    <w:basedOn w:val="DefaultParagraphFont"/>
    <w:rsid w:val="00163012"/>
    <w:rPr>
      <w:i/>
      <w:iCs/>
    </w:rPr>
  </w:style>
  <w:style w:type="character" w:styleId="Hyperlink">
    <w:name w:val="Hyperlink"/>
    <w:basedOn w:val="DefaultParagraphFont"/>
    <w:rsid w:val="00163012"/>
    <w:rPr>
      <w:color w:val="0000FF"/>
      <w:u w:val="single"/>
    </w:rPr>
  </w:style>
  <w:style w:type="character" w:styleId="LineNumber">
    <w:name w:val="line number"/>
    <w:basedOn w:val="OPCCharBase"/>
    <w:uiPriority w:val="99"/>
    <w:unhideWhenUsed/>
    <w:rsid w:val="00907253"/>
    <w:rPr>
      <w:sz w:val="16"/>
    </w:rPr>
  </w:style>
  <w:style w:type="paragraph" w:styleId="MacroText">
    <w:name w:val="macro"/>
    <w:rsid w:val="001630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63012"/>
  </w:style>
  <w:style w:type="character" w:styleId="Strong">
    <w:name w:val="Strong"/>
    <w:basedOn w:val="DefaultParagraphFont"/>
    <w:qFormat/>
    <w:rsid w:val="00163012"/>
    <w:rPr>
      <w:b/>
      <w:bCs/>
    </w:rPr>
  </w:style>
  <w:style w:type="paragraph" w:styleId="TOC1">
    <w:name w:val="toc 1"/>
    <w:basedOn w:val="OPCParaBase"/>
    <w:next w:val="Normal"/>
    <w:uiPriority w:val="39"/>
    <w:unhideWhenUsed/>
    <w:rsid w:val="0090725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725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0725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0725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0725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072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72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072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07253"/>
    <w:pPr>
      <w:keepLines/>
      <w:tabs>
        <w:tab w:val="right" w:pos="7088"/>
      </w:tabs>
      <w:spacing w:before="80" w:line="240" w:lineRule="auto"/>
      <w:ind w:left="851" w:right="567"/>
    </w:pPr>
    <w:rPr>
      <w:i/>
      <w:kern w:val="28"/>
      <w:sz w:val="20"/>
    </w:rPr>
  </w:style>
  <w:style w:type="paragraph" w:customStyle="1" w:styleId="CTA-">
    <w:name w:val="CTA -"/>
    <w:basedOn w:val="OPCParaBase"/>
    <w:rsid w:val="00907253"/>
    <w:pPr>
      <w:spacing w:before="60" w:line="240" w:lineRule="atLeast"/>
      <w:ind w:left="85" w:hanging="85"/>
    </w:pPr>
    <w:rPr>
      <w:sz w:val="20"/>
    </w:rPr>
  </w:style>
  <w:style w:type="paragraph" w:customStyle="1" w:styleId="CTA--">
    <w:name w:val="CTA --"/>
    <w:basedOn w:val="OPCParaBase"/>
    <w:next w:val="Normal"/>
    <w:rsid w:val="00907253"/>
    <w:pPr>
      <w:spacing w:before="60" w:line="240" w:lineRule="atLeast"/>
      <w:ind w:left="142" w:hanging="142"/>
    </w:pPr>
    <w:rPr>
      <w:sz w:val="20"/>
    </w:rPr>
  </w:style>
  <w:style w:type="paragraph" w:customStyle="1" w:styleId="CTA---">
    <w:name w:val="CTA ---"/>
    <w:basedOn w:val="OPCParaBase"/>
    <w:next w:val="Normal"/>
    <w:rsid w:val="00907253"/>
    <w:pPr>
      <w:spacing w:before="60" w:line="240" w:lineRule="atLeast"/>
      <w:ind w:left="198" w:hanging="198"/>
    </w:pPr>
    <w:rPr>
      <w:sz w:val="20"/>
    </w:rPr>
  </w:style>
  <w:style w:type="paragraph" w:customStyle="1" w:styleId="CTA----">
    <w:name w:val="CTA ----"/>
    <w:basedOn w:val="OPCParaBase"/>
    <w:next w:val="Normal"/>
    <w:rsid w:val="00907253"/>
    <w:pPr>
      <w:spacing w:before="60" w:line="240" w:lineRule="atLeast"/>
      <w:ind w:left="255" w:hanging="255"/>
    </w:pPr>
    <w:rPr>
      <w:sz w:val="20"/>
    </w:rPr>
  </w:style>
  <w:style w:type="paragraph" w:customStyle="1" w:styleId="CTA1a">
    <w:name w:val="CTA 1(a)"/>
    <w:basedOn w:val="OPCParaBase"/>
    <w:rsid w:val="00907253"/>
    <w:pPr>
      <w:tabs>
        <w:tab w:val="right" w:pos="414"/>
      </w:tabs>
      <w:spacing w:before="40" w:line="240" w:lineRule="atLeast"/>
      <w:ind w:left="675" w:hanging="675"/>
    </w:pPr>
    <w:rPr>
      <w:sz w:val="20"/>
    </w:rPr>
  </w:style>
  <w:style w:type="paragraph" w:customStyle="1" w:styleId="CTA1ai">
    <w:name w:val="CTA 1(a)(i)"/>
    <w:basedOn w:val="OPCParaBase"/>
    <w:rsid w:val="00907253"/>
    <w:pPr>
      <w:tabs>
        <w:tab w:val="right" w:pos="1004"/>
      </w:tabs>
      <w:spacing w:before="40" w:line="240" w:lineRule="atLeast"/>
      <w:ind w:left="1253" w:hanging="1253"/>
    </w:pPr>
    <w:rPr>
      <w:sz w:val="20"/>
    </w:rPr>
  </w:style>
  <w:style w:type="paragraph" w:customStyle="1" w:styleId="CTA2a">
    <w:name w:val="CTA 2(a)"/>
    <w:basedOn w:val="OPCParaBase"/>
    <w:rsid w:val="00907253"/>
    <w:pPr>
      <w:tabs>
        <w:tab w:val="right" w:pos="482"/>
      </w:tabs>
      <w:spacing w:before="40" w:line="240" w:lineRule="atLeast"/>
      <w:ind w:left="748" w:hanging="748"/>
    </w:pPr>
    <w:rPr>
      <w:sz w:val="20"/>
    </w:rPr>
  </w:style>
  <w:style w:type="paragraph" w:customStyle="1" w:styleId="CTA2ai">
    <w:name w:val="CTA 2(a)(i)"/>
    <w:basedOn w:val="OPCParaBase"/>
    <w:rsid w:val="00907253"/>
    <w:pPr>
      <w:tabs>
        <w:tab w:val="right" w:pos="1089"/>
      </w:tabs>
      <w:spacing w:before="40" w:line="240" w:lineRule="atLeast"/>
      <w:ind w:left="1327" w:hanging="1327"/>
    </w:pPr>
    <w:rPr>
      <w:sz w:val="20"/>
    </w:rPr>
  </w:style>
  <w:style w:type="paragraph" w:customStyle="1" w:styleId="CTA3a">
    <w:name w:val="CTA 3(a)"/>
    <w:basedOn w:val="OPCParaBase"/>
    <w:rsid w:val="00907253"/>
    <w:pPr>
      <w:tabs>
        <w:tab w:val="right" w:pos="556"/>
      </w:tabs>
      <w:spacing w:before="40" w:line="240" w:lineRule="atLeast"/>
      <w:ind w:left="805" w:hanging="805"/>
    </w:pPr>
    <w:rPr>
      <w:sz w:val="20"/>
    </w:rPr>
  </w:style>
  <w:style w:type="paragraph" w:customStyle="1" w:styleId="CTA3ai">
    <w:name w:val="CTA 3(a)(i)"/>
    <w:basedOn w:val="OPCParaBase"/>
    <w:rsid w:val="00907253"/>
    <w:pPr>
      <w:tabs>
        <w:tab w:val="right" w:pos="1140"/>
      </w:tabs>
      <w:spacing w:before="40" w:line="240" w:lineRule="atLeast"/>
      <w:ind w:left="1361" w:hanging="1361"/>
    </w:pPr>
    <w:rPr>
      <w:sz w:val="20"/>
    </w:rPr>
  </w:style>
  <w:style w:type="paragraph" w:customStyle="1" w:styleId="CTA4a">
    <w:name w:val="CTA 4(a)"/>
    <w:basedOn w:val="OPCParaBase"/>
    <w:rsid w:val="00907253"/>
    <w:pPr>
      <w:tabs>
        <w:tab w:val="right" w:pos="624"/>
      </w:tabs>
      <w:spacing w:before="40" w:line="240" w:lineRule="atLeast"/>
      <w:ind w:left="873" w:hanging="873"/>
    </w:pPr>
    <w:rPr>
      <w:sz w:val="20"/>
    </w:rPr>
  </w:style>
  <w:style w:type="paragraph" w:customStyle="1" w:styleId="CTA4ai">
    <w:name w:val="CTA 4(a)(i)"/>
    <w:basedOn w:val="OPCParaBase"/>
    <w:rsid w:val="00907253"/>
    <w:pPr>
      <w:tabs>
        <w:tab w:val="right" w:pos="1213"/>
      </w:tabs>
      <w:spacing w:before="40" w:line="240" w:lineRule="atLeast"/>
      <w:ind w:left="1452" w:hanging="1452"/>
    </w:pPr>
    <w:rPr>
      <w:sz w:val="20"/>
    </w:rPr>
  </w:style>
  <w:style w:type="paragraph" w:customStyle="1" w:styleId="CTACAPS">
    <w:name w:val="CTA CAPS"/>
    <w:basedOn w:val="OPCParaBase"/>
    <w:rsid w:val="00907253"/>
    <w:pPr>
      <w:spacing w:before="60" w:line="240" w:lineRule="atLeast"/>
    </w:pPr>
    <w:rPr>
      <w:sz w:val="20"/>
    </w:rPr>
  </w:style>
  <w:style w:type="paragraph" w:customStyle="1" w:styleId="CTAright">
    <w:name w:val="CTA right"/>
    <w:basedOn w:val="OPCParaBase"/>
    <w:rsid w:val="00907253"/>
    <w:pPr>
      <w:spacing w:before="60" w:line="240" w:lineRule="auto"/>
      <w:jc w:val="right"/>
    </w:pPr>
    <w:rPr>
      <w:sz w:val="20"/>
    </w:rPr>
  </w:style>
  <w:style w:type="paragraph" w:customStyle="1" w:styleId="ActHead1">
    <w:name w:val="ActHead 1"/>
    <w:aliases w:val="c"/>
    <w:basedOn w:val="OPCParaBase"/>
    <w:next w:val="Normal"/>
    <w:qFormat/>
    <w:rsid w:val="009072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72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72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72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72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72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72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72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7253"/>
    <w:pPr>
      <w:keepNext/>
      <w:keepLines/>
      <w:spacing w:before="280" w:line="240" w:lineRule="auto"/>
      <w:ind w:left="1134" w:hanging="1134"/>
      <w:outlineLvl w:val="8"/>
    </w:pPr>
    <w:rPr>
      <w:b/>
      <w:i/>
      <w:kern w:val="28"/>
      <w:sz w:val="28"/>
    </w:rPr>
  </w:style>
  <w:style w:type="character" w:customStyle="1" w:styleId="CharItalic">
    <w:name w:val="CharItalic"/>
    <w:basedOn w:val="OPCCharBase"/>
    <w:uiPriority w:val="1"/>
    <w:qFormat/>
    <w:rsid w:val="00907253"/>
    <w:rPr>
      <w:i/>
    </w:rPr>
  </w:style>
  <w:style w:type="numbering" w:styleId="111111">
    <w:name w:val="Outline List 2"/>
    <w:basedOn w:val="NoList"/>
    <w:rsid w:val="00163012"/>
    <w:pPr>
      <w:numPr>
        <w:numId w:val="28"/>
      </w:numPr>
    </w:pPr>
  </w:style>
  <w:style w:type="numbering" w:styleId="1ai">
    <w:name w:val="Outline List 1"/>
    <w:basedOn w:val="NoList"/>
    <w:rsid w:val="00163012"/>
    <w:pPr>
      <w:numPr>
        <w:numId w:val="37"/>
      </w:numPr>
    </w:pPr>
  </w:style>
  <w:style w:type="numbering" w:styleId="ArticleSection">
    <w:name w:val="Outline List 3"/>
    <w:basedOn w:val="NoList"/>
    <w:rsid w:val="00163012"/>
    <w:pPr>
      <w:numPr>
        <w:numId w:val="30"/>
      </w:numPr>
    </w:pPr>
  </w:style>
  <w:style w:type="table" w:styleId="Table3Deffects1">
    <w:name w:val="Table 3D effects 1"/>
    <w:basedOn w:val="TableNormal"/>
    <w:rsid w:val="0016301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6301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6301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6301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6301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6301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6301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6301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6301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6301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6301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6301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6301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6301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6301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6301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6301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725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6301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6301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6301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6301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6301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6301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6301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6301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6301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6301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6301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630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6301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6301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6301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6301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6301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6301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6301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6301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6301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hortTChar">
    <w:name w:val="ShortT Char"/>
    <w:basedOn w:val="DefaultParagraphFont"/>
    <w:link w:val="ShortT"/>
    <w:rsid w:val="00174CFF"/>
    <w:rPr>
      <w:b/>
      <w:sz w:val="40"/>
    </w:rPr>
  </w:style>
  <w:style w:type="character" w:customStyle="1" w:styleId="ActnoChar">
    <w:name w:val="Actno Char"/>
    <w:basedOn w:val="ShortTChar"/>
    <w:link w:val="Actno"/>
    <w:rsid w:val="00174CFF"/>
    <w:rPr>
      <w:b/>
      <w:sz w:val="40"/>
    </w:rPr>
  </w:style>
  <w:style w:type="character" w:customStyle="1" w:styleId="FooterChar">
    <w:name w:val="Footer Char"/>
    <w:basedOn w:val="DefaultParagraphFont"/>
    <w:link w:val="Footer"/>
    <w:rsid w:val="00907253"/>
    <w:rPr>
      <w:sz w:val="22"/>
      <w:szCs w:val="24"/>
    </w:rPr>
  </w:style>
  <w:style w:type="character" w:customStyle="1" w:styleId="HeaderChar">
    <w:name w:val="Header Char"/>
    <w:basedOn w:val="DefaultParagraphFont"/>
    <w:link w:val="Header"/>
    <w:rsid w:val="00907253"/>
    <w:rPr>
      <w:sz w:val="16"/>
    </w:rPr>
  </w:style>
  <w:style w:type="character" w:customStyle="1" w:styleId="OPCCharBase">
    <w:name w:val="OPCCharBase"/>
    <w:uiPriority w:val="1"/>
    <w:qFormat/>
    <w:rsid w:val="00907253"/>
  </w:style>
  <w:style w:type="paragraph" w:customStyle="1" w:styleId="OPCParaBase">
    <w:name w:val="OPCParaBase"/>
    <w:qFormat/>
    <w:rsid w:val="00907253"/>
    <w:pPr>
      <w:spacing w:line="260" w:lineRule="atLeast"/>
    </w:pPr>
    <w:rPr>
      <w:sz w:val="22"/>
    </w:rPr>
  </w:style>
  <w:style w:type="paragraph" w:customStyle="1" w:styleId="noteToPara">
    <w:name w:val="noteToPara"/>
    <w:aliases w:val="ntp"/>
    <w:basedOn w:val="OPCParaBase"/>
    <w:rsid w:val="00907253"/>
    <w:pPr>
      <w:spacing w:before="122" w:line="198" w:lineRule="exact"/>
      <w:ind w:left="2353" w:hanging="709"/>
    </w:pPr>
    <w:rPr>
      <w:sz w:val="18"/>
    </w:rPr>
  </w:style>
  <w:style w:type="paragraph" w:customStyle="1" w:styleId="WRStyle">
    <w:name w:val="WR Style"/>
    <w:aliases w:val="WR"/>
    <w:basedOn w:val="OPCParaBase"/>
    <w:rsid w:val="00907253"/>
    <w:pPr>
      <w:spacing w:before="240" w:line="240" w:lineRule="auto"/>
      <w:ind w:left="284" w:hanging="284"/>
    </w:pPr>
    <w:rPr>
      <w:b/>
      <w:i/>
      <w:kern w:val="28"/>
      <w:sz w:val="24"/>
    </w:rPr>
  </w:style>
  <w:style w:type="table" w:customStyle="1" w:styleId="CFlag">
    <w:name w:val="CFlag"/>
    <w:basedOn w:val="TableNormal"/>
    <w:uiPriority w:val="99"/>
    <w:rsid w:val="00907253"/>
    <w:tblPr/>
  </w:style>
  <w:style w:type="paragraph" w:customStyle="1" w:styleId="SignCoverPageEnd">
    <w:name w:val="SignCoverPageEnd"/>
    <w:basedOn w:val="OPCParaBase"/>
    <w:next w:val="Normal"/>
    <w:rsid w:val="009072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7253"/>
    <w:pPr>
      <w:pBdr>
        <w:top w:val="single" w:sz="4" w:space="1" w:color="auto"/>
      </w:pBdr>
      <w:spacing w:before="360"/>
      <w:ind w:right="397"/>
      <w:jc w:val="both"/>
    </w:pPr>
  </w:style>
  <w:style w:type="paragraph" w:customStyle="1" w:styleId="ENotesHeading1">
    <w:name w:val="ENotesHeading 1"/>
    <w:aliases w:val="Enh1"/>
    <w:basedOn w:val="OPCParaBase"/>
    <w:next w:val="Normal"/>
    <w:rsid w:val="00907253"/>
    <w:pPr>
      <w:spacing w:before="120"/>
      <w:outlineLvl w:val="1"/>
    </w:pPr>
    <w:rPr>
      <w:b/>
      <w:sz w:val="28"/>
      <w:szCs w:val="28"/>
    </w:rPr>
  </w:style>
  <w:style w:type="paragraph" w:customStyle="1" w:styleId="ENotesHeading2">
    <w:name w:val="ENotesHeading 2"/>
    <w:aliases w:val="Enh2"/>
    <w:basedOn w:val="OPCParaBase"/>
    <w:next w:val="Normal"/>
    <w:rsid w:val="00907253"/>
    <w:pPr>
      <w:spacing w:before="120" w:after="120"/>
      <w:outlineLvl w:val="2"/>
    </w:pPr>
    <w:rPr>
      <w:b/>
      <w:sz w:val="24"/>
      <w:szCs w:val="28"/>
    </w:rPr>
  </w:style>
  <w:style w:type="paragraph" w:customStyle="1" w:styleId="CompiledActNo">
    <w:name w:val="CompiledActNo"/>
    <w:basedOn w:val="Normal"/>
    <w:next w:val="Normal"/>
    <w:rsid w:val="00907253"/>
    <w:rPr>
      <w:rFonts w:eastAsia="Times New Roman" w:cs="Times New Roman"/>
      <w:b/>
      <w:sz w:val="24"/>
      <w:szCs w:val="24"/>
      <w:lang w:eastAsia="en-AU"/>
    </w:rPr>
  </w:style>
  <w:style w:type="paragraph" w:customStyle="1" w:styleId="ENotesText">
    <w:name w:val="ENotesText"/>
    <w:aliases w:val="Ent"/>
    <w:basedOn w:val="OPCParaBase"/>
    <w:next w:val="Normal"/>
    <w:rsid w:val="00907253"/>
    <w:pPr>
      <w:spacing w:before="120"/>
    </w:pPr>
  </w:style>
  <w:style w:type="paragraph" w:customStyle="1" w:styleId="Paragraphsub-sub-sub">
    <w:name w:val="Paragraph(sub-sub-sub)"/>
    <w:aliases w:val="aaaa"/>
    <w:basedOn w:val="OPCParaBase"/>
    <w:rsid w:val="009072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72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72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72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72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7253"/>
    <w:pPr>
      <w:spacing w:before="60" w:line="240" w:lineRule="auto"/>
    </w:pPr>
    <w:rPr>
      <w:rFonts w:cs="Arial"/>
      <w:sz w:val="20"/>
      <w:szCs w:val="22"/>
    </w:rPr>
  </w:style>
  <w:style w:type="paragraph" w:customStyle="1" w:styleId="ActHead10">
    <w:name w:val="ActHead 10"/>
    <w:aliases w:val="sp"/>
    <w:basedOn w:val="OPCParaBase"/>
    <w:next w:val="ActHead3"/>
    <w:rsid w:val="0090725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07253"/>
    <w:rPr>
      <w:rFonts w:ascii="Tahoma" w:eastAsiaTheme="minorHAnsi" w:hAnsi="Tahoma" w:cs="Tahoma"/>
      <w:sz w:val="16"/>
      <w:szCs w:val="16"/>
      <w:lang w:eastAsia="en-US"/>
    </w:rPr>
  </w:style>
  <w:style w:type="paragraph" w:customStyle="1" w:styleId="NoteToSubpara">
    <w:name w:val="NoteToSubpara"/>
    <w:aliases w:val="nts"/>
    <w:basedOn w:val="OPCParaBase"/>
    <w:rsid w:val="00907253"/>
    <w:pPr>
      <w:spacing w:before="40" w:line="198" w:lineRule="exact"/>
      <w:ind w:left="2835" w:hanging="709"/>
    </w:pPr>
    <w:rPr>
      <w:sz w:val="18"/>
    </w:rPr>
  </w:style>
  <w:style w:type="paragraph" w:customStyle="1" w:styleId="ENoteTableHeading">
    <w:name w:val="ENoteTableHeading"/>
    <w:aliases w:val="enth"/>
    <w:basedOn w:val="OPCParaBase"/>
    <w:rsid w:val="00907253"/>
    <w:pPr>
      <w:keepNext/>
      <w:spacing w:before="60" w:line="240" w:lineRule="atLeast"/>
    </w:pPr>
    <w:rPr>
      <w:rFonts w:ascii="Arial" w:hAnsi="Arial"/>
      <w:b/>
      <w:sz w:val="16"/>
    </w:rPr>
  </w:style>
  <w:style w:type="paragraph" w:customStyle="1" w:styleId="ENoteTTi">
    <w:name w:val="ENoteTTi"/>
    <w:aliases w:val="entti"/>
    <w:basedOn w:val="OPCParaBase"/>
    <w:rsid w:val="00907253"/>
    <w:pPr>
      <w:keepNext/>
      <w:spacing w:before="60" w:line="240" w:lineRule="atLeast"/>
      <w:ind w:left="170"/>
    </w:pPr>
    <w:rPr>
      <w:sz w:val="16"/>
    </w:rPr>
  </w:style>
  <w:style w:type="paragraph" w:customStyle="1" w:styleId="ENoteTTIndentHeading">
    <w:name w:val="ENoteTTIndentHeading"/>
    <w:aliases w:val="enTTHi"/>
    <w:basedOn w:val="OPCParaBase"/>
    <w:rsid w:val="009072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7253"/>
    <w:pPr>
      <w:spacing w:before="60" w:line="240" w:lineRule="atLeast"/>
    </w:pPr>
    <w:rPr>
      <w:sz w:val="16"/>
    </w:rPr>
  </w:style>
  <w:style w:type="paragraph" w:customStyle="1" w:styleId="MadeunderText">
    <w:name w:val="MadeunderText"/>
    <w:basedOn w:val="OPCParaBase"/>
    <w:next w:val="Normal"/>
    <w:rsid w:val="00907253"/>
    <w:pPr>
      <w:spacing w:before="240"/>
    </w:pPr>
    <w:rPr>
      <w:sz w:val="24"/>
      <w:szCs w:val="24"/>
    </w:rPr>
  </w:style>
  <w:style w:type="paragraph" w:customStyle="1" w:styleId="ENotesHeading3">
    <w:name w:val="ENotesHeading 3"/>
    <w:aliases w:val="Enh3"/>
    <w:basedOn w:val="OPCParaBase"/>
    <w:next w:val="Normal"/>
    <w:rsid w:val="00907253"/>
    <w:pPr>
      <w:keepNext/>
      <w:spacing w:before="120" w:line="240" w:lineRule="auto"/>
      <w:outlineLvl w:val="4"/>
    </w:pPr>
    <w:rPr>
      <w:b/>
      <w:szCs w:val="24"/>
    </w:rPr>
  </w:style>
  <w:style w:type="paragraph" w:customStyle="1" w:styleId="SubPartCASA">
    <w:name w:val="SubPart(CASA)"/>
    <w:aliases w:val="csp"/>
    <w:basedOn w:val="OPCParaBase"/>
    <w:next w:val="ActHead3"/>
    <w:rsid w:val="00907253"/>
    <w:pPr>
      <w:keepNext/>
      <w:keepLines/>
      <w:spacing w:before="280"/>
      <w:outlineLvl w:val="1"/>
    </w:pPr>
    <w:rPr>
      <w:b/>
      <w:kern w:val="28"/>
      <w:sz w:val="32"/>
    </w:rPr>
  </w:style>
  <w:style w:type="character" w:customStyle="1" w:styleId="CharSubPartTextCASA">
    <w:name w:val="CharSubPartText(CASA)"/>
    <w:basedOn w:val="OPCCharBase"/>
    <w:uiPriority w:val="1"/>
    <w:rsid w:val="00907253"/>
  </w:style>
  <w:style w:type="character" w:customStyle="1" w:styleId="CharSubPartNoCASA">
    <w:name w:val="CharSubPartNo(CASA)"/>
    <w:basedOn w:val="OPCCharBase"/>
    <w:uiPriority w:val="1"/>
    <w:rsid w:val="00907253"/>
  </w:style>
  <w:style w:type="paragraph" w:customStyle="1" w:styleId="ENoteTTIndentHeadingSub">
    <w:name w:val="ENoteTTIndentHeadingSub"/>
    <w:aliases w:val="enTTHis"/>
    <w:basedOn w:val="OPCParaBase"/>
    <w:rsid w:val="00907253"/>
    <w:pPr>
      <w:keepNext/>
      <w:spacing w:before="60" w:line="240" w:lineRule="atLeast"/>
      <w:ind w:left="340"/>
    </w:pPr>
    <w:rPr>
      <w:b/>
      <w:sz w:val="16"/>
    </w:rPr>
  </w:style>
  <w:style w:type="paragraph" w:customStyle="1" w:styleId="ENoteTTiSub">
    <w:name w:val="ENoteTTiSub"/>
    <w:aliases w:val="enttis"/>
    <w:basedOn w:val="OPCParaBase"/>
    <w:rsid w:val="00907253"/>
    <w:pPr>
      <w:keepNext/>
      <w:spacing w:before="60" w:line="240" w:lineRule="atLeast"/>
      <w:ind w:left="340"/>
    </w:pPr>
    <w:rPr>
      <w:sz w:val="16"/>
    </w:rPr>
  </w:style>
  <w:style w:type="paragraph" w:customStyle="1" w:styleId="SubDivisionMigration">
    <w:name w:val="SubDivisionMigration"/>
    <w:aliases w:val="sdm"/>
    <w:basedOn w:val="OPCParaBase"/>
    <w:rsid w:val="009072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7253"/>
    <w:pPr>
      <w:keepNext/>
      <w:keepLines/>
      <w:spacing w:before="240" w:line="240" w:lineRule="auto"/>
      <w:ind w:left="1134" w:hanging="1134"/>
    </w:pPr>
    <w:rPr>
      <w:b/>
      <w:sz w:val="28"/>
    </w:rPr>
  </w:style>
  <w:style w:type="paragraph" w:customStyle="1" w:styleId="FreeForm">
    <w:name w:val="FreeForm"/>
    <w:rsid w:val="00907253"/>
    <w:rPr>
      <w:rFonts w:ascii="Arial" w:eastAsiaTheme="minorHAnsi" w:hAnsi="Arial" w:cstheme="minorBidi"/>
      <w:sz w:val="22"/>
      <w:lang w:eastAsia="en-US"/>
    </w:rPr>
  </w:style>
  <w:style w:type="paragraph" w:customStyle="1" w:styleId="SOText">
    <w:name w:val="SO Text"/>
    <w:aliases w:val="sot"/>
    <w:link w:val="SOTextChar"/>
    <w:rsid w:val="009072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7253"/>
    <w:rPr>
      <w:rFonts w:eastAsiaTheme="minorHAnsi" w:cstheme="minorBidi"/>
      <w:sz w:val="22"/>
      <w:lang w:eastAsia="en-US"/>
    </w:rPr>
  </w:style>
  <w:style w:type="paragraph" w:customStyle="1" w:styleId="SOTextNote">
    <w:name w:val="SO TextNote"/>
    <w:aliases w:val="sont"/>
    <w:basedOn w:val="SOText"/>
    <w:qFormat/>
    <w:rsid w:val="00907253"/>
    <w:pPr>
      <w:spacing w:before="122" w:line="198" w:lineRule="exact"/>
      <w:ind w:left="1843" w:hanging="709"/>
    </w:pPr>
    <w:rPr>
      <w:sz w:val="18"/>
    </w:rPr>
  </w:style>
  <w:style w:type="paragraph" w:customStyle="1" w:styleId="SOPara">
    <w:name w:val="SO Para"/>
    <w:aliases w:val="soa"/>
    <w:basedOn w:val="SOText"/>
    <w:link w:val="SOParaChar"/>
    <w:qFormat/>
    <w:rsid w:val="00907253"/>
    <w:pPr>
      <w:tabs>
        <w:tab w:val="right" w:pos="1786"/>
      </w:tabs>
      <w:spacing w:before="40"/>
      <w:ind w:left="2070" w:hanging="936"/>
    </w:pPr>
  </w:style>
  <w:style w:type="character" w:customStyle="1" w:styleId="SOParaChar">
    <w:name w:val="SO Para Char"/>
    <w:aliases w:val="soa Char"/>
    <w:basedOn w:val="DefaultParagraphFont"/>
    <w:link w:val="SOPara"/>
    <w:rsid w:val="00907253"/>
    <w:rPr>
      <w:rFonts w:eastAsiaTheme="minorHAnsi" w:cstheme="minorBidi"/>
      <w:sz w:val="22"/>
      <w:lang w:eastAsia="en-US"/>
    </w:rPr>
  </w:style>
  <w:style w:type="paragraph" w:customStyle="1" w:styleId="FileName">
    <w:name w:val="FileName"/>
    <w:basedOn w:val="Normal"/>
    <w:rsid w:val="00907253"/>
  </w:style>
  <w:style w:type="paragraph" w:customStyle="1" w:styleId="TableHeading">
    <w:name w:val="TableHeading"/>
    <w:aliases w:val="th"/>
    <w:basedOn w:val="OPCParaBase"/>
    <w:next w:val="Tabletext"/>
    <w:rsid w:val="00907253"/>
    <w:pPr>
      <w:keepNext/>
      <w:spacing w:before="60" w:line="240" w:lineRule="atLeast"/>
    </w:pPr>
    <w:rPr>
      <w:b/>
      <w:sz w:val="20"/>
    </w:rPr>
  </w:style>
  <w:style w:type="paragraph" w:customStyle="1" w:styleId="SOHeadBold">
    <w:name w:val="SO HeadBold"/>
    <w:aliases w:val="sohb"/>
    <w:basedOn w:val="SOText"/>
    <w:next w:val="SOText"/>
    <w:link w:val="SOHeadBoldChar"/>
    <w:qFormat/>
    <w:rsid w:val="00907253"/>
    <w:rPr>
      <w:b/>
    </w:rPr>
  </w:style>
  <w:style w:type="character" w:customStyle="1" w:styleId="SOHeadBoldChar">
    <w:name w:val="SO HeadBold Char"/>
    <w:aliases w:val="sohb Char"/>
    <w:basedOn w:val="DefaultParagraphFont"/>
    <w:link w:val="SOHeadBold"/>
    <w:rsid w:val="0090725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7253"/>
    <w:rPr>
      <w:i/>
    </w:rPr>
  </w:style>
  <w:style w:type="character" w:customStyle="1" w:styleId="SOHeadItalicChar">
    <w:name w:val="SO HeadItalic Char"/>
    <w:aliases w:val="sohi Char"/>
    <w:basedOn w:val="DefaultParagraphFont"/>
    <w:link w:val="SOHeadItalic"/>
    <w:rsid w:val="00907253"/>
    <w:rPr>
      <w:rFonts w:eastAsiaTheme="minorHAnsi" w:cstheme="minorBidi"/>
      <w:i/>
      <w:sz w:val="22"/>
      <w:lang w:eastAsia="en-US"/>
    </w:rPr>
  </w:style>
  <w:style w:type="paragraph" w:customStyle="1" w:styleId="SOBullet">
    <w:name w:val="SO Bullet"/>
    <w:aliases w:val="sotb"/>
    <w:basedOn w:val="SOText"/>
    <w:link w:val="SOBulletChar"/>
    <w:qFormat/>
    <w:rsid w:val="00907253"/>
    <w:pPr>
      <w:ind w:left="1559" w:hanging="425"/>
    </w:pPr>
  </w:style>
  <w:style w:type="character" w:customStyle="1" w:styleId="SOBulletChar">
    <w:name w:val="SO Bullet Char"/>
    <w:aliases w:val="sotb Char"/>
    <w:basedOn w:val="DefaultParagraphFont"/>
    <w:link w:val="SOBullet"/>
    <w:rsid w:val="00907253"/>
    <w:rPr>
      <w:rFonts w:eastAsiaTheme="minorHAnsi" w:cstheme="minorBidi"/>
      <w:sz w:val="22"/>
      <w:lang w:eastAsia="en-US"/>
    </w:rPr>
  </w:style>
  <w:style w:type="paragraph" w:customStyle="1" w:styleId="SOBulletNote">
    <w:name w:val="SO BulletNote"/>
    <w:aliases w:val="sonb"/>
    <w:basedOn w:val="SOTextNote"/>
    <w:link w:val="SOBulletNoteChar"/>
    <w:qFormat/>
    <w:rsid w:val="00907253"/>
    <w:pPr>
      <w:tabs>
        <w:tab w:val="left" w:pos="1560"/>
      </w:tabs>
      <w:ind w:left="2268" w:hanging="1134"/>
    </w:pPr>
  </w:style>
  <w:style w:type="character" w:customStyle="1" w:styleId="SOBulletNoteChar">
    <w:name w:val="SO BulletNote Char"/>
    <w:aliases w:val="sonb Char"/>
    <w:basedOn w:val="DefaultParagraphFont"/>
    <w:link w:val="SOBulletNote"/>
    <w:rsid w:val="00907253"/>
    <w:rPr>
      <w:rFonts w:eastAsiaTheme="minorHAnsi" w:cstheme="minorBidi"/>
      <w:sz w:val="18"/>
      <w:lang w:eastAsia="en-US"/>
    </w:rPr>
  </w:style>
  <w:style w:type="paragraph" w:styleId="Revision">
    <w:name w:val="Revision"/>
    <w:hidden/>
    <w:uiPriority w:val="99"/>
    <w:semiHidden/>
    <w:rsid w:val="002F4A4F"/>
    <w:rPr>
      <w:rFonts w:eastAsiaTheme="minorHAnsi" w:cstheme="minorBidi"/>
      <w:sz w:val="22"/>
      <w:lang w:eastAsia="en-US"/>
    </w:rPr>
  </w:style>
  <w:style w:type="paragraph" w:customStyle="1" w:styleId="ETAsubitem">
    <w:name w:val="ETA(subitem)"/>
    <w:basedOn w:val="OPCParaBase"/>
    <w:rsid w:val="00907253"/>
    <w:pPr>
      <w:tabs>
        <w:tab w:val="right" w:pos="340"/>
      </w:tabs>
      <w:spacing w:before="60" w:line="240" w:lineRule="auto"/>
      <w:ind w:left="454" w:hanging="454"/>
    </w:pPr>
    <w:rPr>
      <w:sz w:val="20"/>
    </w:rPr>
  </w:style>
  <w:style w:type="paragraph" w:customStyle="1" w:styleId="ETApara">
    <w:name w:val="ETA(para)"/>
    <w:basedOn w:val="OPCParaBase"/>
    <w:rsid w:val="00907253"/>
    <w:pPr>
      <w:tabs>
        <w:tab w:val="right" w:pos="754"/>
      </w:tabs>
      <w:spacing w:before="60" w:line="240" w:lineRule="auto"/>
      <w:ind w:left="828" w:hanging="828"/>
    </w:pPr>
    <w:rPr>
      <w:sz w:val="20"/>
    </w:rPr>
  </w:style>
  <w:style w:type="paragraph" w:customStyle="1" w:styleId="ETAsubpara">
    <w:name w:val="ETA(subpara)"/>
    <w:basedOn w:val="OPCParaBase"/>
    <w:rsid w:val="00907253"/>
    <w:pPr>
      <w:tabs>
        <w:tab w:val="right" w:pos="1083"/>
      </w:tabs>
      <w:spacing w:before="60" w:line="240" w:lineRule="auto"/>
      <w:ind w:left="1191" w:hanging="1191"/>
    </w:pPr>
    <w:rPr>
      <w:sz w:val="20"/>
    </w:rPr>
  </w:style>
  <w:style w:type="paragraph" w:customStyle="1" w:styleId="ETAsub-subpara">
    <w:name w:val="ETA(sub-subpara)"/>
    <w:basedOn w:val="OPCParaBase"/>
    <w:rsid w:val="0090725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07253"/>
    <w:rPr>
      <w:b/>
      <w:sz w:val="28"/>
      <w:szCs w:val="28"/>
    </w:rPr>
  </w:style>
  <w:style w:type="paragraph" w:customStyle="1" w:styleId="NotesHeading2">
    <w:name w:val="NotesHeading 2"/>
    <w:basedOn w:val="OPCParaBase"/>
    <w:next w:val="Normal"/>
    <w:rsid w:val="0090725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08BF-D079-4B95-BD03-FAD80868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44</Pages>
  <Words>8603</Words>
  <Characters>40890</Characters>
  <Application>Microsoft Office Word</Application>
  <DocSecurity>0</DocSecurity>
  <PresentationFormat/>
  <Lines>1133</Lines>
  <Paragraphs>650</Paragraphs>
  <ScaleCrop>false</ScaleCrop>
  <HeadingPairs>
    <vt:vector size="2" baseType="variant">
      <vt:variant>
        <vt:lpstr>Title</vt:lpstr>
      </vt:variant>
      <vt:variant>
        <vt:i4>1</vt:i4>
      </vt:variant>
    </vt:vector>
  </HeadingPairs>
  <TitlesOfParts>
    <vt:vector size="1" baseType="lpstr">
      <vt:lpstr>Screen Australia and the National Film and Sound Archive of Australia (Consequential and Transitional Provisions) Act 2008</vt:lpstr>
    </vt:vector>
  </TitlesOfParts>
  <Manager/>
  <Company/>
  <LinksUpToDate>false</LinksUpToDate>
  <CharactersWithSpaces>49068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Australia and the National Film and Sound Archive of Australia (Consequential and Transitional Provisions) Act 2008</dc:title>
  <dc:subject/>
  <dc:creator/>
  <cp:keywords/>
  <dc:description/>
  <cp:lastModifiedBy/>
  <cp:revision>1</cp:revision>
  <cp:lastPrinted>2016-02-25T22:26:00Z</cp:lastPrinted>
  <dcterms:created xsi:type="dcterms:W3CDTF">2016-05-11T02:14:00Z</dcterms:created>
  <dcterms:modified xsi:type="dcterms:W3CDTF">2016-05-11T02:14:00Z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Converted">
    <vt:bool>true</vt:bool>
  </property>
  <property fmtid="{D5CDD505-2E9C-101B-9397-08002B2CF9AE}" pid="4" name="DLM">
    <vt:lpwstr> </vt:lpwstr>
  </property>
  <property fmtid="{D5CDD505-2E9C-101B-9397-08002B2CF9AE}" pid="5" name="ShortT">
    <vt:lpwstr>Screen Australia and the National Film and Sound Archive of Australia (Consequential and Transitional Provisions)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AMD</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3</vt:lpwstr>
  </property>
  <property fmtid="{D5CDD505-2E9C-101B-9397-08002B2CF9AE}" pid="13" name="StartDate">
    <vt:filetime>2016-03-04T14:00:00Z</vt:filetime>
  </property>
  <property fmtid="{D5CDD505-2E9C-101B-9397-08002B2CF9AE}" pid="14" name="PreparedDate">
    <vt:filetime>2016-03-04T14:00:00Z</vt:filetime>
  </property>
  <property fmtid="{D5CDD505-2E9C-101B-9397-08002B2CF9AE}" pid="15" name="RegisteredDate">
    <vt:filetime>2016-05-10T14:00:00Z</vt:filetime>
  </property>
</Properties>
</file>