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61" w:rsidRPr="00F673EE" w:rsidRDefault="007B6261" w:rsidP="007B6261">
      <w:r w:rsidRPr="00F673E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06207183" r:id="rId10"/>
        </w:object>
      </w:r>
    </w:p>
    <w:p w:rsidR="007B6261" w:rsidRPr="00F673EE" w:rsidRDefault="007B6261" w:rsidP="007B6261">
      <w:pPr>
        <w:pStyle w:val="ShortT"/>
        <w:spacing w:before="240"/>
      </w:pPr>
      <w:r w:rsidRPr="00F673EE">
        <w:t>Trans</w:t>
      </w:r>
      <w:r w:rsidR="00F673EE">
        <w:noBreakHyphen/>
      </w:r>
      <w:r w:rsidRPr="00F673EE">
        <w:t>Tasman Mutual Recognition Act 1997</w:t>
      </w:r>
    </w:p>
    <w:p w:rsidR="007B6261" w:rsidRPr="00F673EE" w:rsidRDefault="007B6261" w:rsidP="007B6261">
      <w:pPr>
        <w:pStyle w:val="CompiledActNo"/>
        <w:spacing w:before="240"/>
      </w:pPr>
      <w:r w:rsidRPr="00F673EE">
        <w:t>No.</w:t>
      </w:r>
      <w:r w:rsidR="00F673EE">
        <w:t> </w:t>
      </w:r>
      <w:r w:rsidRPr="00F673EE">
        <w:t>190, 1997</w:t>
      </w:r>
    </w:p>
    <w:p w:rsidR="007B6261" w:rsidRPr="00F673EE" w:rsidRDefault="007B6261" w:rsidP="007B6261">
      <w:pPr>
        <w:spacing w:before="1000"/>
        <w:rPr>
          <w:rFonts w:cs="Arial"/>
          <w:b/>
          <w:sz w:val="32"/>
          <w:szCs w:val="32"/>
        </w:rPr>
      </w:pPr>
      <w:r w:rsidRPr="00F673EE">
        <w:rPr>
          <w:rFonts w:cs="Arial"/>
          <w:b/>
          <w:sz w:val="32"/>
          <w:szCs w:val="32"/>
        </w:rPr>
        <w:t>Compilation No.</w:t>
      </w:r>
      <w:r w:rsidR="00F673EE">
        <w:rPr>
          <w:rFonts w:cs="Arial"/>
          <w:b/>
          <w:sz w:val="32"/>
          <w:szCs w:val="32"/>
        </w:rPr>
        <w:t> </w:t>
      </w:r>
      <w:r w:rsidRPr="00F673EE">
        <w:rPr>
          <w:rFonts w:cs="Arial"/>
          <w:b/>
          <w:sz w:val="32"/>
          <w:szCs w:val="32"/>
        </w:rPr>
        <w:fldChar w:fldCharType="begin"/>
      </w:r>
      <w:r w:rsidRPr="00F673EE">
        <w:rPr>
          <w:rFonts w:cs="Arial"/>
          <w:b/>
          <w:sz w:val="32"/>
          <w:szCs w:val="32"/>
        </w:rPr>
        <w:instrText xml:space="preserve"> DOCPROPERTY  CompilationNumber </w:instrText>
      </w:r>
      <w:r w:rsidRPr="00F673EE">
        <w:rPr>
          <w:rFonts w:cs="Arial"/>
          <w:b/>
          <w:sz w:val="32"/>
          <w:szCs w:val="32"/>
        </w:rPr>
        <w:fldChar w:fldCharType="separate"/>
      </w:r>
      <w:r w:rsidR="00F673EE">
        <w:rPr>
          <w:rFonts w:cs="Arial"/>
          <w:b/>
          <w:sz w:val="32"/>
          <w:szCs w:val="32"/>
        </w:rPr>
        <w:t>19</w:t>
      </w:r>
      <w:r w:rsidRPr="00F673EE">
        <w:rPr>
          <w:rFonts w:cs="Arial"/>
          <w:b/>
          <w:sz w:val="32"/>
          <w:szCs w:val="32"/>
        </w:rPr>
        <w:fldChar w:fldCharType="end"/>
      </w:r>
    </w:p>
    <w:p w:rsidR="007B6261" w:rsidRPr="00F673EE" w:rsidRDefault="007B6261" w:rsidP="007B6261">
      <w:pPr>
        <w:spacing w:before="480"/>
        <w:rPr>
          <w:rFonts w:cs="Arial"/>
          <w:sz w:val="24"/>
        </w:rPr>
      </w:pPr>
      <w:r w:rsidRPr="00F673EE">
        <w:rPr>
          <w:rFonts w:cs="Arial"/>
          <w:b/>
          <w:sz w:val="24"/>
        </w:rPr>
        <w:t>Compilation date:</w:t>
      </w:r>
      <w:r w:rsidRPr="00F673EE">
        <w:rPr>
          <w:rFonts w:cs="Arial"/>
          <w:b/>
          <w:sz w:val="24"/>
        </w:rPr>
        <w:tab/>
      </w:r>
      <w:r w:rsidRPr="00F673EE">
        <w:rPr>
          <w:rFonts w:cs="Arial"/>
          <w:b/>
          <w:sz w:val="24"/>
        </w:rPr>
        <w:tab/>
      </w:r>
      <w:r w:rsidRPr="00F673EE">
        <w:rPr>
          <w:rFonts w:cs="Arial"/>
          <w:b/>
          <w:sz w:val="24"/>
        </w:rPr>
        <w:tab/>
      </w:r>
      <w:r w:rsidRPr="00F673EE">
        <w:rPr>
          <w:rFonts w:cs="Arial"/>
          <w:sz w:val="24"/>
        </w:rPr>
        <w:fldChar w:fldCharType="begin"/>
      </w:r>
      <w:r w:rsidRPr="00F673EE">
        <w:rPr>
          <w:rFonts w:cs="Arial"/>
          <w:sz w:val="24"/>
        </w:rPr>
        <w:instrText xml:space="preserve"> DOCPROPERTY StartDate \@ "d MMMM yyyy" \*MERGEFORMAT </w:instrText>
      </w:r>
      <w:r w:rsidRPr="00F673EE">
        <w:rPr>
          <w:rFonts w:cs="Arial"/>
          <w:sz w:val="24"/>
        </w:rPr>
        <w:fldChar w:fldCharType="separate"/>
      </w:r>
      <w:r w:rsidR="00F673EE" w:rsidRPr="00F673EE">
        <w:rPr>
          <w:rFonts w:cs="Arial"/>
          <w:bCs/>
          <w:sz w:val="24"/>
        </w:rPr>
        <w:t>7 December</w:t>
      </w:r>
      <w:r w:rsidR="00F673EE">
        <w:rPr>
          <w:rFonts w:cs="Arial"/>
          <w:sz w:val="24"/>
        </w:rPr>
        <w:t xml:space="preserve"> 2018</w:t>
      </w:r>
      <w:r w:rsidRPr="00F673EE">
        <w:rPr>
          <w:rFonts w:cs="Arial"/>
          <w:sz w:val="24"/>
        </w:rPr>
        <w:fldChar w:fldCharType="end"/>
      </w:r>
    </w:p>
    <w:p w:rsidR="007B6261" w:rsidRPr="00F673EE" w:rsidRDefault="007B6261" w:rsidP="007B6261">
      <w:pPr>
        <w:spacing w:before="240"/>
        <w:rPr>
          <w:rFonts w:cs="Arial"/>
          <w:sz w:val="24"/>
        </w:rPr>
      </w:pPr>
      <w:r w:rsidRPr="00F673EE">
        <w:rPr>
          <w:rFonts w:cs="Arial"/>
          <w:b/>
          <w:sz w:val="24"/>
        </w:rPr>
        <w:t>Includes amendments up to:</w:t>
      </w:r>
      <w:r w:rsidRPr="00F673EE">
        <w:rPr>
          <w:rFonts w:cs="Arial"/>
          <w:b/>
          <w:sz w:val="24"/>
        </w:rPr>
        <w:tab/>
      </w:r>
      <w:r w:rsidRPr="00F673EE">
        <w:rPr>
          <w:rFonts w:cs="Arial"/>
          <w:sz w:val="24"/>
        </w:rPr>
        <w:fldChar w:fldCharType="begin"/>
      </w:r>
      <w:r w:rsidRPr="00F673EE">
        <w:rPr>
          <w:rFonts w:cs="Arial"/>
          <w:sz w:val="24"/>
        </w:rPr>
        <w:instrText xml:space="preserve"> DOCPROPERTY IncludesUpTo </w:instrText>
      </w:r>
      <w:r w:rsidRPr="00F673EE">
        <w:rPr>
          <w:rFonts w:cs="Arial"/>
          <w:sz w:val="24"/>
        </w:rPr>
        <w:fldChar w:fldCharType="separate"/>
      </w:r>
      <w:r w:rsidR="00F673EE">
        <w:rPr>
          <w:rFonts w:cs="Arial"/>
          <w:sz w:val="24"/>
        </w:rPr>
        <w:t>F2018L01692</w:t>
      </w:r>
      <w:r w:rsidRPr="00F673EE">
        <w:rPr>
          <w:rFonts w:cs="Arial"/>
          <w:sz w:val="24"/>
        </w:rPr>
        <w:fldChar w:fldCharType="end"/>
      </w:r>
    </w:p>
    <w:p w:rsidR="007B6261" w:rsidRPr="00F673EE" w:rsidRDefault="007B6261" w:rsidP="007B6261">
      <w:pPr>
        <w:spacing w:before="240"/>
        <w:rPr>
          <w:rFonts w:cs="Arial"/>
          <w:sz w:val="28"/>
          <w:szCs w:val="28"/>
        </w:rPr>
      </w:pPr>
      <w:r w:rsidRPr="00F673EE">
        <w:rPr>
          <w:rFonts w:cs="Arial"/>
          <w:b/>
          <w:sz w:val="24"/>
        </w:rPr>
        <w:t>Registered:</w:t>
      </w:r>
      <w:r w:rsidRPr="00F673EE">
        <w:rPr>
          <w:rFonts w:cs="Arial"/>
          <w:b/>
          <w:sz w:val="24"/>
        </w:rPr>
        <w:tab/>
      </w:r>
      <w:r w:rsidRPr="00F673EE">
        <w:rPr>
          <w:rFonts w:cs="Arial"/>
          <w:b/>
          <w:sz w:val="24"/>
        </w:rPr>
        <w:tab/>
      </w:r>
      <w:r w:rsidRPr="00F673EE">
        <w:rPr>
          <w:rFonts w:cs="Arial"/>
          <w:b/>
          <w:sz w:val="24"/>
        </w:rPr>
        <w:tab/>
      </w:r>
      <w:r w:rsidRPr="00F673EE">
        <w:rPr>
          <w:rFonts w:cs="Arial"/>
          <w:b/>
          <w:sz w:val="24"/>
        </w:rPr>
        <w:tab/>
      </w:r>
      <w:r w:rsidRPr="00F673EE">
        <w:rPr>
          <w:rFonts w:cs="Arial"/>
          <w:sz w:val="24"/>
        </w:rPr>
        <w:fldChar w:fldCharType="begin"/>
      </w:r>
      <w:r w:rsidRPr="00F673EE">
        <w:rPr>
          <w:rFonts w:cs="Arial"/>
          <w:sz w:val="24"/>
        </w:rPr>
        <w:instrText xml:space="preserve"> IF </w:instrText>
      </w:r>
      <w:r w:rsidRPr="00F673EE">
        <w:rPr>
          <w:rFonts w:cs="Arial"/>
          <w:sz w:val="24"/>
        </w:rPr>
        <w:fldChar w:fldCharType="begin"/>
      </w:r>
      <w:r w:rsidRPr="00F673EE">
        <w:rPr>
          <w:rFonts w:cs="Arial"/>
          <w:sz w:val="24"/>
        </w:rPr>
        <w:instrText xml:space="preserve"> DOCPROPERTY RegisteredDate </w:instrText>
      </w:r>
      <w:r w:rsidRPr="00F673EE">
        <w:rPr>
          <w:rFonts w:cs="Arial"/>
          <w:sz w:val="24"/>
        </w:rPr>
        <w:fldChar w:fldCharType="separate"/>
      </w:r>
      <w:r w:rsidR="00F673EE">
        <w:rPr>
          <w:rFonts w:cs="Arial"/>
          <w:sz w:val="24"/>
        </w:rPr>
        <w:instrText>13/12/2018</w:instrText>
      </w:r>
      <w:r w:rsidRPr="00F673EE">
        <w:rPr>
          <w:rFonts w:cs="Arial"/>
          <w:sz w:val="24"/>
        </w:rPr>
        <w:fldChar w:fldCharType="end"/>
      </w:r>
      <w:r w:rsidRPr="00F673EE">
        <w:rPr>
          <w:rFonts w:cs="Arial"/>
          <w:sz w:val="24"/>
        </w:rPr>
        <w:instrText xml:space="preserve"> = #1/1/1901# "Unknown" </w:instrText>
      </w:r>
      <w:r w:rsidRPr="00F673EE">
        <w:rPr>
          <w:rFonts w:cs="Arial"/>
          <w:sz w:val="24"/>
        </w:rPr>
        <w:fldChar w:fldCharType="begin"/>
      </w:r>
      <w:r w:rsidRPr="00F673EE">
        <w:rPr>
          <w:rFonts w:cs="Arial"/>
          <w:sz w:val="24"/>
        </w:rPr>
        <w:instrText xml:space="preserve"> DOCPROPERTY RegisteredDate \@ "d MMMM yyyy" </w:instrText>
      </w:r>
      <w:r w:rsidRPr="00F673EE">
        <w:rPr>
          <w:rFonts w:cs="Arial"/>
          <w:sz w:val="24"/>
        </w:rPr>
        <w:fldChar w:fldCharType="separate"/>
      </w:r>
      <w:r w:rsidR="00F673EE">
        <w:rPr>
          <w:rFonts w:cs="Arial"/>
          <w:sz w:val="24"/>
        </w:rPr>
        <w:instrText>13 December 2018</w:instrText>
      </w:r>
      <w:r w:rsidRPr="00F673EE">
        <w:rPr>
          <w:rFonts w:cs="Arial"/>
          <w:sz w:val="24"/>
        </w:rPr>
        <w:fldChar w:fldCharType="end"/>
      </w:r>
      <w:r w:rsidRPr="00F673EE">
        <w:rPr>
          <w:rFonts w:cs="Arial"/>
          <w:sz w:val="24"/>
        </w:rPr>
        <w:instrText xml:space="preserve"> \*MERGEFORMAT </w:instrText>
      </w:r>
      <w:r w:rsidRPr="00F673EE">
        <w:rPr>
          <w:rFonts w:cs="Arial"/>
          <w:sz w:val="24"/>
        </w:rPr>
        <w:fldChar w:fldCharType="separate"/>
      </w:r>
      <w:r w:rsidR="00F673EE" w:rsidRPr="00F673EE">
        <w:rPr>
          <w:rFonts w:cs="Arial"/>
          <w:bCs/>
          <w:noProof/>
          <w:sz w:val="24"/>
        </w:rPr>
        <w:t>13</w:t>
      </w:r>
      <w:r w:rsidR="00F673EE">
        <w:rPr>
          <w:rFonts w:cs="Arial"/>
          <w:noProof/>
          <w:sz w:val="24"/>
        </w:rPr>
        <w:t xml:space="preserve"> December 2018</w:t>
      </w:r>
      <w:r w:rsidRPr="00F673EE">
        <w:rPr>
          <w:rFonts w:cs="Arial"/>
          <w:sz w:val="24"/>
        </w:rPr>
        <w:fldChar w:fldCharType="end"/>
      </w:r>
    </w:p>
    <w:p w:rsidR="007B6261" w:rsidRPr="00F673EE" w:rsidRDefault="007B6261" w:rsidP="007B6261">
      <w:pPr>
        <w:rPr>
          <w:b/>
          <w:szCs w:val="22"/>
        </w:rPr>
      </w:pPr>
    </w:p>
    <w:p w:rsidR="00857E15" w:rsidRPr="00F673EE" w:rsidRDefault="00857E15" w:rsidP="007B6261">
      <w:pPr>
        <w:rPr>
          <w:b/>
          <w:szCs w:val="22"/>
        </w:rPr>
      </w:pPr>
    </w:p>
    <w:p w:rsidR="00857E15" w:rsidRPr="00F673EE" w:rsidRDefault="00857E15" w:rsidP="007B6261">
      <w:pPr>
        <w:rPr>
          <w:b/>
          <w:szCs w:val="22"/>
        </w:rPr>
      </w:pPr>
    </w:p>
    <w:p w:rsidR="00857E15" w:rsidRPr="00F673EE" w:rsidRDefault="00857E15" w:rsidP="007B6261">
      <w:pPr>
        <w:rPr>
          <w:b/>
          <w:szCs w:val="22"/>
        </w:rPr>
      </w:pPr>
    </w:p>
    <w:p w:rsidR="00857E15" w:rsidRPr="00F673EE" w:rsidRDefault="00857E15" w:rsidP="007B6261">
      <w:pPr>
        <w:rPr>
          <w:b/>
          <w:szCs w:val="22"/>
        </w:rPr>
      </w:pPr>
    </w:p>
    <w:p w:rsidR="00857E15" w:rsidRPr="00F673EE" w:rsidRDefault="00857E15" w:rsidP="007B6261">
      <w:pPr>
        <w:rPr>
          <w:b/>
          <w:szCs w:val="22"/>
        </w:rPr>
      </w:pPr>
    </w:p>
    <w:p w:rsidR="00857E15" w:rsidRPr="00F673EE" w:rsidRDefault="00857E15" w:rsidP="007B6261">
      <w:pPr>
        <w:rPr>
          <w:b/>
          <w:szCs w:val="22"/>
        </w:rPr>
      </w:pPr>
    </w:p>
    <w:p w:rsidR="00857E15" w:rsidRPr="00F673EE" w:rsidRDefault="00857E15" w:rsidP="007B6261">
      <w:pPr>
        <w:rPr>
          <w:b/>
          <w:szCs w:val="22"/>
        </w:rPr>
      </w:pPr>
    </w:p>
    <w:p w:rsidR="00857E15" w:rsidRPr="00F673EE" w:rsidRDefault="00857E15" w:rsidP="007B6261">
      <w:pPr>
        <w:rPr>
          <w:b/>
          <w:szCs w:val="22"/>
        </w:rPr>
      </w:pPr>
    </w:p>
    <w:p w:rsidR="00857E15" w:rsidRPr="00F673EE" w:rsidRDefault="00857E15" w:rsidP="007B6261">
      <w:pPr>
        <w:rPr>
          <w:b/>
          <w:szCs w:val="22"/>
        </w:rPr>
      </w:pPr>
      <w:r w:rsidRPr="00F673EE">
        <w:rPr>
          <w:b/>
          <w:szCs w:val="22"/>
        </w:rPr>
        <w:t>This compilation includes a commenced amendment made by F2018L01675. The amendment made by F2018L01692 has not commenced but is noted in the endnotes.</w:t>
      </w:r>
    </w:p>
    <w:p w:rsidR="007B6261" w:rsidRPr="00F673EE" w:rsidRDefault="007B6261" w:rsidP="007B6261">
      <w:pPr>
        <w:pageBreakBefore/>
        <w:rPr>
          <w:rFonts w:cs="Arial"/>
          <w:b/>
          <w:sz w:val="32"/>
          <w:szCs w:val="32"/>
        </w:rPr>
      </w:pPr>
      <w:r w:rsidRPr="00F673EE">
        <w:rPr>
          <w:rFonts w:cs="Arial"/>
          <w:b/>
          <w:sz w:val="32"/>
          <w:szCs w:val="32"/>
        </w:rPr>
        <w:lastRenderedPageBreak/>
        <w:t>About this compilation</w:t>
      </w:r>
    </w:p>
    <w:p w:rsidR="007B6261" w:rsidRPr="00F673EE" w:rsidRDefault="007B6261" w:rsidP="007B6261">
      <w:pPr>
        <w:spacing w:before="240"/>
        <w:rPr>
          <w:rFonts w:cs="Arial"/>
        </w:rPr>
      </w:pPr>
      <w:r w:rsidRPr="00F673EE">
        <w:rPr>
          <w:rFonts w:cs="Arial"/>
          <w:b/>
          <w:szCs w:val="22"/>
        </w:rPr>
        <w:t>This compilation</w:t>
      </w:r>
    </w:p>
    <w:p w:rsidR="007B6261" w:rsidRPr="00F673EE" w:rsidRDefault="007B6261" w:rsidP="007B6261">
      <w:pPr>
        <w:spacing w:before="120" w:after="120"/>
        <w:rPr>
          <w:rFonts w:cs="Arial"/>
          <w:szCs w:val="22"/>
        </w:rPr>
      </w:pPr>
      <w:r w:rsidRPr="00F673EE">
        <w:rPr>
          <w:rFonts w:cs="Arial"/>
          <w:szCs w:val="22"/>
        </w:rPr>
        <w:t xml:space="preserve">This is a compilation of the </w:t>
      </w:r>
      <w:r w:rsidRPr="00F673EE">
        <w:rPr>
          <w:rFonts w:cs="Arial"/>
          <w:i/>
          <w:szCs w:val="22"/>
        </w:rPr>
        <w:fldChar w:fldCharType="begin"/>
      </w:r>
      <w:r w:rsidRPr="00F673EE">
        <w:rPr>
          <w:rFonts w:cs="Arial"/>
          <w:i/>
          <w:szCs w:val="22"/>
        </w:rPr>
        <w:instrText xml:space="preserve"> STYLEREF  ShortT </w:instrText>
      </w:r>
      <w:r w:rsidRPr="00F673EE">
        <w:rPr>
          <w:rFonts w:cs="Arial"/>
          <w:i/>
          <w:szCs w:val="22"/>
        </w:rPr>
        <w:fldChar w:fldCharType="separate"/>
      </w:r>
      <w:r w:rsidR="00F673EE">
        <w:rPr>
          <w:rFonts w:cs="Arial"/>
          <w:i/>
          <w:noProof/>
          <w:szCs w:val="22"/>
        </w:rPr>
        <w:t>Trans-Tasman Mutual Recognition Act 1997</w:t>
      </w:r>
      <w:r w:rsidRPr="00F673EE">
        <w:rPr>
          <w:rFonts w:cs="Arial"/>
          <w:i/>
          <w:szCs w:val="22"/>
        </w:rPr>
        <w:fldChar w:fldCharType="end"/>
      </w:r>
      <w:r w:rsidRPr="00F673EE">
        <w:rPr>
          <w:rFonts w:cs="Arial"/>
          <w:szCs w:val="22"/>
        </w:rPr>
        <w:t xml:space="preserve"> that shows the text of the law as amended and in force on </w:t>
      </w:r>
      <w:r w:rsidRPr="00F673EE">
        <w:rPr>
          <w:rFonts w:cs="Arial"/>
          <w:szCs w:val="22"/>
        </w:rPr>
        <w:fldChar w:fldCharType="begin"/>
      </w:r>
      <w:r w:rsidRPr="00F673EE">
        <w:rPr>
          <w:rFonts w:cs="Arial"/>
          <w:szCs w:val="22"/>
        </w:rPr>
        <w:instrText xml:space="preserve"> DOCPROPERTY StartDate \@ "d MMMM yyyy" </w:instrText>
      </w:r>
      <w:r w:rsidRPr="00F673EE">
        <w:rPr>
          <w:rFonts w:cs="Arial"/>
          <w:szCs w:val="22"/>
        </w:rPr>
        <w:fldChar w:fldCharType="separate"/>
      </w:r>
      <w:r w:rsidR="00F673EE">
        <w:rPr>
          <w:rFonts w:cs="Arial"/>
          <w:szCs w:val="22"/>
        </w:rPr>
        <w:t>7 December 2018</w:t>
      </w:r>
      <w:r w:rsidRPr="00F673EE">
        <w:rPr>
          <w:rFonts w:cs="Arial"/>
          <w:szCs w:val="22"/>
        </w:rPr>
        <w:fldChar w:fldCharType="end"/>
      </w:r>
      <w:r w:rsidRPr="00F673EE">
        <w:rPr>
          <w:rFonts w:cs="Arial"/>
          <w:szCs w:val="22"/>
        </w:rPr>
        <w:t xml:space="preserve"> (the </w:t>
      </w:r>
      <w:r w:rsidRPr="00F673EE">
        <w:rPr>
          <w:rFonts w:cs="Arial"/>
          <w:b/>
          <w:i/>
          <w:szCs w:val="22"/>
        </w:rPr>
        <w:t>compilation date</w:t>
      </w:r>
      <w:r w:rsidRPr="00F673EE">
        <w:rPr>
          <w:rFonts w:cs="Arial"/>
          <w:szCs w:val="22"/>
        </w:rPr>
        <w:t>).</w:t>
      </w:r>
    </w:p>
    <w:p w:rsidR="007B6261" w:rsidRPr="00F673EE" w:rsidRDefault="007B6261" w:rsidP="007B6261">
      <w:pPr>
        <w:spacing w:after="120"/>
        <w:rPr>
          <w:rFonts w:cs="Arial"/>
          <w:szCs w:val="22"/>
        </w:rPr>
      </w:pPr>
      <w:r w:rsidRPr="00F673EE">
        <w:rPr>
          <w:rFonts w:cs="Arial"/>
          <w:szCs w:val="22"/>
        </w:rPr>
        <w:t xml:space="preserve">The notes at the end of this compilation (the </w:t>
      </w:r>
      <w:r w:rsidRPr="00F673EE">
        <w:rPr>
          <w:rFonts w:cs="Arial"/>
          <w:b/>
          <w:i/>
          <w:szCs w:val="22"/>
        </w:rPr>
        <w:t>endnotes</w:t>
      </w:r>
      <w:r w:rsidRPr="00F673EE">
        <w:rPr>
          <w:rFonts w:cs="Arial"/>
          <w:szCs w:val="22"/>
        </w:rPr>
        <w:t>) include information about amending laws and the amendment history of provisions of the compiled law.</w:t>
      </w:r>
    </w:p>
    <w:p w:rsidR="007B6261" w:rsidRPr="00F673EE" w:rsidRDefault="007B6261" w:rsidP="007B6261">
      <w:pPr>
        <w:tabs>
          <w:tab w:val="left" w:pos="5640"/>
        </w:tabs>
        <w:spacing w:before="120" w:after="120"/>
        <w:rPr>
          <w:rFonts w:cs="Arial"/>
          <w:b/>
          <w:szCs w:val="22"/>
        </w:rPr>
      </w:pPr>
      <w:r w:rsidRPr="00F673EE">
        <w:rPr>
          <w:rFonts w:cs="Arial"/>
          <w:b/>
          <w:szCs w:val="22"/>
        </w:rPr>
        <w:t>Uncommenced amendments</w:t>
      </w:r>
    </w:p>
    <w:p w:rsidR="007B6261" w:rsidRPr="00F673EE" w:rsidRDefault="007B6261" w:rsidP="007B6261">
      <w:pPr>
        <w:spacing w:after="120"/>
        <w:rPr>
          <w:rFonts w:cs="Arial"/>
          <w:szCs w:val="22"/>
        </w:rPr>
      </w:pPr>
      <w:r w:rsidRPr="00F673E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B6261" w:rsidRPr="00F673EE" w:rsidRDefault="007B6261" w:rsidP="007B6261">
      <w:pPr>
        <w:spacing w:before="120" w:after="120"/>
        <w:rPr>
          <w:rFonts w:cs="Arial"/>
          <w:b/>
          <w:szCs w:val="22"/>
        </w:rPr>
      </w:pPr>
      <w:r w:rsidRPr="00F673EE">
        <w:rPr>
          <w:rFonts w:cs="Arial"/>
          <w:b/>
          <w:szCs w:val="22"/>
        </w:rPr>
        <w:t>Application, saving and transitional provisions for provisions and amendments</w:t>
      </w:r>
    </w:p>
    <w:p w:rsidR="007B6261" w:rsidRPr="00F673EE" w:rsidRDefault="007B6261" w:rsidP="007B6261">
      <w:pPr>
        <w:spacing w:after="120"/>
        <w:rPr>
          <w:rFonts w:cs="Arial"/>
          <w:szCs w:val="22"/>
        </w:rPr>
      </w:pPr>
      <w:r w:rsidRPr="00F673EE">
        <w:rPr>
          <w:rFonts w:cs="Arial"/>
          <w:szCs w:val="22"/>
        </w:rPr>
        <w:t>If the operation of a provision or amendment of the compiled law is affected by an application, saving or transitional provision that is not included in this compilation, details are included in the endnotes.</w:t>
      </w:r>
    </w:p>
    <w:p w:rsidR="007B6261" w:rsidRPr="00F673EE" w:rsidRDefault="007B6261" w:rsidP="007B6261">
      <w:pPr>
        <w:spacing w:after="120"/>
        <w:rPr>
          <w:rFonts w:cs="Arial"/>
          <w:b/>
          <w:szCs w:val="22"/>
        </w:rPr>
      </w:pPr>
      <w:r w:rsidRPr="00F673EE">
        <w:rPr>
          <w:rFonts w:cs="Arial"/>
          <w:b/>
          <w:szCs w:val="22"/>
        </w:rPr>
        <w:t>Editorial changes</w:t>
      </w:r>
    </w:p>
    <w:p w:rsidR="007B6261" w:rsidRPr="00F673EE" w:rsidRDefault="007B6261" w:rsidP="007B6261">
      <w:pPr>
        <w:spacing w:after="120"/>
        <w:rPr>
          <w:rFonts w:cs="Arial"/>
          <w:szCs w:val="22"/>
        </w:rPr>
      </w:pPr>
      <w:r w:rsidRPr="00F673EE">
        <w:rPr>
          <w:rFonts w:cs="Arial"/>
          <w:szCs w:val="22"/>
        </w:rPr>
        <w:t>For more information about any editorial changes made in this compilation, see the endnotes.</w:t>
      </w:r>
    </w:p>
    <w:p w:rsidR="007B6261" w:rsidRPr="00F673EE" w:rsidRDefault="007B6261" w:rsidP="007B6261">
      <w:pPr>
        <w:spacing w:before="120" w:after="120"/>
        <w:rPr>
          <w:rFonts w:cs="Arial"/>
          <w:b/>
          <w:szCs w:val="22"/>
        </w:rPr>
      </w:pPr>
      <w:r w:rsidRPr="00F673EE">
        <w:rPr>
          <w:rFonts w:cs="Arial"/>
          <w:b/>
          <w:szCs w:val="22"/>
        </w:rPr>
        <w:t>Modifications</w:t>
      </w:r>
    </w:p>
    <w:p w:rsidR="007B6261" w:rsidRPr="00F673EE" w:rsidRDefault="007B6261" w:rsidP="007B6261">
      <w:pPr>
        <w:spacing w:after="120"/>
        <w:rPr>
          <w:rFonts w:cs="Arial"/>
          <w:szCs w:val="22"/>
        </w:rPr>
      </w:pPr>
      <w:r w:rsidRPr="00F673E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B6261" w:rsidRPr="00F673EE" w:rsidRDefault="007B6261" w:rsidP="007B6261">
      <w:pPr>
        <w:spacing w:before="80" w:after="120"/>
        <w:rPr>
          <w:rFonts w:cs="Arial"/>
          <w:b/>
          <w:szCs w:val="22"/>
        </w:rPr>
      </w:pPr>
      <w:r w:rsidRPr="00F673EE">
        <w:rPr>
          <w:rFonts w:cs="Arial"/>
          <w:b/>
          <w:szCs w:val="22"/>
        </w:rPr>
        <w:t>Self</w:t>
      </w:r>
      <w:r w:rsidR="00F673EE">
        <w:rPr>
          <w:rFonts w:cs="Arial"/>
          <w:b/>
          <w:szCs w:val="22"/>
        </w:rPr>
        <w:noBreakHyphen/>
      </w:r>
      <w:r w:rsidRPr="00F673EE">
        <w:rPr>
          <w:rFonts w:cs="Arial"/>
          <w:b/>
          <w:szCs w:val="22"/>
        </w:rPr>
        <w:t>repealing provisions</w:t>
      </w:r>
    </w:p>
    <w:p w:rsidR="007B6261" w:rsidRPr="00F673EE" w:rsidRDefault="007B6261" w:rsidP="007B6261">
      <w:pPr>
        <w:spacing w:after="120"/>
        <w:rPr>
          <w:rFonts w:cs="Arial"/>
          <w:szCs w:val="22"/>
        </w:rPr>
      </w:pPr>
      <w:r w:rsidRPr="00F673EE">
        <w:rPr>
          <w:rFonts w:cs="Arial"/>
          <w:szCs w:val="22"/>
        </w:rPr>
        <w:t>If a provision of the compiled law has been repealed in accordance with a provision of the law, details are included in the endnotes.</w:t>
      </w:r>
    </w:p>
    <w:p w:rsidR="007B6261" w:rsidRPr="00F673EE" w:rsidRDefault="007B6261" w:rsidP="007B6261">
      <w:pPr>
        <w:pStyle w:val="Header"/>
        <w:tabs>
          <w:tab w:val="clear" w:pos="4150"/>
          <w:tab w:val="clear" w:pos="8307"/>
        </w:tabs>
      </w:pPr>
      <w:r w:rsidRPr="00F673EE">
        <w:rPr>
          <w:rStyle w:val="CharChapNo"/>
        </w:rPr>
        <w:t xml:space="preserve"> </w:t>
      </w:r>
      <w:r w:rsidRPr="00F673EE">
        <w:rPr>
          <w:rStyle w:val="CharChapText"/>
          <w:rFonts w:eastAsiaTheme="minorHAnsi"/>
        </w:rPr>
        <w:t xml:space="preserve"> </w:t>
      </w:r>
    </w:p>
    <w:p w:rsidR="007B6261" w:rsidRPr="00F673EE" w:rsidRDefault="007B6261" w:rsidP="007B6261">
      <w:pPr>
        <w:pStyle w:val="Header"/>
        <w:tabs>
          <w:tab w:val="clear" w:pos="4150"/>
          <w:tab w:val="clear" w:pos="8307"/>
        </w:tabs>
      </w:pPr>
      <w:r w:rsidRPr="00F673EE">
        <w:rPr>
          <w:rStyle w:val="CharPartNo"/>
        </w:rPr>
        <w:t xml:space="preserve"> </w:t>
      </w:r>
      <w:r w:rsidRPr="00F673EE">
        <w:rPr>
          <w:rStyle w:val="CharPartText"/>
        </w:rPr>
        <w:t xml:space="preserve"> </w:t>
      </w:r>
    </w:p>
    <w:p w:rsidR="007B6261" w:rsidRPr="00F673EE" w:rsidRDefault="007B6261" w:rsidP="007B6261">
      <w:pPr>
        <w:pStyle w:val="Header"/>
        <w:tabs>
          <w:tab w:val="clear" w:pos="4150"/>
          <w:tab w:val="clear" w:pos="8307"/>
        </w:tabs>
      </w:pPr>
      <w:r w:rsidRPr="00F673EE">
        <w:rPr>
          <w:rStyle w:val="CharDivNo"/>
        </w:rPr>
        <w:t xml:space="preserve"> </w:t>
      </w:r>
      <w:r w:rsidRPr="00F673EE">
        <w:rPr>
          <w:rStyle w:val="CharDivText"/>
        </w:rPr>
        <w:t xml:space="preserve"> </w:t>
      </w:r>
    </w:p>
    <w:p w:rsidR="007B6261" w:rsidRPr="00F673EE" w:rsidRDefault="007B6261" w:rsidP="007B6261">
      <w:pPr>
        <w:sectPr w:rsidR="007B6261" w:rsidRPr="00F673EE" w:rsidSect="00DC7DD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AF1440" w:rsidRPr="00F673EE" w:rsidRDefault="00AF1440" w:rsidP="0074383C">
      <w:r w:rsidRPr="00F673EE">
        <w:rPr>
          <w:rFonts w:cs="Times New Roman"/>
          <w:sz w:val="36"/>
        </w:rPr>
        <w:lastRenderedPageBreak/>
        <w:t>Contents</w:t>
      </w:r>
    </w:p>
    <w:p w:rsidR="00A93530" w:rsidRDefault="00841387">
      <w:pPr>
        <w:pStyle w:val="TOC2"/>
        <w:rPr>
          <w:rFonts w:asciiTheme="minorHAnsi" w:eastAsiaTheme="minorEastAsia" w:hAnsiTheme="minorHAnsi" w:cstheme="minorBidi"/>
          <w:b w:val="0"/>
          <w:noProof/>
          <w:kern w:val="0"/>
          <w:sz w:val="22"/>
          <w:szCs w:val="22"/>
        </w:rPr>
      </w:pPr>
      <w:r w:rsidRPr="00F673EE">
        <w:rPr>
          <w:iCs/>
          <w:szCs w:val="28"/>
        </w:rPr>
        <w:fldChar w:fldCharType="begin"/>
      </w:r>
      <w:r w:rsidRPr="00F673EE">
        <w:instrText xml:space="preserve"> TOC \o "1-9" \t "ActHead 1,2,ActHead 2,2,ActHead 3,3,ActHead 4,4,ActHead 5,5, Schedule,2, Schedule Text,3, NotesSection,6" </w:instrText>
      </w:r>
      <w:r w:rsidRPr="00F673EE">
        <w:rPr>
          <w:iCs/>
          <w:szCs w:val="28"/>
        </w:rPr>
        <w:fldChar w:fldCharType="separate"/>
      </w:r>
      <w:r w:rsidR="00A93530">
        <w:rPr>
          <w:noProof/>
        </w:rPr>
        <w:t>Part 1—Preliminary</w:t>
      </w:r>
      <w:r w:rsidR="00A93530" w:rsidRPr="00A93530">
        <w:rPr>
          <w:b w:val="0"/>
          <w:noProof/>
          <w:sz w:val="18"/>
        </w:rPr>
        <w:tab/>
      </w:r>
      <w:r w:rsidR="00A93530" w:rsidRPr="00A93530">
        <w:rPr>
          <w:b w:val="0"/>
          <w:noProof/>
          <w:sz w:val="18"/>
        </w:rPr>
        <w:fldChar w:fldCharType="begin"/>
      </w:r>
      <w:r w:rsidR="00A93530" w:rsidRPr="00A93530">
        <w:rPr>
          <w:b w:val="0"/>
          <w:noProof/>
          <w:sz w:val="18"/>
        </w:rPr>
        <w:instrText xml:space="preserve"> PAGEREF _Toc532465218 \h </w:instrText>
      </w:r>
      <w:r w:rsidR="00A93530" w:rsidRPr="00A93530">
        <w:rPr>
          <w:b w:val="0"/>
          <w:noProof/>
          <w:sz w:val="18"/>
        </w:rPr>
      </w:r>
      <w:r w:rsidR="00A93530" w:rsidRPr="00A93530">
        <w:rPr>
          <w:b w:val="0"/>
          <w:noProof/>
          <w:sz w:val="18"/>
        </w:rPr>
        <w:fldChar w:fldCharType="separate"/>
      </w:r>
      <w:r w:rsidR="00A93530" w:rsidRPr="00A93530">
        <w:rPr>
          <w:b w:val="0"/>
          <w:noProof/>
          <w:sz w:val="18"/>
        </w:rPr>
        <w:t>1</w:t>
      </w:r>
      <w:r w:rsidR="00A93530"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w:t>
      </w:r>
      <w:r>
        <w:rPr>
          <w:noProof/>
        </w:rPr>
        <w:tab/>
        <w:t>Short title</w:t>
      </w:r>
      <w:r w:rsidRPr="00A93530">
        <w:rPr>
          <w:noProof/>
        </w:rPr>
        <w:tab/>
      </w:r>
      <w:r w:rsidRPr="00A93530">
        <w:rPr>
          <w:noProof/>
        </w:rPr>
        <w:fldChar w:fldCharType="begin"/>
      </w:r>
      <w:r w:rsidRPr="00A93530">
        <w:rPr>
          <w:noProof/>
        </w:rPr>
        <w:instrText xml:space="preserve"> PAGEREF _Toc532465219 \h </w:instrText>
      </w:r>
      <w:r w:rsidRPr="00A93530">
        <w:rPr>
          <w:noProof/>
        </w:rPr>
      </w:r>
      <w:r w:rsidRPr="00A93530">
        <w:rPr>
          <w:noProof/>
        </w:rPr>
        <w:fldChar w:fldCharType="separate"/>
      </w:r>
      <w:r w:rsidRPr="00A93530">
        <w:rPr>
          <w:noProof/>
        </w:rPr>
        <w:t>1</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w:t>
      </w:r>
      <w:r>
        <w:rPr>
          <w:noProof/>
        </w:rPr>
        <w:tab/>
        <w:t>Commencement</w:t>
      </w:r>
      <w:r w:rsidRPr="00A93530">
        <w:rPr>
          <w:noProof/>
        </w:rPr>
        <w:tab/>
      </w:r>
      <w:r w:rsidRPr="00A93530">
        <w:rPr>
          <w:noProof/>
        </w:rPr>
        <w:fldChar w:fldCharType="begin"/>
      </w:r>
      <w:r w:rsidRPr="00A93530">
        <w:rPr>
          <w:noProof/>
        </w:rPr>
        <w:instrText xml:space="preserve"> PAGEREF _Toc532465220 \h </w:instrText>
      </w:r>
      <w:r w:rsidRPr="00A93530">
        <w:rPr>
          <w:noProof/>
        </w:rPr>
      </w:r>
      <w:r w:rsidRPr="00A93530">
        <w:rPr>
          <w:noProof/>
        </w:rPr>
        <w:fldChar w:fldCharType="separate"/>
      </w:r>
      <w:r w:rsidRPr="00A93530">
        <w:rPr>
          <w:noProof/>
        </w:rPr>
        <w:t>1</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w:t>
      </w:r>
      <w:r>
        <w:rPr>
          <w:noProof/>
        </w:rPr>
        <w:tab/>
        <w:t>Principal purpose</w:t>
      </w:r>
      <w:r w:rsidRPr="00A93530">
        <w:rPr>
          <w:noProof/>
        </w:rPr>
        <w:tab/>
      </w:r>
      <w:r w:rsidRPr="00A93530">
        <w:rPr>
          <w:noProof/>
        </w:rPr>
        <w:fldChar w:fldCharType="begin"/>
      </w:r>
      <w:r w:rsidRPr="00A93530">
        <w:rPr>
          <w:noProof/>
        </w:rPr>
        <w:instrText xml:space="preserve"> PAGEREF _Toc532465221 \h </w:instrText>
      </w:r>
      <w:r w:rsidRPr="00A93530">
        <w:rPr>
          <w:noProof/>
        </w:rPr>
      </w:r>
      <w:r w:rsidRPr="00A93530">
        <w:rPr>
          <w:noProof/>
        </w:rPr>
        <w:fldChar w:fldCharType="separate"/>
      </w:r>
      <w:r w:rsidRPr="00A93530">
        <w:rPr>
          <w:noProof/>
        </w:rPr>
        <w:t>1</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w:t>
      </w:r>
      <w:r>
        <w:rPr>
          <w:noProof/>
        </w:rPr>
        <w:tab/>
        <w:t>Interpretation</w:t>
      </w:r>
      <w:r w:rsidRPr="00A93530">
        <w:rPr>
          <w:noProof/>
        </w:rPr>
        <w:tab/>
      </w:r>
      <w:r w:rsidRPr="00A93530">
        <w:rPr>
          <w:noProof/>
        </w:rPr>
        <w:fldChar w:fldCharType="begin"/>
      </w:r>
      <w:r w:rsidRPr="00A93530">
        <w:rPr>
          <w:noProof/>
        </w:rPr>
        <w:instrText xml:space="preserve"> PAGEREF _Toc532465222 \h </w:instrText>
      </w:r>
      <w:r w:rsidRPr="00A93530">
        <w:rPr>
          <w:noProof/>
        </w:rPr>
      </w:r>
      <w:r w:rsidRPr="00A93530">
        <w:rPr>
          <w:noProof/>
        </w:rPr>
        <w:fldChar w:fldCharType="separate"/>
      </w:r>
      <w:r w:rsidRPr="00A93530">
        <w:rPr>
          <w:noProof/>
        </w:rPr>
        <w:t>2</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5</w:t>
      </w:r>
      <w:r>
        <w:rPr>
          <w:noProof/>
        </w:rPr>
        <w:tab/>
        <w:t>Operation of this Act in relation to the Commonwealth</w:t>
      </w:r>
      <w:r w:rsidRPr="00A93530">
        <w:rPr>
          <w:noProof/>
        </w:rPr>
        <w:tab/>
      </w:r>
      <w:r w:rsidRPr="00A93530">
        <w:rPr>
          <w:noProof/>
        </w:rPr>
        <w:fldChar w:fldCharType="begin"/>
      </w:r>
      <w:r w:rsidRPr="00A93530">
        <w:rPr>
          <w:noProof/>
        </w:rPr>
        <w:instrText xml:space="preserve"> PAGEREF _Toc532465223 \h </w:instrText>
      </w:r>
      <w:r w:rsidRPr="00A93530">
        <w:rPr>
          <w:noProof/>
        </w:rPr>
      </w:r>
      <w:r w:rsidRPr="00A93530">
        <w:rPr>
          <w:noProof/>
        </w:rPr>
        <w:fldChar w:fldCharType="separate"/>
      </w:r>
      <w:r w:rsidRPr="00A93530">
        <w:rPr>
          <w:noProof/>
        </w:rPr>
        <w:t>5</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6</w:t>
      </w:r>
      <w:r>
        <w:rPr>
          <w:noProof/>
        </w:rPr>
        <w:tab/>
        <w:t>Operation of this Act in relation to the States</w:t>
      </w:r>
      <w:r w:rsidRPr="00A93530">
        <w:rPr>
          <w:noProof/>
        </w:rPr>
        <w:tab/>
      </w:r>
      <w:r w:rsidRPr="00A93530">
        <w:rPr>
          <w:noProof/>
        </w:rPr>
        <w:fldChar w:fldCharType="begin"/>
      </w:r>
      <w:r w:rsidRPr="00A93530">
        <w:rPr>
          <w:noProof/>
        </w:rPr>
        <w:instrText xml:space="preserve"> PAGEREF _Toc532465224 \h </w:instrText>
      </w:r>
      <w:r w:rsidRPr="00A93530">
        <w:rPr>
          <w:noProof/>
        </w:rPr>
      </w:r>
      <w:r w:rsidRPr="00A93530">
        <w:rPr>
          <w:noProof/>
        </w:rPr>
        <w:fldChar w:fldCharType="separate"/>
      </w:r>
      <w:r w:rsidRPr="00A93530">
        <w:rPr>
          <w:noProof/>
        </w:rPr>
        <w:t>5</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7</w:t>
      </w:r>
      <w:r>
        <w:rPr>
          <w:noProof/>
        </w:rPr>
        <w:tab/>
        <w:t>Operation of this Act in relation to New Zealand</w:t>
      </w:r>
      <w:r w:rsidRPr="00A93530">
        <w:rPr>
          <w:noProof/>
        </w:rPr>
        <w:tab/>
      </w:r>
      <w:r w:rsidRPr="00A93530">
        <w:rPr>
          <w:noProof/>
        </w:rPr>
        <w:fldChar w:fldCharType="begin"/>
      </w:r>
      <w:r w:rsidRPr="00A93530">
        <w:rPr>
          <w:noProof/>
        </w:rPr>
        <w:instrText xml:space="preserve"> PAGEREF _Toc532465225 \h </w:instrText>
      </w:r>
      <w:r w:rsidRPr="00A93530">
        <w:rPr>
          <w:noProof/>
        </w:rPr>
      </w:r>
      <w:r w:rsidRPr="00A93530">
        <w:rPr>
          <w:noProof/>
        </w:rPr>
        <w:fldChar w:fldCharType="separate"/>
      </w:r>
      <w:r w:rsidRPr="00A93530">
        <w:rPr>
          <w:noProof/>
        </w:rPr>
        <w:t>5</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8</w:t>
      </w:r>
      <w:r>
        <w:rPr>
          <w:noProof/>
        </w:rPr>
        <w:tab/>
        <w:t>Crown bound</w:t>
      </w:r>
      <w:r w:rsidRPr="00A93530">
        <w:rPr>
          <w:noProof/>
        </w:rPr>
        <w:tab/>
      </w:r>
      <w:r w:rsidRPr="00A93530">
        <w:rPr>
          <w:noProof/>
        </w:rPr>
        <w:fldChar w:fldCharType="begin"/>
      </w:r>
      <w:r w:rsidRPr="00A93530">
        <w:rPr>
          <w:noProof/>
        </w:rPr>
        <w:instrText xml:space="preserve"> PAGEREF _Toc532465226 \h </w:instrText>
      </w:r>
      <w:r w:rsidRPr="00A93530">
        <w:rPr>
          <w:noProof/>
        </w:rPr>
      </w:r>
      <w:r w:rsidRPr="00A93530">
        <w:rPr>
          <w:noProof/>
        </w:rPr>
        <w:fldChar w:fldCharType="separate"/>
      </w:r>
      <w:r w:rsidRPr="00A93530">
        <w:rPr>
          <w:noProof/>
        </w:rPr>
        <w:t>6</w:t>
      </w:r>
      <w:r w:rsidRPr="00A93530">
        <w:rPr>
          <w:noProof/>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Part 2—Goods</w:t>
      </w:r>
      <w:r w:rsidRPr="00A93530">
        <w:rPr>
          <w:b w:val="0"/>
          <w:noProof/>
          <w:sz w:val="18"/>
        </w:rPr>
        <w:tab/>
      </w:r>
      <w:r w:rsidRPr="00A93530">
        <w:rPr>
          <w:b w:val="0"/>
          <w:noProof/>
          <w:sz w:val="18"/>
        </w:rPr>
        <w:fldChar w:fldCharType="begin"/>
      </w:r>
      <w:r w:rsidRPr="00A93530">
        <w:rPr>
          <w:b w:val="0"/>
          <w:noProof/>
          <w:sz w:val="18"/>
        </w:rPr>
        <w:instrText xml:space="preserve"> PAGEREF _Toc532465227 \h </w:instrText>
      </w:r>
      <w:r w:rsidRPr="00A93530">
        <w:rPr>
          <w:b w:val="0"/>
          <w:noProof/>
          <w:sz w:val="18"/>
        </w:rPr>
      </w:r>
      <w:r w:rsidRPr="00A93530">
        <w:rPr>
          <w:b w:val="0"/>
          <w:noProof/>
          <w:sz w:val="18"/>
        </w:rPr>
        <w:fldChar w:fldCharType="separate"/>
      </w:r>
      <w:r w:rsidRPr="00A93530">
        <w:rPr>
          <w:b w:val="0"/>
          <w:noProof/>
          <w:sz w:val="18"/>
        </w:rPr>
        <w:t>7</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9</w:t>
      </w:r>
      <w:r>
        <w:rPr>
          <w:noProof/>
        </w:rPr>
        <w:tab/>
        <w:t>Trans</w:t>
      </w:r>
      <w:r>
        <w:rPr>
          <w:noProof/>
        </w:rPr>
        <w:noBreakHyphen/>
        <w:t>Tasman mutual recognition principle</w:t>
      </w:r>
      <w:r w:rsidRPr="00A93530">
        <w:rPr>
          <w:noProof/>
        </w:rPr>
        <w:tab/>
      </w:r>
      <w:r w:rsidRPr="00A93530">
        <w:rPr>
          <w:noProof/>
        </w:rPr>
        <w:fldChar w:fldCharType="begin"/>
      </w:r>
      <w:r w:rsidRPr="00A93530">
        <w:rPr>
          <w:noProof/>
        </w:rPr>
        <w:instrText xml:space="preserve"> PAGEREF _Toc532465228 \h </w:instrText>
      </w:r>
      <w:r w:rsidRPr="00A93530">
        <w:rPr>
          <w:noProof/>
        </w:rPr>
      </w:r>
      <w:r w:rsidRPr="00A93530">
        <w:rPr>
          <w:noProof/>
        </w:rPr>
        <w:fldChar w:fldCharType="separate"/>
      </w:r>
      <w:r w:rsidRPr="00A93530">
        <w:rPr>
          <w:noProof/>
        </w:rPr>
        <w:t>7</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10</w:t>
      </w:r>
      <w:r>
        <w:rPr>
          <w:noProof/>
        </w:rPr>
        <w:tab/>
        <w:t>Entitlement to sell goods</w:t>
      </w:r>
      <w:r w:rsidRPr="00A93530">
        <w:rPr>
          <w:noProof/>
        </w:rPr>
        <w:tab/>
      </w:r>
      <w:r w:rsidRPr="00A93530">
        <w:rPr>
          <w:noProof/>
        </w:rPr>
        <w:fldChar w:fldCharType="begin"/>
      </w:r>
      <w:r w:rsidRPr="00A93530">
        <w:rPr>
          <w:noProof/>
        </w:rPr>
        <w:instrText xml:space="preserve"> PAGEREF _Toc532465229 \h </w:instrText>
      </w:r>
      <w:r w:rsidRPr="00A93530">
        <w:rPr>
          <w:noProof/>
        </w:rPr>
      </w:r>
      <w:r w:rsidRPr="00A93530">
        <w:rPr>
          <w:noProof/>
        </w:rPr>
        <w:fldChar w:fldCharType="separate"/>
      </w:r>
      <w:r w:rsidRPr="00A93530">
        <w:rPr>
          <w:noProof/>
        </w:rPr>
        <w:t>7</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11</w:t>
      </w:r>
      <w:r>
        <w:rPr>
          <w:noProof/>
        </w:rPr>
        <w:tab/>
        <w:t>Requirements that do not need to be complied with</w:t>
      </w:r>
      <w:r w:rsidRPr="00A93530">
        <w:rPr>
          <w:noProof/>
        </w:rPr>
        <w:tab/>
      </w:r>
      <w:r w:rsidRPr="00A93530">
        <w:rPr>
          <w:noProof/>
        </w:rPr>
        <w:fldChar w:fldCharType="begin"/>
      </w:r>
      <w:r w:rsidRPr="00A93530">
        <w:rPr>
          <w:noProof/>
        </w:rPr>
        <w:instrText xml:space="preserve"> PAGEREF _Toc532465230 \h </w:instrText>
      </w:r>
      <w:r w:rsidRPr="00A93530">
        <w:rPr>
          <w:noProof/>
        </w:rPr>
      </w:r>
      <w:r w:rsidRPr="00A93530">
        <w:rPr>
          <w:noProof/>
        </w:rPr>
        <w:fldChar w:fldCharType="separate"/>
      </w:r>
      <w:r w:rsidRPr="00A93530">
        <w:rPr>
          <w:noProof/>
        </w:rPr>
        <w:t>7</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12</w:t>
      </w:r>
      <w:r>
        <w:rPr>
          <w:noProof/>
        </w:rPr>
        <w:tab/>
        <w:t>Requirements that do need to be complied with</w:t>
      </w:r>
      <w:r w:rsidRPr="00A93530">
        <w:rPr>
          <w:noProof/>
        </w:rPr>
        <w:tab/>
      </w:r>
      <w:r w:rsidRPr="00A93530">
        <w:rPr>
          <w:noProof/>
        </w:rPr>
        <w:fldChar w:fldCharType="begin"/>
      </w:r>
      <w:r w:rsidRPr="00A93530">
        <w:rPr>
          <w:noProof/>
        </w:rPr>
        <w:instrText xml:space="preserve"> PAGEREF _Toc532465231 \h </w:instrText>
      </w:r>
      <w:r w:rsidRPr="00A93530">
        <w:rPr>
          <w:noProof/>
        </w:rPr>
      </w:r>
      <w:r w:rsidRPr="00A93530">
        <w:rPr>
          <w:noProof/>
        </w:rPr>
        <w:fldChar w:fldCharType="separate"/>
      </w:r>
      <w:r w:rsidRPr="00A93530">
        <w:rPr>
          <w:noProof/>
        </w:rPr>
        <w:t>8</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13</w:t>
      </w:r>
      <w:r>
        <w:rPr>
          <w:noProof/>
        </w:rPr>
        <w:tab/>
        <w:t>Defences to offences regarding sale</w:t>
      </w:r>
      <w:r w:rsidRPr="00A93530">
        <w:rPr>
          <w:noProof/>
        </w:rPr>
        <w:tab/>
      </w:r>
      <w:r w:rsidRPr="00A93530">
        <w:rPr>
          <w:noProof/>
        </w:rPr>
        <w:fldChar w:fldCharType="begin"/>
      </w:r>
      <w:r w:rsidRPr="00A93530">
        <w:rPr>
          <w:noProof/>
        </w:rPr>
        <w:instrText xml:space="preserve"> PAGEREF _Toc532465232 \h </w:instrText>
      </w:r>
      <w:r w:rsidRPr="00A93530">
        <w:rPr>
          <w:noProof/>
        </w:rPr>
      </w:r>
      <w:r w:rsidRPr="00A93530">
        <w:rPr>
          <w:noProof/>
        </w:rPr>
        <w:fldChar w:fldCharType="separate"/>
      </w:r>
      <w:r w:rsidRPr="00A93530">
        <w:rPr>
          <w:noProof/>
        </w:rPr>
        <w:t>9</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14</w:t>
      </w:r>
      <w:r>
        <w:rPr>
          <w:noProof/>
        </w:rPr>
        <w:tab/>
        <w:t>Goods that comply with local law</w:t>
      </w:r>
      <w:r w:rsidRPr="00A93530">
        <w:rPr>
          <w:noProof/>
        </w:rPr>
        <w:tab/>
      </w:r>
      <w:r w:rsidRPr="00A93530">
        <w:rPr>
          <w:noProof/>
        </w:rPr>
        <w:fldChar w:fldCharType="begin"/>
      </w:r>
      <w:r w:rsidRPr="00A93530">
        <w:rPr>
          <w:noProof/>
        </w:rPr>
        <w:instrText xml:space="preserve"> PAGEREF _Toc532465233 \h </w:instrText>
      </w:r>
      <w:r w:rsidRPr="00A93530">
        <w:rPr>
          <w:noProof/>
        </w:rPr>
      </w:r>
      <w:r w:rsidRPr="00A93530">
        <w:rPr>
          <w:noProof/>
        </w:rPr>
        <w:fldChar w:fldCharType="separate"/>
      </w:r>
      <w:r w:rsidRPr="00A93530">
        <w:rPr>
          <w:noProof/>
        </w:rPr>
        <w:t>10</w:t>
      </w:r>
      <w:r w:rsidRPr="00A93530">
        <w:rPr>
          <w:noProof/>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Part 3—Occupations</w:t>
      </w:r>
      <w:r w:rsidRPr="00A93530">
        <w:rPr>
          <w:b w:val="0"/>
          <w:noProof/>
          <w:sz w:val="18"/>
        </w:rPr>
        <w:tab/>
      </w:r>
      <w:r w:rsidRPr="00A93530">
        <w:rPr>
          <w:b w:val="0"/>
          <w:noProof/>
          <w:sz w:val="18"/>
        </w:rPr>
        <w:fldChar w:fldCharType="begin"/>
      </w:r>
      <w:r w:rsidRPr="00A93530">
        <w:rPr>
          <w:b w:val="0"/>
          <w:noProof/>
          <w:sz w:val="18"/>
        </w:rPr>
        <w:instrText xml:space="preserve"> PAGEREF _Toc532465234 \h </w:instrText>
      </w:r>
      <w:r w:rsidRPr="00A93530">
        <w:rPr>
          <w:b w:val="0"/>
          <w:noProof/>
          <w:sz w:val="18"/>
        </w:rPr>
      </w:r>
      <w:r w:rsidRPr="00A93530">
        <w:rPr>
          <w:b w:val="0"/>
          <w:noProof/>
          <w:sz w:val="18"/>
        </w:rPr>
        <w:fldChar w:fldCharType="separate"/>
      </w:r>
      <w:r w:rsidRPr="00A93530">
        <w:rPr>
          <w:b w:val="0"/>
          <w:noProof/>
          <w:sz w:val="18"/>
        </w:rPr>
        <w:t>11</w:t>
      </w:r>
      <w:r w:rsidRPr="00A93530">
        <w:rPr>
          <w:b w:val="0"/>
          <w:noProof/>
          <w:sz w:val="18"/>
        </w:rPr>
        <w:fldChar w:fldCharType="end"/>
      </w:r>
    </w:p>
    <w:p w:rsidR="00A93530" w:rsidRDefault="00A93530">
      <w:pPr>
        <w:pStyle w:val="TOC3"/>
        <w:rPr>
          <w:rFonts w:asciiTheme="minorHAnsi" w:eastAsiaTheme="minorEastAsia" w:hAnsiTheme="minorHAnsi" w:cstheme="minorBidi"/>
          <w:b w:val="0"/>
          <w:noProof/>
          <w:kern w:val="0"/>
          <w:szCs w:val="22"/>
        </w:rPr>
      </w:pPr>
      <w:r>
        <w:rPr>
          <w:noProof/>
        </w:rPr>
        <w:t>Division 1—Preliminary</w:t>
      </w:r>
      <w:r w:rsidRPr="00A93530">
        <w:rPr>
          <w:b w:val="0"/>
          <w:noProof/>
          <w:sz w:val="18"/>
        </w:rPr>
        <w:tab/>
      </w:r>
      <w:r w:rsidRPr="00A93530">
        <w:rPr>
          <w:b w:val="0"/>
          <w:noProof/>
          <w:sz w:val="18"/>
        </w:rPr>
        <w:fldChar w:fldCharType="begin"/>
      </w:r>
      <w:r w:rsidRPr="00A93530">
        <w:rPr>
          <w:b w:val="0"/>
          <w:noProof/>
          <w:sz w:val="18"/>
        </w:rPr>
        <w:instrText xml:space="preserve"> PAGEREF _Toc532465235 \h </w:instrText>
      </w:r>
      <w:r w:rsidRPr="00A93530">
        <w:rPr>
          <w:b w:val="0"/>
          <w:noProof/>
          <w:sz w:val="18"/>
        </w:rPr>
      </w:r>
      <w:r w:rsidRPr="00A93530">
        <w:rPr>
          <w:b w:val="0"/>
          <w:noProof/>
          <w:sz w:val="18"/>
        </w:rPr>
        <w:fldChar w:fldCharType="separate"/>
      </w:r>
      <w:r w:rsidRPr="00A93530">
        <w:rPr>
          <w:b w:val="0"/>
          <w:noProof/>
          <w:sz w:val="18"/>
        </w:rPr>
        <w:t>11</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15</w:t>
      </w:r>
      <w:r>
        <w:rPr>
          <w:noProof/>
        </w:rPr>
        <w:tab/>
        <w:t>Trans</w:t>
      </w:r>
      <w:r>
        <w:rPr>
          <w:noProof/>
        </w:rPr>
        <w:noBreakHyphen/>
        <w:t>Tasman mutual recognition principle</w:t>
      </w:r>
      <w:r w:rsidRPr="00A93530">
        <w:rPr>
          <w:noProof/>
        </w:rPr>
        <w:tab/>
      </w:r>
      <w:r w:rsidRPr="00A93530">
        <w:rPr>
          <w:noProof/>
        </w:rPr>
        <w:fldChar w:fldCharType="begin"/>
      </w:r>
      <w:r w:rsidRPr="00A93530">
        <w:rPr>
          <w:noProof/>
        </w:rPr>
        <w:instrText xml:space="preserve"> PAGEREF _Toc532465236 \h </w:instrText>
      </w:r>
      <w:r w:rsidRPr="00A93530">
        <w:rPr>
          <w:noProof/>
        </w:rPr>
      </w:r>
      <w:r w:rsidRPr="00A93530">
        <w:rPr>
          <w:noProof/>
        </w:rPr>
        <w:fldChar w:fldCharType="separate"/>
      </w:r>
      <w:r w:rsidRPr="00A93530">
        <w:rPr>
          <w:noProof/>
        </w:rPr>
        <w:t>11</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16</w:t>
      </w:r>
      <w:r>
        <w:rPr>
          <w:noProof/>
        </w:rPr>
        <w:tab/>
        <w:t>Entitlement to carry on occupation</w:t>
      </w:r>
      <w:r w:rsidRPr="00A93530">
        <w:rPr>
          <w:noProof/>
        </w:rPr>
        <w:tab/>
      </w:r>
      <w:r w:rsidRPr="00A93530">
        <w:rPr>
          <w:noProof/>
        </w:rPr>
        <w:fldChar w:fldCharType="begin"/>
      </w:r>
      <w:r w:rsidRPr="00A93530">
        <w:rPr>
          <w:noProof/>
        </w:rPr>
        <w:instrText xml:space="preserve"> PAGEREF _Toc532465237 \h </w:instrText>
      </w:r>
      <w:r w:rsidRPr="00A93530">
        <w:rPr>
          <w:noProof/>
        </w:rPr>
      </w:r>
      <w:r w:rsidRPr="00A93530">
        <w:rPr>
          <w:noProof/>
        </w:rPr>
        <w:fldChar w:fldCharType="separate"/>
      </w:r>
      <w:r w:rsidRPr="00A93530">
        <w:rPr>
          <w:noProof/>
        </w:rPr>
        <w:t>11</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17</w:t>
      </w:r>
      <w:r>
        <w:rPr>
          <w:noProof/>
        </w:rPr>
        <w:tab/>
        <w:t>Application of this Part</w:t>
      </w:r>
      <w:r w:rsidRPr="00A93530">
        <w:rPr>
          <w:noProof/>
        </w:rPr>
        <w:tab/>
      </w:r>
      <w:r w:rsidRPr="00A93530">
        <w:rPr>
          <w:noProof/>
        </w:rPr>
        <w:fldChar w:fldCharType="begin"/>
      </w:r>
      <w:r w:rsidRPr="00A93530">
        <w:rPr>
          <w:noProof/>
        </w:rPr>
        <w:instrText xml:space="preserve"> PAGEREF _Toc532465238 \h </w:instrText>
      </w:r>
      <w:r w:rsidRPr="00A93530">
        <w:rPr>
          <w:noProof/>
        </w:rPr>
      </w:r>
      <w:r w:rsidRPr="00A93530">
        <w:rPr>
          <w:noProof/>
        </w:rPr>
        <w:fldChar w:fldCharType="separate"/>
      </w:r>
      <w:r w:rsidRPr="00A93530">
        <w:rPr>
          <w:noProof/>
        </w:rPr>
        <w:t>12</w:t>
      </w:r>
      <w:r w:rsidRPr="00A93530">
        <w:rPr>
          <w:noProof/>
        </w:rPr>
        <w:fldChar w:fldCharType="end"/>
      </w:r>
    </w:p>
    <w:p w:rsidR="00A93530" w:rsidRDefault="00A93530">
      <w:pPr>
        <w:pStyle w:val="TOC3"/>
        <w:rPr>
          <w:rFonts w:asciiTheme="minorHAnsi" w:eastAsiaTheme="minorEastAsia" w:hAnsiTheme="minorHAnsi" w:cstheme="minorBidi"/>
          <w:b w:val="0"/>
          <w:noProof/>
          <w:kern w:val="0"/>
          <w:szCs w:val="22"/>
        </w:rPr>
      </w:pPr>
      <w:r>
        <w:rPr>
          <w:noProof/>
        </w:rPr>
        <w:t>Division 2—Entitlement to registration</w:t>
      </w:r>
      <w:r w:rsidRPr="00A93530">
        <w:rPr>
          <w:b w:val="0"/>
          <w:noProof/>
          <w:sz w:val="18"/>
        </w:rPr>
        <w:tab/>
      </w:r>
      <w:r w:rsidRPr="00A93530">
        <w:rPr>
          <w:b w:val="0"/>
          <w:noProof/>
          <w:sz w:val="18"/>
        </w:rPr>
        <w:fldChar w:fldCharType="begin"/>
      </w:r>
      <w:r w:rsidRPr="00A93530">
        <w:rPr>
          <w:b w:val="0"/>
          <w:noProof/>
          <w:sz w:val="18"/>
        </w:rPr>
        <w:instrText xml:space="preserve"> PAGEREF _Toc532465239 \h </w:instrText>
      </w:r>
      <w:r w:rsidRPr="00A93530">
        <w:rPr>
          <w:b w:val="0"/>
          <w:noProof/>
          <w:sz w:val="18"/>
        </w:rPr>
      </w:r>
      <w:r w:rsidRPr="00A93530">
        <w:rPr>
          <w:b w:val="0"/>
          <w:noProof/>
          <w:sz w:val="18"/>
        </w:rPr>
        <w:fldChar w:fldCharType="separate"/>
      </w:r>
      <w:r w:rsidRPr="00A93530">
        <w:rPr>
          <w:b w:val="0"/>
          <w:noProof/>
          <w:sz w:val="18"/>
        </w:rPr>
        <w:t>13</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18</w:t>
      </w:r>
      <w:r>
        <w:rPr>
          <w:noProof/>
        </w:rPr>
        <w:tab/>
        <w:t>Notification to local registration authority</w:t>
      </w:r>
      <w:r w:rsidRPr="00A93530">
        <w:rPr>
          <w:noProof/>
        </w:rPr>
        <w:tab/>
      </w:r>
      <w:r w:rsidRPr="00A93530">
        <w:rPr>
          <w:noProof/>
        </w:rPr>
        <w:fldChar w:fldCharType="begin"/>
      </w:r>
      <w:r w:rsidRPr="00A93530">
        <w:rPr>
          <w:noProof/>
        </w:rPr>
        <w:instrText xml:space="preserve"> PAGEREF _Toc532465240 \h </w:instrText>
      </w:r>
      <w:r w:rsidRPr="00A93530">
        <w:rPr>
          <w:noProof/>
        </w:rPr>
      </w:r>
      <w:r w:rsidRPr="00A93530">
        <w:rPr>
          <w:noProof/>
        </w:rPr>
        <w:fldChar w:fldCharType="separate"/>
      </w:r>
      <w:r w:rsidRPr="00A93530">
        <w:rPr>
          <w:noProof/>
        </w:rPr>
        <w:t>13</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19</w:t>
      </w:r>
      <w:r>
        <w:rPr>
          <w:noProof/>
        </w:rPr>
        <w:tab/>
        <w:t>Entitlement to registration and continued registration</w:t>
      </w:r>
      <w:r w:rsidRPr="00A93530">
        <w:rPr>
          <w:noProof/>
        </w:rPr>
        <w:tab/>
      </w:r>
      <w:r w:rsidRPr="00A93530">
        <w:rPr>
          <w:noProof/>
        </w:rPr>
        <w:fldChar w:fldCharType="begin"/>
      </w:r>
      <w:r w:rsidRPr="00A93530">
        <w:rPr>
          <w:noProof/>
        </w:rPr>
        <w:instrText xml:space="preserve"> PAGEREF _Toc532465241 \h </w:instrText>
      </w:r>
      <w:r w:rsidRPr="00A93530">
        <w:rPr>
          <w:noProof/>
        </w:rPr>
      </w:r>
      <w:r w:rsidRPr="00A93530">
        <w:rPr>
          <w:noProof/>
        </w:rPr>
        <w:fldChar w:fldCharType="separate"/>
      </w:r>
      <w:r w:rsidRPr="00A93530">
        <w:rPr>
          <w:noProof/>
        </w:rPr>
        <w:t>14</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20</w:t>
      </w:r>
      <w:r>
        <w:rPr>
          <w:noProof/>
        </w:rPr>
        <w:tab/>
        <w:t>Action following notice</w:t>
      </w:r>
      <w:r w:rsidRPr="00A93530">
        <w:rPr>
          <w:noProof/>
        </w:rPr>
        <w:tab/>
      </w:r>
      <w:r w:rsidRPr="00A93530">
        <w:rPr>
          <w:noProof/>
        </w:rPr>
        <w:fldChar w:fldCharType="begin"/>
      </w:r>
      <w:r w:rsidRPr="00A93530">
        <w:rPr>
          <w:noProof/>
        </w:rPr>
        <w:instrText xml:space="preserve"> PAGEREF _Toc532465242 \h </w:instrText>
      </w:r>
      <w:r w:rsidRPr="00A93530">
        <w:rPr>
          <w:noProof/>
        </w:rPr>
      </w:r>
      <w:r w:rsidRPr="00A93530">
        <w:rPr>
          <w:noProof/>
        </w:rPr>
        <w:fldChar w:fldCharType="separate"/>
      </w:r>
      <w:r w:rsidRPr="00A93530">
        <w:rPr>
          <w:noProof/>
        </w:rPr>
        <w:t>15</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21</w:t>
      </w:r>
      <w:r>
        <w:rPr>
          <w:noProof/>
        </w:rPr>
        <w:tab/>
        <w:t>Postponement of registration</w:t>
      </w:r>
      <w:r w:rsidRPr="00A93530">
        <w:rPr>
          <w:noProof/>
        </w:rPr>
        <w:tab/>
      </w:r>
      <w:r w:rsidRPr="00A93530">
        <w:rPr>
          <w:noProof/>
        </w:rPr>
        <w:fldChar w:fldCharType="begin"/>
      </w:r>
      <w:r w:rsidRPr="00A93530">
        <w:rPr>
          <w:noProof/>
        </w:rPr>
        <w:instrText xml:space="preserve"> PAGEREF _Toc532465243 \h </w:instrText>
      </w:r>
      <w:r w:rsidRPr="00A93530">
        <w:rPr>
          <w:noProof/>
        </w:rPr>
      </w:r>
      <w:r w:rsidRPr="00A93530">
        <w:rPr>
          <w:noProof/>
        </w:rPr>
        <w:fldChar w:fldCharType="separate"/>
      </w:r>
      <w:r w:rsidRPr="00A93530">
        <w:rPr>
          <w:noProof/>
        </w:rPr>
        <w:t>15</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22</w:t>
      </w:r>
      <w:r>
        <w:rPr>
          <w:noProof/>
        </w:rPr>
        <w:tab/>
        <w:t>Refusal of registration</w:t>
      </w:r>
      <w:r w:rsidRPr="00A93530">
        <w:rPr>
          <w:noProof/>
        </w:rPr>
        <w:tab/>
      </w:r>
      <w:r w:rsidRPr="00A93530">
        <w:rPr>
          <w:noProof/>
        </w:rPr>
        <w:fldChar w:fldCharType="begin"/>
      </w:r>
      <w:r w:rsidRPr="00A93530">
        <w:rPr>
          <w:noProof/>
        </w:rPr>
        <w:instrText xml:space="preserve"> PAGEREF _Toc532465244 \h </w:instrText>
      </w:r>
      <w:r w:rsidRPr="00A93530">
        <w:rPr>
          <w:noProof/>
        </w:rPr>
      </w:r>
      <w:r w:rsidRPr="00A93530">
        <w:rPr>
          <w:noProof/>
        </w:rPr>
        <w:fldChar w:fldCharType="separate"/>
      </w:r>
      <w:r w:rsidRPr="00A93530">
        <w:rPr>
          <w:noProof/>
        </w:rPr>
        <w:t>16</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23</w:t>
      </w:r>
      <w:r>
        <w:rPr>
          <w:noProof/>
        </w:rPr>
        <w:tab/>
        <w:t>Notification of decision</w:t>
      </w:r>
      <w:r w:rsidRPr="00A93530">
        <w:rPr>
          <w:noProof/>
        </w:rPr>
        <w:tab/>
      </w:r>
      <w:r w:rsidRPr="00A93530">
        <w:rPr>
          <w:noProof/>
        </w:rPr>
        <w:fldChar w:fldCharType="begin"/>
      </w:r>
      <w:r w:rsidRPr="00A93530">
        <w:rPr>
          <w:noProof/>
        </w:rPr>
        <w:instrText xml:space="preserve"> PAGEREF _Toc532465245 \h </w:instrText>
      </w:r>
      <w:r w:rsidRPr="00A93530">
        <w:rPr>
          <w:noProof/>
        </w:rPr>
      </w:r>
      <w:r w:rsidRPr="00A93530">
        <w:rPr>
          <w:noProof/>
        </w:rPr>
        <w:fldChar w:fldCharType="separate"/>
      </w:r>
      <w:r w:rsidRPr="00A93530">
        <w:rPr>
          <w:noProof/>
        </w:rPr>
        <w:t>17</w:t>
      </w:r>
      <w:r w:rsidRPr="00A93530">
        <w:rPr>
          <w:noProof/>
        </w:rPr>
        <w:fldChar w:fldCharType="end"/>
      </w:r>
    </w:p>
    <w:p w:rsidR="00A93530" w:rsidRDefault="00A93530">
      <w:pPr>
        <w:pStyle w:val="TOC3"/>
        <w:rPr>
          <w:rFonts w:asciiTheme="minorHAnsi" w:eastAsiaTheme="minorEastAsia" w:hAnsiTheme="minorHAnsi" w:cstheme="minorBidi"/>
          <w:b w:val="0"/>
          <w:noProof/>
          <w:kern w:val="0"/>
          <w:szCs w:val="22"/>
        </w:rPr>
      </w:pPr>
      <w:r>
        <w:rPr>
          <w:noProof/>
        </w:rPr>
        <w:t>Division 3—Interim arrangements</w:t>
      </w:r>
      <w:r w:rsidRPr="00A93530">
        <w:rPr>
          <w:b w:val="0"/>
          <w:noProof/>
          <w:sz w:val="18"/>
        </w:rPr>
        <w:tab/>
      </w:r>
      <w:r w:rsidRPr="00A93530">
        <w:rPr>
          <w:b w:val="0"/>
          <w:noProof/>
          <w:sz w:val="18"/>
        </w:rPr>
        <w:fldChar w:fldCharType="begin"/>
      </w:r>
      <w:r w:rsidRPr="00A93530">
        <w:rPr>
          <w:b w:val="0"/>
          <w:noProof/>
          <w:sz w:val="18"/>
        </w:rPr>
        <w:instrText xml:space="preserve"> PAGEREF _Toc532465246 \h </w:instrText>
      </w:r>
      <w:r w:rsidRPr="00A93530">
        <w:rPr>
          <w:b w:val="0"/>
          <w:noProof/>
          <w:sz w:val="18"/>
        </w:rPr>
      </w:r>
      <w:r w:rsidRPr="00A93530">
        <w:rPr>
          <w:b w:val="0"/>
          <w:noProof/>
          <w:sz w:val="18"/>
        </w:rPr>
        <w:fldChar w:fldCharType="separate"/>
      </w:r>
      <w:r w:rsidRPr="00A93530">
        <w:rPr>
          <w:b w:val="0"/>
          <w:noProof/>
          <w:sz w:val="18"/>
        </w:rPr>
        <w:t>18</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24</w:t>
      </w:r>
      <w:r>
        <w:rPr>
          <w:noProof/>
        </w:rPr>
        <w:tab/>
        <w:t>Deemed registration</w:t>
      </w:r>
      <w:r w:rsidRPr="00A93530">
        <w:rPr>
          <w:noProof/>
        </w:rPr>
        <w:tab/>
      </w:r>
      <w:r w:rsidRPr="00A93530">
        <w:rPr>
          <w:noProof/>
        </w:rPr>
        <w:fldChar w:fldCharType="begin"/>
      </w:r>
      <w:r w:rsidRPr="00A93530">
        <w:rPr>
          <w:noProof/>
        </w:rPr>
        <w:instrText xml:space="preserve"> PAGEREF _Toc532465247 \h </w:instrText>
      </w:r>
      <w:r w:rsidRPr="00A93530">
        <w:rPr>
          <w:noProof/>
        </w:rPr>
      </w:r>
      <w:r w:rsidRPr="00A93530">
        <w:rPr>
          <w:noProof/>
        </w:rPr>
        <w:fldChar w:fldCharType="separate"/>
      </w:r>
      <w:r w:rsidRPr="00A93530">
        <w:rPr>
          <w:noProof/>
        </w:rPr>
        <w:t>18</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25</w:t>
      </w:r>
      <w:r>
        <w:rPr>
          <w:noProof/>
        </w:rPr>
        <w:tab/>
        <w:t>Duration of deemed registration</w:t>
      </w:r>
      <w:r w:rsidRPr="00A93530">
        <w:rPr>
          <w:noProof/>
        </w:rPr>
        <w:tab/>
      </w:r>
      <w:r w:rsidRPr="00A93530">
        <w:rPr>
          <w:noProof/>
        </w:rPr>
        <w:fldChar w:fldCharType="begin"/>
      </w:r>
      <w:r w:rsidRPr="00A93530">
        <w:rPr>
          <w:noProof/>
        </w:rPr>
        <w:instrText xml:space="preserve"> PAGEREF _Toc532465248 \h </w:instrText>
      </w:r>
      <w:r w:rsidRPr="00A93530">
        <w:rPr>
          <w:noProof/>
        </w:rPr>
      </w:r>
      <w:r w:rsidRPr="00A93530">
        <w:rPr>
          <w:noProof/>
        </w:rPr>
        <w:fldChar w:fldCharType="separate"/>
      </w:r>
      <w:r w:rsidRPr="00A93530">
        <w:rPr>
          <w:noProof/>
        </w:rPr>
        <w:t>18</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26</w:t>
      </w:r>
      <w:r>
        <w:rPr>
          <w:noProof/>
        </w:rPr>
        <w:tab/>
        <w:t>Activities under deemed registration</w:t>
      </w:r>
      <w:r w:rsidRPr="00A93530">
        <w:rPr>
          <w:noProof/>
        </w:rPr>
        <w:tab/>
      </w:r>
      <w:r w:rsidRPr="00A93530">
        <w:rPr>
          <w:noProof/>
        </w:rPr>
        <w:fldChar w:fldCharType="begin"/>
      </w:r>
      <w:r w:rsidRPr="00A93530">
        <w:rPr>
          <w:noProof/>
        </w:rPr>
        <w:instrText xml:space="preserve"> PAGEREF _Toc532465249 \h </w:instrText>
      </w:r>
      <w:r w:rsidRPr="00A93530">
        <w:rPr>
          <w:noProof/>
        </w:rPr>
      </w:r>
      <w:r w:rsidRPr="00A93530">
        <w:rPr>
          <w:noProof/>
        </w:rPr>
        <w:fldChar w:fldCharType="separate"/>
      </w:r>
      <w:r w:rsidRPr="00A93530">
        <w:rPr>
          <w:noProof/>
        </w:rPr>
        <w:t>19</w:t>
      </w:r>
      <w:r w:rsidRPr="00A93530">
        <w:rPr>
          <w:noProof/>
        </w:rPr>
        <w:fldChar w:fldCharType="end"/>
      </w:r>
    </w:p>
    <w:p w:rsidR="00A93530" w:rsidRDefault="00A93530">
      <w:pPr>
        <w:pStyle w:val="TOC3"/>
        <w:rPr>
          <w:rFonts w:asciiTheme="minorHAnsi" w:eastAsiaTheme="minorEastAsia" w:hAnsiTheme="minorHAnsi" w:cstheme="minorBidi"/>
          <w:b w:val="0"/>
          <w:noProof/>
          <w:kern w:val="0"/>
          <w:szCs w:val="22"/>
        </w:rPr>
      </w:pPr>
      <w:r>
        <w:rPr>
          <w:noProof/>
        </w:rPr>
        <w:t>Division 4—Equivalent occupations</w:t>
      </w:r>
      <w:r w:rsidRPr="00A93530">
        <w:rPr>
          <w:b w:val="0"/>
          <w:noProof/>
          <w:sz w:val="18"/>
        </w:rPr>
        <w:tab/>
      </w:r>
      <w:r w:rsidRPr="00A93530">
        <w:rPr>
          <w:b w:val="0"/>
          <w:noProof/>
          <w:sz w:val="18"/>
        </w:rPr>
        <w:fldChar w:fldCharType="begin"/>
      </w:r>
      <w:r w:rsidRPr="00A93530">
        <w:rPr>
          <w:b w:val="0"/>
          <w:noProof/>
          <w:sz w:val="18"/>
        </w:rPr>
        <w:instrText xml:space="preserve"> PAGEREF _Toc532465250 \h </w:instrText>
      </w:r>
      <w:r w:rsidRPr="00A93530">
        <w:rPr>
          <w:b w:val="0"/>
          <w:noProof/>
          <w:sz w:val="18"/>
        </w:rPr>
      </w:r>
      <w:r w:rsidRPr="00A93530">
        <w:rPr>
          <w:b w:val="0"/>
          <w:noProof/>
          <w:sz w:val="18"/>
        </w:rPr>
        <w:fldChar w:fldCharType="separate"/>
      </w:r>
      <w:r w:rsidRPr="00A93530">
        <w:rPr>
          <w:b w:val="0"/>
          <w:noProof/>
          <w:sz w:val="18"/>
        </w:rPr>
        <w:t>21</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27</w:t>
      </w:r>
      <w:r>
        <w:rPr>
          <w:noProof/>
        </w:rPr>
        <w:tab/>
        <w:t>Equivalent occupations</w:t>
      </w:r>
      <w:r w:rsidRPr="00A93530">
        <w:rPr>
          <w:noProof/>
        </w:rPr>
        <w:tab/>
      </w:r>
      <w:r w:rsidRPr="00A93530">
        <w:rPr>
          <w:noProof/>
        </w:rPr>
        <w:fldChar w:fldCharType="begin"/>
      </w:r>
      <w:r w:rsidRPr="00A93530">
        <w:rPr>
          <w:noProof/>
        </w:rPr>
        <w:instrText xml:space="preserve"> PAGEREF _Toc532465251 \h </w:instrText>
      </w:r>
      <w:r w:rsidRPr="00A93530">
        <w:rPr>
          <w:noProof/>
        </w:rPr>
      </w:r>
      <w:r w:rsidRPr="00A93530">
        <w:rPr>
          <w:noProof/>
        </w:rPr>
        <w:fldChar w:fldCharType="separate"/>
      </w:r>
      <w:r w:rsidRPr="00A93530">
        <w:rPr>
          <w:noProof/>
        </w:rPr>
        <w:t>21</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28</w:t>
      </w:r>
      <w:r>
        <w:rPr>
          <w:noProof/>
        </w:rPr>
        <w:tab/>
        <w:t>General principle</w:t>
      </w:r>
      <w:r w:rsidRPr="00A93530">
        <w:rPr>
          <w:noProof/>
        </w:rPr>
        <w:tab/>
      </w:r>
      <w:r w:rsidRPr="00A93530">
        <w:rPr>
          <w:noProof/>
        </w:rPr>
        <w:fldChar w:fldCharType="begin"/>
      </w:r>
      <w:r w:rsidRPr="00A93530">
        <w:rPr>
          <w:noProof/>
        </w:rPr>
        <w:instrText xml:space="preserve"> PAGEREF _Toc532465252 \h </w:instrText>
      </w:r>
      <w:r w:rsidRPr="00A93530">
        <w:rPr>
          <w:noProof/>
        </w:rPr>
      </w:r>
      <w:r w:rsidRPr="00A93530">
        <w:rPr>
          <w:noProof/>
        </w:rPr>
        <w:fldChar w:fldCharType="separate"/>
      </w:r>
      <w:r w:rsidRPr="00A93530">
        <w:rPr>
          <w:noProof/>
        </w:rPr>
        <w:t>21</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29</w:t>
      </w:r>
      <w:r>
        <w:rPr>
          <w:noProof/>
        </w:rPr>
        <w:tab/>
        <w:t>Declarations as to equivalent occupations</w:t>
      </w:r>
      <w:r w:rsidRPr="00A93530">
        <w:rPr>
          <w:noProof/>
        </w:rPr>
        <w:tab/>
      </w:r>
      <w:r w:rsidRPr="00A93530">
        <w:rPr>
          <w:noProof/>
        </w:rPr>
        <w:fldChar w:fldCharType="begin"/>
      </w:r>
      <w:r w:rsidRPr="00A93530">
        <w:rPr>
          <w:noProof/>
        </w:rPr>
        <w:instrText xml:space="preserve"> PAGEREF _Toc532465253 \h </w:instrText>
      </w:r>
      <w:r w:rsidRPr="00A93530">
        <w:rPr>
          <w:noProof/>
        </w:rPr>
      </w:r>
      <w:r w:rsidRPr="00A93530">
        <w:rPr>
          <w:noProof/>
        </w:rPr>
        <w:fldChar w:fldCharType="separate"/>
      </w:r>
      <w:r w:rsidRPr="00A93530">
        <w:rPr>
          <w:noProof/>
        </w:rPr>
        <w:t>21</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30</w:t>
      </w:r>
      <w:r>
        <w:rPr>
          <w:noProof/>
        </w:rPr>
        <w:tab/>
        <w:t>Declarations by Australian Tribunal</w:t>
      </w:r>
      <w:r w:rsidRPr="00A93530">
        <w:rPr>
          <w:noProof/>
        </w:rPr>
        <w:tab/>
      </w:r>
      <w:r w:rsidRPr="00A93530">
        <w:rPr>
          <w:noProof/>
        </w:rPr>
        <w:fldChar w:fldCharType="begin"/>
      </w:r>
      <w:r w:rsidRPr="00A93530">
        <w:rPr>
          <w:noProof/>
        </w:rPr>
        <w:instrText xml:space="preserve"> PAGEREF _Toc532465254 \h </w:instrText>
      </w:r>
      <w:r w:rsidRPr="00A93530">
        <w:rPr>
          <w:noProof/>
        </w:rPr>
      </w:r>
      <w:r w:rsidRPr="00A93530">
        <w:rPr>
          <w:noProof/>
        </w:rPr>
        <w:fldChar w:fldCharType="separate"/>
      </w:r>
      <w:r w:rsidRPr="00A93530">
        <w:rPr>
          <w:noProof/>
        </w:rPr>
        <w:t>22</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31</w:t>
      </w:r>
      <w:r>
        <w:rPr>
          <w:noProof/>
        </w:rPr>
        <w:tab/>
        <w:t>Declarations by Ministers</w:t>
      </w:r>
      <w:r w:rsidRPr="00A93530">
        <w:rPr>
          <w:noProof/>
        </w:rPr>
        <w:tab/>
      </w:r>
      <w:r w:rsidRPr="00A93530">
        <w:rPr>
          <w:noProof/>
        </w:rPr>
        <w:fldChar w:fldCharType="begin"/>
      </w:r>
      <w:r w:rsidRPr="00A93530">
        <w:rPr>
          <w:noProof/>
        </w:rPr>
        <w:instrText xml:space="preserve"> PAGEREF _Toc532465255 \h </w:instrText>
      </w:r>
      <w:r w:rsidRPr="00A93530">
        <w:rPr>
          <w:noProof/>
        </w:rPr>
      </w:r>
      <w:r w:rsidRPr="00A93530">
        <w:rPr>
          <w:noProof/>
        </w:rPr>
        <w:fldChar w:fldCharType="separate"/>
      </w:r>
      <w:r w:rsidRPr="00A93530">
        <w:rPr>
          <w:noProof/>
        </w:rPr>
        <w:t>23</w:t>
      </w:r>
      <w:r w:rsidRPr="00A93530">
        <w:rPr>
          <w:noProof/>
        </w:rPr>
        <w:fldChar w:fldCharType="end"/>
      </w:r>
    </w:p>
    <w:p w:rsidR="00A93530" w:rsidRDefault="00A93530">
      <w:pPr>
        <w:pStyle w:val="TOC3"/>
        <w:rPr>
          <w:rFonts w:asciiTheme="minorHAnsi" w:eastAsiaTheme="minorEastAsia" w:hAnsiTheme="minorHAnsi" w:cstheme="minorBidi"/>
          <w:b w:val="0"/>
          <w:noProof/>
          <w:kern w:val="0"/>
          <w:szCs w:val="22"/>
        </w:rPr>
      </w:pPr>
      <w:r>
        <w:rPr>
          <w:noProof/>
        </w:rPr>
        <w:t>Division 5—General provisions</w:t>
      </w:r>
      <w:r w:rsidRPr="00A93530">
        <w:rPr>
          <w:b w:val="0"/>
          <w:noProof/>
          <w:sz w:val="18"/>
        </w:rPr>
        <w:tab/>
      </w:r>
      <w:r w:rsidRPr="00A93530">
        <w:rPr>
          <w:b w:val="0"/>
          <w:noProof/>
          <w:sz w:val="18"/>
        </w:rPr>
        <w:fldChar w:fldCharType="begin"/>
      </w:r>
      <w:r w:rsidRPr="00A93530">
        <w:rPr>
          <w:b w:val="0"/>
          <w:noProof/>
          <w:sz w:val="18"/>
        </w:rPr>
        <w:instrText xml:space="preserve"> PAGEREF _Toc532465256 \h </w:instrText>
      </w:r>
      <w:r w:rsidRPr="00A93530">
        <w:rPr>
          <w:b w:val="0"/>
          <w:noProof/>
          <w:sz w:val="18"/>
        </w:rPr>
      </w:r>
      <w:r w:rsidRPr="00A93530">
        <w:rPr>
          <w:b w:val="0"/>
          <w:noProof/>
          <w:sz w:val="18"/>
        </w:rPr>
        <w:fldChar w:fldCharType="separate"/>
      </w:r>
      <w:r w:rsidRPr="00A93530">
        <w:rPr>
          <w:b w:val="0"/>
          <w:noProof/>
          <w:sz w:val="18"/>
        </w:rPr>
        <w:t>24</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32</w:t>
      </w:r>
      <w:r>
        <w:rPr>
          <w:noProof/>
        </w:rPr>
        <w:tab/>
        <w:t>Disciplinary action</w:t>
      </w:r>
      <w:r w:rsidRPr="00A93530">
        <w:rPr>
          <w:noProof/>
        </w:rPr>
        <w:tab/>
      </w:r>
      <w:r w:rsidRPr="00A93530">
        <w:rPr>
          <w:noProof/>
        </w:rPr>
        <w:fldChar w:fldCharType="begin"/>
      </w:r>
      <w:r w:rsidRPr="00A93530">
        <w:rPr>
          <w:noProof/>
        </w:rPr>
        <w:instrText xml:space="preserve"> PAGEREF _Toc532465257 \h </w:instrText>
      </w:r>
      <w:r w:rsidRPr="00A93530">
        <w:rPr>
          <w:noProof/>
        </w:rPr>
      </w:r>
      <w:r w:rsidRPr="00A93530">
        <w:rPr>
          <w:noProof/>
        </w:rPr>
        <w:fldChar w:fldCharType="separate"/>
      </w:r>
      <w:r w:rsidRPr="00A93530">
        <w:rPr>
          <w:noProof/>
        </w:rPr>
        <w:t>24</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33</w:t>
      </w:r>
      <w:r>
        <w:rPr>
          <w:noProof/>
        </w:rPr>
        <w:tab/>
        <w:t>Review of decisions</w:t>
      </w:r>
      <w:r w:rsidRPr="00A93530">
        <w:rPr>
          <w:noProof/>
        </w:rPr>
        <w:tab/>
      </w:r>
      <w:r w:rsidRPr="00A93530">
        <w:rPr>
          <w:noProof/>
        </w:rPr>
        <w:fldChar w:fldCharType="begin"/>
      </w:r>
      <w:r w:rsidRPr="00A93530">
        <w:rPr>
          <w:noProof/>
        </w:rPr>
        <w:instrText xml:space="preserve"> PAGEREF _Toc532465258 \h </w:instrText>
      </w:r>
      <w:r w:rsidRPr="00A93530">
        <w:rPr>
          <w:noProof/>
        </w:rPr>
      </w:r>
      <w:r w:rsidRPr="00A93530">
        <w:rPr>
          <w:noProof/>
        </w:rPr>
        <w:fldChar w:fldCharType="separate"/>
      </w:r>
      <w:r w:rsidRPr="00A93530">
        <w:rPr>
          <w:noProof/>
        </w:rPr>
        <w:t>24</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34</w:t>
      </w:r>
      <w:r>
        <w:rPr>
          <w:noProof/>
        </w:rPr>
        <w:tab/>
        <w:t>Costs</w:t>
      </w:r>
      <w:r w:rsidRPr="00A93530">
        <w:rPr>
          <w:noProof/>
        </w:rPr>
        <w:tab/>
      </w:r>
      <w:r w:rsidRPr="00A93530">
        <w:rPr>
          <w:noProof/>
        </w:rPr>
        <w:fldChar w:fldCharType="begin"/>
      </w:r>
      <w:r w:rsidRPr="00A93530">
        <w:rPr>
          <w:noProof/>
        </w:rPr>
        <w:instrText xml:space="preserve"> PAGEREF _Toc532465259 \h </w:instrText>
      </w:r>
      <w:r w:rsidRPr="00A93530">
        <w:rPr>
          <w:noProof/>
        </w:rPr>
      </w:r>
      <w:r w:rsidRPr="00A93530">
        <w:rPr>
          <w:noProof/>
        </w:rPr>
        <w:fldChar w:fldCharType="separate"/>
      </w:r>
      <w:r w:rsidRPr="00A93530">
        <w:rPr>
          <w:noProof/>
        </w:rPr>
        <w:t>25</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35</w:t>
      </w:r>
      <w:r>
        <w:rPr>
          <w:noProof/>
        </w:rPr>
        <w:tab/>
        <w:t>Co</w:t>
      </w:r>
      <w:r>
        <w:rPr>
          <w:noProof/>
        </w:rPr>
        <w:noBreakHyphen/>
        <w:t>operation with and membership of Trans</w:t>
      </w:r>
      <w:r>
        <w:rPr>
          <w:noProof/>
        </w:rPr>
        <w:noBreakHyphen/>
        <w:t>Tasman Occupations Tribunal (NZ)</w:t>
      </w:r>
      <w:r w:rsidRPr="00A93530">
        <w:rPr>
          <w:noProof/>
        </w:rPr>
        <w:tab/>
      </w:r>
      <w:r w:rsidRPr="00A93530">
        <w:rPr>
          <w:noProof/>
        </w:rPr>
        <w:fldChar w:fldCharType="begin"/>
      </w:r>
      <w:r w:rsidRPr="00A93530">
        <w:rPr>
          <w:noProof/>
        </w:rPr>
        <w:instrText xml:space="preserve"> PAGEREF _Toc532465260 \h </w:instrText>
      </w:r>
      <w:r w:rsidRPr="00A93530">
        <w:rPr>
          <w:noProof/>
        </w:rPr>
      </w:r>
      <w:r w:rsidRPr="00A93530">
        <w:rPr>
          <w:noProof/>
        </w:rPr>
        <w:fldChar w:fldCharType="separate"/>
      </w:r>
      <w:r w:rsidRPr="00A93530">
        <w:rPr>
          <w:noProof/>
        </w:rPr>
        <w:t>25</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36</w:t>
      </w:r>
      <w:r>
        <w:rPr>
          <w:noProof/>
        </w:rPr>
        <w:tab/>
        <w:t>Residence or domicile</w:t>
      </w:r>
      <w:r w:rsidRPr="00A93530">
        <w:rPr>
          <w:noProof/>
        </w:rPr>
        <w:tab/>
      </w:r>
      <w:r w:rsidRPr="00A93530">
        <w:rPr>
          <w:noProof/>
        </w:rPr>
        <w:fldChar w:fldCharType="begin"/>
      </w:r>
      <w:r w:rsidRPr="00A93530">
        <w:rPr>
          <w:noProof/>
        </w:rPr>
        <w:instrText xml:space="preserve"> PAGEREF _Toc532465261 \h </w:instrText>
      </w:r>
      <w:r w:rsidRPr="00A93530">
        <w:rPr>
          <w:noProof/>
        </w:rPr>
      </w:r>
      <w:r w:rsidRPr="00A93530">
        <w:rPr>
          <w:noProof/>
        </w:rPr>
        <w:fldChar w:fldCharType="separate"/>
      </w:r>
      <w:r w:rsidRPr="00A93530">
        <w:rPr>
          <w:noProof/>
        </w:rPr>
        <w:t>26</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37</w:t>
      </w:r>
      <w:r>
        <w:rPr>
          <w:noProof/>
        </w:rPr>
        <w:tab/>
        <w:t>Furnishing information</w:t>
      </w:r>
      <w:r w:rsidRPr="00A93530">
        <w:rPr>
          <w:noProof/>
        </w:rPr>
        <w:tab/>
      </w:r>
      <w:r w:rsidRPr="00A93530">
        <w:rPr>
          <w:noProof/>
        </w:rPr>
        <w:fldChar w:fldCharType="begin"/>
      </w:r>
      <w:r w:rsidRPr="00A93530">
        <w:rPr>
          <w:noProof/>
        </w:rPr>
        <w:instrText xml:space="preserve"> PAGEREF _Toc532465262 \h </w:instrText>
      </w:r>
      <w:r w:rsidRPr="00A93530">
        <w:rPr>
          <w:noProof/>
        </w:rPr>
      </w:r>
      <w:r w:rsidRPr="00A93530">
        <w:rPr>
          <w:noProof/>
        </w:rPr>
        <w:fldChar w:fldCharType="separate"/>
      </w:r>
      <w:r w:rsidRPr="00A93530">
        <w:rPr>
          <w:noProof/>
        </w:rPr>
        <w:t>26</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38</w:t>
      </w:r>
      <w:r>
        <w:rPr>
          <w:noProof/>
        </w:rPr>
        <w:tab/>
        <w:t>Receiving information</w:t>
      </w:r>
      <w:r w:rsidRPr="00A93530">
        <w:rPr>
          <w:noProof/>
        </w:rPr>
        <w:tab/>
      </w:r>
      <w:r w:rsidRPr="00A93530">
        <w:rPr>
          <w:noProof/>
        </w:rPr>
        <w:fldChar w:fldCharType="begin"/>
      </w:r>
      <w:r w:rsidRPr="00A93530">
        <w:rPr>
          <w:noProof/>
        </w:rPr>
        <w:instrText xml:space="preserve"> PAGEREF _Toc532465263 \h </w:instrText>
      </w:r>
      <w:r w:rsidRPr="00A93530">
        <w:rPr>
          <w:noProof/>
        </w:rPr>
      </w:r>
      <w:r w:rsidRPr="00A93530">
        <w:rPr>
          <w:noProof/>
        </w:rPr>
        <w:fldChar w:fldCharType="separate"/>
      </w:r>
      <w:r w:rsidRPr="00A93530">
        <w:rPr>
          <w:noProof/>
        </w:rPr>
        <w:t>27</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39</w:t>
      </w:r>
      <w:r>
        <w:rPr>
          <w:noProof/>
        </w:rPr>
        <w:tab/>
        <w:t>General responsibilities of local registration authorities</w:t>
      </w:r>
      <w:r w:rsidRPr="00A93530">
        <w:rPr>
          <w:noProof/>
        </w:rPr>
        <w:tab/>
      </w:r>
      <w:r w:rsidRPr="00A93530">
        <w:rPr>
          <w:noProof/>
        </w:rPr>
        <w:fldChar w:fldCharType="begin"/>
      </w:r>
      <w:r w:rsidRPr="00A93530">
        <w:rPr>
          <w:noProof/>
        </w:rPr>
        <w:instrText xml:space="preserve"> PAGEREF _Toc532465264 \h </w:instrText>
      </w:r>
      <w:r w:rsidRPr="00A93530">
        <w:rPr>
          <w:noProof/>
        </w:rPr>
      </w:r>
      <w:r w:rsidRPr="00A93530">
        <w:rPr>
          <w:noProof/>
        </w:rPr>
        <w:fldChar w:fldCharType="separate"/>
      </w:r>
      <w:r w:rsidRPr="00A93530">
        <w:rPr>
          <w:noProof/>
        </w:rPr>
        <w:t>27</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40</w:t>
      </w:r>
      <w:r>
        <w:rPr>
          <w:noProof/>
        </w:rPr>
        <w:tab/>
        <w:t>Fees</w:t>
      </w:r>
      <w:r w:rsidRPr="00A93530">
        <w:rPr>
          <w:noProof/>
        </w:rPr>
        <w:tab/>
      </w:r>
      <w:r w:rsidRPr="00A93530">
        <w:rPr>
          <w:noProof/>
        </w:rPr>
        <w:fldChar w:fldCharType="begin"/>
      </w:r>
      <w:r w:rsidRPr="00A93530">
        <w:rPr>
          <w:noProof/>
        </w:rPr>
        <w:instrText xml:space="preserve"> PAGEREF _Toc532465265 \h </w:instrText>
      </w:r>
      <w:r w:rsidRPr="00A93530">
        <w:rPr>
          <w:noProof/>
        </w:rPr>
      </w:r>
      <w:r w:rsidRPr="00A93530">
        <w:rPr>
          <w:noProof/>
        </w:rPr>
        <w:fldChar w:fldCharType="separate"/>
      </w:r>
      <w:r w:rsidRPr="00A93530">
        <w:rPr>
          <w:noProof/>
        </w:rPr>
        <w:t>28</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41</w:t>
      </w:r>
      <w:r>
        <w:rPr>
          <w:noProof/>
        </w:rPr>
        <w:tab/>
        <w:t>Formalities requiring personal attendance</w:t>
      </w:r>
      <w:r w:rsidRPr="00A93530">
        <w:rPr>
          <w:noProof/>
        </w:rPr>
        <w:tab/>
      </w:r>
      <w:r w:rsidRPr="00A93530">
        <w:rPr>
          <w:noProof/>
        </w:rPr>
        <w:fldChar w:fldCharType="begin"/>
      </w:r>
      <w:r w:rsidRPr="00A93530">
        <w:rPr>
          <w:noProof/>
        </w:rPr>
        <w:instrText xml:space="preserve"> PAGEREF _Toc532465266 \h </w:instrText>
      </w:r>
      <w:r w:rsidRPr="00A93530">
        <w:rPr>
          <w:noProof/>
        </w:rPr>
      </w:r>
      <w:r w:rsidRPr="00A93530">
        <w:rPr>
          <w:noProof/>
        </w:rPr>
        <w:fldChar w:fldCharType="separate"/>
      </w:r>
      <w:r w:rsidRPr="00A93530">
        <w:rPr>
          <w:noProof/>
        </w:rPr>
        <w:t>29</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42</w:t>
      </w:r>
      <w:r>
        <w:rPr>
          <w:noProof/>
        </w:rPr>
        <w:tab/>
        <w:t>Saving</w:t>
      </w:r>
      <w:r w:rsidRPr="00A93530">
        <w:rPr>
          <w:noProof/>
        </w:rPr>
        <w:tab/>
      </w:r>
      <w:r w:rsidRPr="00A93530">
        <w:rPr>
          <w:noProof/>
        </w:rPr>
        <w:fldChar w:fldCharType="begin"/>
      </w:r>
      <w:r w:rsidRPr="00A93530">
        <w:rPr>
          <w:noProof/>
        </w:rPr>
        <w:instrText xml:space="preserve"> PAGEREF _Toc532465267 \h </w:instrText>
      </w:r>
      <w:r w:rsidRPr="00A93530">
        <w:rPr>
          <w:noProof/>
        </w:rPr>
      </w:r>
      <w:r w:rsidRPr="00A93530">
        <w:rPr>
          <w:noProof/>
        </w:rPr>
        <w:fldChar w:fldCharType="separate"/>
      </w:r>
      <w:r w:rsidRPr="00A93530">
        <w:rPr>
          <w:noProof/>
        </w:rPr>
        <w:t>29</w:t>
      </w:r>
      <w:r w:rsidRPr="00A93530">
        <w:rPr>
          <w:noProof/>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Part 4—Exclusions and exemptions</w:t>
      </w:r>
      <w:r w:rsidRPr="00A93530">
        <w:rPr>
          <w:b w:val="0"/>
          <w:noProof/>
          <w:sz w:val="18"/>
        </w:rPr>
        <w:tab/>
      </w:r>
      <w:r w:rsidRPr="00A93530">
        <w:rPr>
          <w:b w:val="0"/>
          <w:noProof/>
          <w:sz w:val="18"/>
        </w:rPr>
        <w:fldChar w:fldCharType="begin"/>
      </w:r>
      <w:r w:rsidRPr="00A93530">
        <w:rPr>
          <w:b w:val="0"/>
          <w:noProof/>
          <w:sz w:val="18"/>
        </w:rPr>
        <w:instrText xml:space="preserve"> PAGEREF _Toc532465268 \h </w:instrText>
      </w:r>
      <w:r w:rsidRPr="00A93530">
        <w:rPr>
          <w:b w:val="0"/>
          <w:noProof/>
          <w:sz w:val="18"/>
        </w:rPr>
      </w:r>
      <w:r w:rsidRPr="00A93530">
        <w:rPr>
          <w:b w:val="0"/>
          <w:noProof/>
          <w:sz w:val="18"/>
        </w:rPr>
        <w:fldChar w:fldCharType="separate"/>
      </w:r>
      <w:r w:rsidRPr="00A93530">
        <w:rPr>
          <w:b w:val="0"/>
          <w:noProof/>
          <w:sz w:val="18"/>
        </w:rPr>
        <w:t>30</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43</w:t>
      </w:r>
      <w:r>
        <w:rPr>
          <w:noProof/>
        </w:rPr>
        <w:tab/>
        <w:t>References to endorsing a proposed regulation</w:t>
      </w:r>
      <w:r w:rsidRPr="00A93530">
        <w:rPr>
          <w:noProof/>
        </w:rPr>
        <w:tab/>
      </w:r>
      <w:r w:rsidRPr="00A93530">
        <w:rPr>
          <w:noProof/>
        </w:rPr>
        <w:fldChar w:fldCharType="begin"/>
      </w:r>
      <w:r w:rsidRPr="00A93530">
        <w:rPr>
          <w:noProof/>
        </w:rPr>
        <w:instrText xml:space="preserve"> PAGEREF _Toc532465269 \h </w:instrText>
      </w:r>
      <w:r w:rsidRPr="00A93530">
        <w:rPr>
          <w:noProof/>
        </w:rPr>
      </w:r>
      <w:r w:rsidRPr="00A93530">
        <w:rPr>
          <w:noProof/>
        </w:rPr>
        <w:fldChar w:fldCharType="separate"/>
      </w:r>
      <w:r w:rsidRPr="00A93530">
        <w:rPr>
          <w:noProof/>
        </w:rPr>
        <w:t>30</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44</w:t>
      </w:r>
      <w:r>
        <w:rPr>
          <w:noProof/>
        </w:rPr>
        <w:tab/>
        <w:t>Exclusions</w:t>
      </w:r>
      <w:r w:rsidRPr="00A93530">
        <w:rPr>
          <w:noProof/>
        </w:rPr>
        <w:tab/>
      </w:r>
      <w:r w:rsidRPr="00A93530">
        <w:rPr>
          <w:noProof/>
        </w:rPr>
        <w:fldChar w:fldCharType="begin"/>
      </w:r>
      <w:r w:rsidRPr="00A93530">
        <w:rPr>
          <w:noProof/>
        </w:rPr>
        <w:instrText xml:space="preserve"> PAGEREF _Toc532465270 \h </w:instrText>
      </w:r>
      <w:r w:rsidRPr="00A93530">
        <w:rPr>
          <w:noProof/>
        </w:rPr>
      </w:r>
      <w:r w:rsidRPr="00A93530">
        <w:rPr>
          <w:noProof/>
        </w:rPr>
        <w:fldChar w:fldCharType="separate"/>
      </w:r>
      <w:r w:rsidRPr="00A93530">
        <w:rPr>
          <w:noProof/>
        </w:rPr>
        <w:t>30</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45</w:t>
      </w:r>
      <w:r>
        <w:rPr>
          <w:noProof/>
        </w:rPr>
        <w:tab/>
        <w:t>Permanent exemptions</w:t>
      </w:r>
      <w:r w:rsidRPr="00A93530">
        <w:rPr>
          <w:noProof/>
        </w:rPr>
        <w:tab/>
      </w:r>
      <w:r w:rsidRPr="00A93530">
        <w:rPr>
          <w:noProof/>
        </w:rPr>
        <w:fldChar w:fldCharType="begin"/>
      </w:r>
      <w:r w:rsidRPr="00A93530">
        <w:rPr>
          <w:noProof/>
        </w:rPr>
        <w:instrText xml:space="preserve"> PAGEREF _Toc532465271 \h </w:instrText>
      </w:r>
      <w:r w:rsidRPr="00A93530">
        <w:rPr>
          <w:noProof/>
        </w:rPr>
      </w:r>
      <w:r w:rsidRPr="00A93530">
        <w:rPr>
          <w:noProof/>
        </w:rPr>
        <w:fldChar w:fldCharType="separate"/>
      </w:r>
      <w:r w:rsidRPr="00A93530">
        <w:rPr>
          <w:noProof/>
        </w:rPr>
        <w:t>31</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46</w:t>
      </w:r>
      <w:r>
        <w:rPr>
          <w:noProof/>
        </w:rPr>
        <w:tab/>
        <w:t>Temporary exemptions</w:t>
      </w:r>
      <w:r w:rsidRPr="00A93530">
        <w:rPr>
          <w:noProof/>
        </w:rPr>
        <w:tab/>
      </w:r>
      <w:r w:rsidRPr="00A93530">
        <w:rPr>
          <w:noProof/>
        </w:rPr>
        <w:fldChar w:fldCharType="begin"/>
      </w:r>
      <w:r w:rsidRPr="00A93530">
        <w:rPr>
          <w:noProof/>
        </w:rPr>
        <w:instrText xml:space="preserve"> PAGEREF _Toc532465272 \h </w:instrText>
      </w:r>
      <w:r w:rsidRPr="00A93530">
        <w:rPr>
          <w:noProof/>
        </w:rPr>
      </w:r>
      <w:r w:rsidRPr="00A93530">
        <w:rPr>
          <w:noProof/>
        </w:rPr>
        <w:fldChar w:fldCharType="separate"/>
      </w:r>
      <w:r w:rsidRPr="00A93530">
        <w:rPr>
          <w:noProof/>
        </w:rPr>
        <w:t>31</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47</w:t>
      </w:r>
      <w:r>
        <w:rPr>
          <w:noProof/>
        </w:rPr>
        <w:tab/>
        <w:t>Continuation of temporary exemptions to enable implementation of ministerial agreements</w:t>
      </w:r>
      <w:r w:rsidRPr="00A93530">
        <w:rPr>
          <w:noProof/>
        </w:rPr>
        <w:tab/>
      </w:r>
      <w:r w:rsidRPr="00A93530">
        <w:rPr>
          <w:noProof/>
        </w:rPr>
        <w:fldChar w:fldCharType="begin"/>
      </w:r>
      <w:r w:rsidRPr="00A93530">
        <w:rPr>
          <w:noProof/>
        </w:rPr>
        <w:instrText xml:space="preserve"> PAGEREF _Toc532465273 \h </w:instrText>
      </w:r>
      <w:r w:rsidRPr="00A93530">
        <w:rPr>
          <w:noProof/>
        </w:rPr>
      </w:r>
      <w:r w:rsidRPr="00A93530">
        <w:rPr>
          <w:noProof/>
        </w:rPr>
        <w:fldChar w:fldCharType="separate"/>
      </w:r>
      <w:r w:rsidRPr="00A93530">
        <w:rPr>
          <w:noProof/>
        </w:rPr>
        <w:t>32</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48</w:t>
      </w:r>
      <w:r>
        <w:rPr>
          <w:noProof/>
        </w:rPr>
        <w:tab/>
        <w:t>Special exemptions</w:t>
      </w:r>
      <w:r w:rsidRPr="00A93530">
        <w:rPr>
          <w:noProof/>
        </w:rPr>
        <w:tab/>
      </w:r>
      <w:r w:rsidRPr="00A93530">
        <w:rPr>
          <w:noProof/>
        </w:rPr>
        <w:fldChar w:fldCharType="begin"/>
      </w:r>
      <w:r w:rsidRPr="00A93530">
        <w:rPr>
          <w:noProof/>
        </w:rPr>
        <w:instrText xml:space="preserve"> PAGEREF _Toc532465274 \h </w:instrText>
      </w:r>
      <w:r w:rsidRPr="00A93530">
        <w:rPr>
          <w:noProof/>
        </w:rPr>
      </w:r>
      <w:r w:rsidRPr="00A93530">
        <w:rPr>
          <w:noProof/>
        </w:rPr>
        <w:fldChar w:fldCharType="separate"/>
      </w:r>
      <w:r w:rsidRPr="00A93530">
        <w:rPr>
          <w:noProof/>
        </w:rPr>
        <w:t>33</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49</w:t>
      </w:r>
      <w:r>
        <w:rPr>
          <w:noProof/>
        </w:rPr>
        <w:tab/>
        <w:t>Exemptions relating to occupations</w:t>
      </w:r>
      <w:r w:rsidRPr="00A93530">
        <w:rPr>
          <w:noProof/>
        </w:rPr>
        <w:tab/>
      </w:r>
      <w:r w:rsidRPr="00A93530">
        <w:rPr>
          <w:noProof/>
        </w:rPr>
        <w:fldChar w:fldCharType="begin"/>
      </w:r>
      <w:r w:rsidRPr="00A93530">
        <w:rPr>
          <w:noProof/>
        </w:rPr>
        <w:instrText xml:space="preserve"> PAGEREF _Toc532465275 \h </w:instrText>
      </w:r>
      <w:r w:rsidRPr="00A93530">
        <w:rPr>
          <w:noProof/>
        </w:rPr>
      </w:r>
      <w:r w:rsidRPr="00A93530">
        <w:rPr>
          <w:noProof/>
        </w:rPr>
        <w:fldChar w:fldCharType="separate"/>
      </w:r>
      <w:r w:rsidRPr="00A93530">
        <w:rPr>
          <w:noProof/>
        </w:rPr>
        <w:t>34</w:t>
      </w:r>
      <w:r w:rsidRPr="00A93530">
        <w:rPr>
          <w:noProof/>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Part 5—General</w:t>
      </w:r>
      <w:r w:rsidRPr="00A93530">
        <w:rPr>
          <w:b w:val="0"/>
          <w:noProof/>
          <w:sz w:val="18"/>
        </w:rPr>
        <w:tab/>
      </w:r>
      <w:r w:rsidRPr="00A93530">
        <w:rPr>
          <w:b w:val="0"/>
          <w:noProof/>
          <w:sz w:val="18"/>
        </w:rPr>
        <w:fldChar w:fldCharType="begin"/>
      </w:r>
      <w:r w:rsidRPr="00A93530">
        <w:rPr>
          <w:b w:val="0"/>
          <w:noProof/>
          <w:sz w:val="18"/>
        </w:rPr>
        <w:instrText xml:space="preserve"> PAGEREF _Toc532465276 \h </w:instrText>
      </w:r>
      <w:r w:rsidRPr="00A93530">
        <w:rPr>
          <w:b w:val="0"/>
          <w:noProof/>
          <w:sz w:val="18"/>
        </w:rPr>
      </w:r>
      <w:r w:rsidRPr="00A93530">
        <w:rPr>
          <w:b w:val="0"/>
          <w:noProof/>
          <w:sz w:val="18"/>
        </w:rPr>
        <w:fldChar w:fldCharType="separate"/>
      </w:r>
      <w:r w:rsidRPr="00A93530">
        <w:rPr>
          <w:b w:val="0"/>
          <w:noProof/>
          <w:sz w:val="18"/>
        </w:rPr>
        <w:t>35</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50</w:t>
      </w:r>
      <w:r>
        <w:rPr>
          <w:noProof/>
        </w:rPr>
        <w:tab/>
        <w:t>References to participating jurisdictions</w:t>
      </w:r>
      <w:r w:rsidRPr="00A93530">
        <w:rPr>
          <w:noProof/>
        </w:rPr>
        <w:tab/>
      </w:r>
      <w:r w:rsidRPr="00A93530">
        <w:rPr>
          <w:noProof/>
        </w:rPr>
        <w:fldChar w:fldCharType="begin"/>
      </w:r>
      <w:r w:rsidRPr="00A93530">
        <w:rPr>
          <w:noProof/>
        </w:rPr>
        <w:instrText xml:space="preserve"> PAGEREF _Toc532465277 \h </w:instrText>
      </w:r>
      <w:r w:rsidRPr="00A93530">
        <w:rPr>
          <w:noProof/>
        </w:rPr>
      </w:r>
      <w:r w:rsidRPr="00A93530">
        <w:rPr>
          <w:noProof/>
        </w:rPr>
        <w:fldChar w:fldCharType="separate"/>
      </w:r>
      <w:r w:rsidRPr="00A93530">
        <w:rPr>
          <w:noProof/>
        </w:rPr>
        <w:t>35</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51</w:t>
      </w:r>
      <w:r>
        <w:rPr>
          <w:noProof/>
        </w:rPr>
        <w:tab/>
        <w:t>Application of Trans</w:t>
      </w:r>
      <w:r>
        <w:rPr>
          <w:noProof/>
        </w:rPr>
        <w:noBreakHyphen/>
        <w:t>Tasman mutual recognition principle</w:t>
      </w:r>
      <w:r w:rsidRPr="00A93530">
        <w:rPr>
          <w:noProof/>
        </w:rPr>
        <w:tab/>
      </w:r>
      <w:r w:rsidRPr="00A93530">
        <w:rPr>
          <w:noProof/>
        </w:rPr>
        <w:fldChar w:fldCharType="begin"/>
      </w:r>
      <w:r w:rsidRPr="00A93530">
        <w:rPr>
          <w:noProof/>
        </w:rPr>
        <w:instrText xml:space="preserve"> PAGEREF _Toc532465278 \h </w:instrText>
      </w:r>
      <w:r w:rsidRPr="00A93530">
        <w:rPr>
          <w:noProof/>
        </w:rPr>
      </w:r>
      <w:r w:rsidRPr="00A93530">
        <w:rPr>
          <w:noProof/>
        </w:rPr>
        <w:fldChar w:fldCharType="separate"/>
      </w:r>
      <w:r w:rsidRPr="00A93530">
        <w:rPr>
          <w:noProof/>
        </w:rPr>
        <w:t>35</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52</w:t>
      </w:r>
      <w:r>
        <w:rPr>
          <w:noProof/>
        </w:rPr>
        <w:tab/>
        <w:t>Machinery provisions regarding limitations etc.</w:t>
      </w:r>
      <w:r w:rsidRPr="00A93530">
        <w:rPr>
          <w:noProof/>
        </w:rPr>
        <w:tab/>
      </w:r>
      <w:r w:rsidRPr="00A93530">
        <w:rPr>
          <w:noProof/>
        </w:rPr>
        <w:fldChar w:fldCharType="begin"/>
      </w:r>
      <w:r w:rsidRPr="00A93530">
        <w:rPr>
          <w:noProof/>
        </w:rPr>
        <w:instrText xml:space="preserve"> PAGEREF _Toc532465279 \h </w:instrText>
      </w:r>
      <w:r w:rsidRPr="00A93530">
        <w:rPr>
          <w:noProof/>
        </w:rPr>
      </w:r>
      <w:r w:rsidRPr="00A93530">
        <w:rPr>
          <w:noProof/>
        </w:rPr>
        <w:fldChar w:fldCharType="separate"/>
      </w:r>
      <w:r w:rsidRPr="00A93530">
        <w:rPr>
          <w:noProof/>
        </w:rPr>
        <w:t>35</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53</w:t>
      </w:r>
      <w:r>
        <w:rPr>
          <w:noProof/>
        </w:rPr>
        <w:tab/>
        <w:t>Determining place of production</w:t>
      </w:r>
      <w:r w:rsidRPr="00A93530">
        <w:rPr>
          <w:noProof/>
        </w:rPr>
        <w:tab/>
      </w:r>
      <w:r w:rsidRPr="00A93530">
        <w:rPr>
          <w:noProof/>
        </w:rPr>
        <w:fldChar w:fldCharType="begin"/>
      </w:r>
      <w:r w:rsidRPr="00A93530">
        <w:rPr>
          <w:noProof/>
        </w:rPr>
        <w:instrText xml:space="preserve"> PAGEREF _Toc532465280 \h </w:instrText>
      </w:r>
      <w:r w:rsidRPr="00A93530">
        <w:rPr>
          <w:noProof/>
        </w:rPr>
      </w:r>
      <w:r w:rsidRPr="00A93530">
        <w:rPr>
          <w:noProof/>
        </w:rPr>
        <w:fldChar w:fldCharType="separate"/>
      </w:r>
      <w:r w:rsidRPr="00A93530">
        <w:rPr>
          <w:noProof/>
        </w:rPr>
        <w:t>36</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54</w:t>
      </w:r>
      <w:r>
        <w:rPr>
          <w:noProof/>
        </w:rPr>
        <w:tab/>
        <w:t>Commonwealth regulations for temporary exemptions</w:t>
      </w:r>
      <w:r w:rsidRPr="00A93530">
        <w:rPr>
          <w:noProof/>
        </w:rPr>
        <w:tab/>
      </w:r>
      <w:r w:rsidRPr="00A93530">
        <w:rPr>
          <w:noProof/>
        </w:rPr>
        <w:fldChar w:fldCharType="begin"/>
      </w:r>
      <w:r w:rsidRPr="00A93530">
        <w:rPr>
          <w:noProof/>
        </w:rPr>
        <w:instrText xml:space="preserve"> PAGEREF _Toc532465281 \h </w:instrText>
      </w:r>
      <w:r w:rsidRPr="00A93530">
        <w:rPr>
          <w:noProof/>
        </w:rPr>
      </w:r>
      <w:r w:rsidRPr="00A93530">
        <w:rPr>
          <w:noProof/>
        </w:rPr>
        <w:fldChar w:fldCharType="separate"/>
      </w:r>
      <w:r w:rsidRPr="00A93530">
        <w:rPr>
          <w:noProof/>
        </w:rPr>
        <w:t>36</w:t>
      </w:r>
      <w:r w:rsidRPr="00A93530">
        <w:rPr>
          <w:noProof/>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Schedule 1—Exclusions</w:t>
      </w:r>
      <w:r w:rsidRPr="00A93530">
        <w:rPr>
          <w:b w:val="0"/>
          <w:noProof/>
          <w:sz w:val="18"/>
        </w:rPr>
        <w:tab/>
      </w:r>
      <w:r w:rsidRPr="00A93530">
        <w:rPr>
          <w:b w:val="0"/>
          <w:noProof/>
          <w:sz w:val="18"/>
        </w:rPr>
        <w:fldChar w:fldCharType="begin"/>
      </w:r>
      <w:r w:rsidRPr="00A93530">
        <w:rPr>
          <w:b w:val="0"/>
          <w:noProof/>
          <w:sz w:val="18"/>
        </w:rPr>
        <w:instrText xml:space="preserve"> PAGEREF _Toc532465282 \h </w:instrText>
      </w:r>
      <w:r w:rsidRPr="00A93530">
        <w:rPr>
          <w:b w:val="0"/>
          <w:noProof/>
          <w:sz w:val="18"/>
        </w:rPr>
      </w:r>
      <w:r w:rsidRPr="00A93530">
        <w:rPr>
          <w:b w:val="0"/>
          <w:noProof/>
          <w:sz w:val="18"/>
        </w:rPr>
        <w:fldChar w:fldCharType="separate"/>
      </w:r>
      <w:r w:rsidRPr="00A93530">
        <w:rPr>
          <w:b w:val="0"/>
          <w:noProof/>
          <w:sz w:val="18"/>
        </w:rPr>
        <w:t>37</w:t>
      </w:r>
      <w:r w:rsidRPr="00A93530">
        <w:rPr>
          <w:b w:val="0"/>
          <w:noProof/>
          <w:sz w:val="18"/>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Part 1—Introduction</w:t>
      </w:r>
      <w:r w:rsidRPr="00A93530">
        <w:rPr>
          <w:b w:val="0"/>
          <w:noProof/>
          <w:sz w:val="18"/>
        </w:rPr>
        <w:tab/>
      </w:r>
      <w:r w:rsidRPr="00A93530">
        <w:rPr>
          <w:b w:val="0"/>
          <w:noProof/>
          <w:sz w:val="18"/>
        </w:rPr>
        <w:fldChar w:fldCharType="begin"/>
      </w:r>
      <w:r w:rsidRPr="00A93530">
        <w:rPr>
          <w:b w:val="0"/>
          <w:noProof/>
          <w:sz w:val="18"/>
        </w:rPr>
        <w:instrText xml:space="preserve"> PAGEREF _Toc532465283 \h </w:instrText>
      </w:r>
      <w:r w:rsidRPr="00A93530">
        <w:rPr>
          <w:b w:val="0"/>
          <w:noProof/>
          <w:sz w:val="18"/>
        </w:rPr>
      </w:r>
      <w:r w:rsidRPr="00A93530">
        <w:rPr>
          <w:b w:val="0"/>
          <w:noProof/>
          <w:sz w:val="18"/>
        </w:rPr>
        <w:fldChar w:fldCharType="separate"/>
      </w:r>
      <w:r w:rsidRPr="00A93530">
        <w:rPr>
          <w:b w:val="0"/>
          <w:noProof/>
          <w:sz w:val="18"/>
        </w:rPr>
        <w:t>37</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w:t>
      </w:r>
      <w:r>
        <w:rPr>
          <w:noProof/>
        </w:rPr>
        <w:tab/>
        <w:t>Excluded laws</w:t>
      </w:r>
      <w:r w:rsidRPr="00A93530">
        <w:rPr>
          <w:noProof/>
        </w:rPr>
        <w:tab/>
      </w:r>
      <w:r w:rsidRPr="00A93530">
        <w:rPr>
          <w:noProof/>
        </w:rPr>
        <w:fldChar w:fldCharType="begin"/>
      </w:r>
      <w:r w:rsidRPr="00A93530">
        <w:rPr>
          <w:noProof/>
        </w:rPr>
        <w:instrText xml:space="preserve"> PAGEREF _Toc532465284 \h </w:instrText>
      </w:r>
      <w:r w:rsidRPr="00A93530">
        <w:rPr>
          <w:noProof/>
        </w:rPr>
      </w:r>
      <w:r w:rsidRPr="00A93530">
        <w:rPr>
          <w:noProof/>
        </w:rPr>
        <w:fldChar w:fldCharType="separate"/>
      </w:r>
      <w:r w:rsidRPr="00A93530">
        <w:rPr>
          <w:noProof/>
        </w:rPr>
        <w:t>37</w:t>
      </w:r>
      <w:r w:rsidRPr="00A93530">
        <w:rPr>
          <w:noProof/>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Part 2—Laws</w:t>
      </w:r>
      <w:r w:rsidRPr="00A93530">
        <w:rPr>
          <w:b w:val="0"/>
          <w:noProof/>
          <w:sz w:val="18"/>
        </w:rPr>
        <w:tab/>
      </w:r>
      <w:r w:rsidRPr="00A93530">
        <w:rPr>
          <w:b w:val="0"/>
          <w:noProof/>
          <w:sz w:val="18"/>
        </w:rPr>
        <w:fldChar w:fldCharType="begin"/>
      </w:r>
      <w:r w:rsidRPr="00A93530">
        <w:rPr>
          <w:b w:val="0"/>
          <w:noProof/>
          <w:sz w:val="18"/>
        </w:rPr>
        <w:instrText xml:space="preserve"> PAGEREF _Toc532465285 \h </w:instrText>
      </w:r>
      <w:r w:rsidRPr="00A93530">
        <w:rPr>
          <w:b w:val="0"/>
          <w:noProof/>
          <w:sz w:val="18"/>
        </w:rPr>
      </w:r>
      <w:r w:rsidRPr="00A93530">
        <w:rPr>
          <w:b w:val="0"/>
          <w:noProof/>
          <w:sz w:val="18"/>
        </w:rPr>
        <w:fldChar w:fldCharType="separate"/>
      </w:r>
      <w:r w:rsidRPr="00A93530">
        <w:rPr>
          <w:b w:val="0"/>
          <w:noProof/>
          <w:sz w:val="18"/>
        </w:rPr>
        <w:t>38</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w:t>
      </w:r>
      <w:r>
        <w:rPr>
          <w:noProof/>
        </w:rPr>
        <w:tab/>
        <w:t>Customs controls and tariffs (including laws relating to international obligations)</w:t>
      </w:r>
      <w:r w:rsidRPr="00A93530">
        <w:rPr>
          <w:noProof/>
        </w:rPr>
        <w:tab/>
      </w:r>
      <w:r w:rsidRPr="00A93530">
        <w:rPr>
          <w:noProof/>
        </w:rPr>
        <w:fldChar w:fldCharType="begin"/>
      </w:r>
      <w:r w:rsidRPr="00A93530">
        <w:rPr>
          <w:noProof/>
        </w:rPr>
        <w:instrText xml:space="preserve"> PAGEREF _Toc532465286 \h </w:instrText>
      </w:r>
      <w:r w:rsidRPr="00A93530">
        <w:rPr>
          <w:noProof/>
        </w:rPr>
      </w:r>
      <w:r w:rsidRPr="00A93530">
        <w:rPr>
          <w:noProof/>
        </w:rPr>
        <w:fldChar w:fldCharType="separate"/>
      </w:r>
      <w:r w:rsidRPr="00A93530">
        <w:rPr>
          <w:noProof/>
        </w:rPr>
        <w:t>38</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w:t>
      </w:r>
      <w:r>
        <w:rPr>
          <w:noProof/>
        </w:rPr>
        <w:tab/>
        <w:t>Intellectual property (including laws relating to the Paris Convention of 20 March 1983 for the Protection of Industrial Property)</w:t>
      </w:r>
      <w:r w:rsidRPr="00A93530">
        <w:rPr>
          <w:noProof/>
        </w:rPr>
        <w:tab/>
      </w:r>
      <w:r w:rsidRPr="00A93530">
        <w:rPr>
          <w:noProof/>
        </w:rPr>
        <w:fldChar w:fldCharType="begin"/>
      </w:r>
      <w:r w:rsidRPr="00A93530">
        <w:rPr>
          <w:noProof/>
        </w:rPr>
        <w:instrText xml:space="preserve"> PAGEREF _Toc532465287 \h </w:instrText>
      </w:r>
      <w:r w:rsidRPr="00A93530">
        <w:rPr>
          <w:noProof/>
        </w:rPr>
      </w:r>
      <w:r w:rsidRPr="00A93530">
        <w:rPr>
          <w:noProof/>
        </w:rPr>
        <w:fldChar w:fldCharType="separate"/>
      </w:r>
      <w:r w:rsidRPr="00A93530">
        <w:rPr>
          <w:noProof/>
        </w:rPr>
        <w:t>38</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w:t>
      </w:r>
      <w:r>
        <w:rPr>
          <w:noProof/>
        </w:rPr>
        <w:tab/>
        <w:t>Other international obligations</w:t>
      </w:r>
      <w:r w:rsidRPr="00A93530">
        <w:rPr>
          <w:noProof/>
        </w:rPr>
        <w:tab/>
      </w:r>
      <w:r w:rsidRPr="00A93530">
        <w:rPr>
          <w:noProof/>
        </w:rPr>
        <w:fldChar w:fldCharType="begin"/>
      </w:r>
      <w:r w:rsidRPr="00A93530">
        <w:rPr>
          <w:noProof/>
        </w:rPr>
        <w:instrText xml:space="preserve"> PAGEREF _Toc532465288 \h </w:instrText>
      </w:r>
      <w:r w:rsidRPr="00A93530">
        <w:rPr>
          <w:noProof/>
        </w:rPr>
      </w:r>
      <w:r w:rsidRPr="00A93530">
        <w:rPr>
          <w:noProof/>
        </w:rPr>
        <w:fldChar w:fldCharType="separate"/>
      </w:r>
      <w:r w:rsidRPr="00A93530">
        <w:rPr>
          <w:noProof/>
        </w:rPr>
        <w:t>39</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5</w:t>
      </w:r>
      <w:r>
        <w:rPr>
          <w:noProof/>
        </w:rPr>
        <w:tab/>
        <w:t>Taxation and business franchises</w:t>
      </w:r>
      <w:r w:rsidRPr="00A93530">
        <w:rPr>
          <w:noProof/>
        </w:rPr>
        <w:tab/>
      </w:r>
      <w:r w:rsidRPr="00A93530">
        <w:rPr>
          <w:noProof/>
        </w:rPr>
        <w:fldChar w:fldCharType="begin"/>
      </w:r>
      <w:r w:rsidRPr="00A93530">
        <w:rPr>
          <w:noProof/>
        </w:rPr>
        <w:instrText xml:space="preserve"> PAGEREF _Toc532465289 \h </w:instrText>
      </w:r>
      <w:r w:rsidRPr="00A93530">
        <w:rPr>
          <w:noProof/>
        </w:rPr>
      </w:r>
      <w:r w:rsidRPr="00A93530">
        <w:rPr>
          <w:noProof/>
        </w:rPr>
        <w:fldChar w:fldCharType="separate"/>
      </w:r>
      <w:r w:rsidRPr="00A93530">
        <w:rPr>
          <w:noProof/>
        </w:rPr>
        <w:t>40</w:t>
      </w:r>
      <w:r w:rsidRPr="00A93530">
        <w:rPr>
          <w:noProof/>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Schedule 2—Permanent exemptions</w:t>
      </w:r>
      <w:r w:rsidRPr="00A93530">
        <w:rPr>
          <w:b w:val="0"/>
          <w:noProof/>
          <w:sz w:val="18"/>
        </w:rPr>
        <w:tab/>
      </w:r>
      <w:r w:rsidRPr="00A93530">
        <w:rPr>
          <w:b w:val="0"/>
          <w:noProof/>
          <w:sz w:val="18"/>
        </w:rPr>
        <w:fldChar w:fldCharType="begin"/>
      </w:r>
      <w:r w:rsidRPr="00A93530">
        <w:rPr>
          <w:b w:val="0"/>
          <w:noProof/>
          <w:sz w:val="18"/>
        </w:rPr>
        <w:instrText xml:space="preserve"> PAGEREF _Toc532465290 \h </w:instrText>
      </w:r>
      <w:r w:rsidRPr="00A93530">
        <w:rPr>
          <w:b w:val="0"/>
          <w:noProof/>
          <w:sz w:val="18"/>
        </w:rPr>
      </w:r>
      <w:r w:rsidRPr="00A93530">
        <w:rPr>
          <w:b w:val="0"/>
          <w:noProof/>
          <w:sz w:val="18"/>
        </w:rPr>
        <w:fldChar w:fldCharType="separate"/>
      </w:r>
      <w:r w:rsidRPr="00A93530">
        <w:rPr>
          <w:b w:val="0"/>
          <w:noProof/>
          <w:sz w:val="18"/>
        </w:rPr>
        <w:t>41</w:t>
      </w:r>
      <w:r w:rsidRPr="00A93530">
        <w:rPr>
          <w:b w:val="0"/>
          <w:noProof/>
          <w:sz w:val="18"/>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Part 1—Laws relating to goods: general</w:t>
      </w:r>
      <w:r w:rsidRPr="00A93530">
        <w:rPr>
          <w:b w:val="0"/>
          <w:noProof/>
          <w:sz w:val="18"/>
        </w:rPr>
        <w:tab/>
      </w:r>
      <w:r w:rsidRPr="00A93530">
        <w:rPr>
          <w:b w:val="0"/>
          <w:noProof/>
          <w:sz w:val="18"/>
        </w:rPr>
        <w:fldChar w:fldCharType="begin"/>
      </w:r>
      <w:r w:rsidRPr="00A93530">
        <w:rPr>
          <w:b w:val="0"/>
          <w:noProof/>
          <w:sz w:val="18"/>
        </w:rPr>
        <w:instrText xml:space="preserve"> PAGEREF _Toc532465291 \h </w:instrText>
      </w:r>
      <w:r w:rsidRPr="00A93530">
        <w:rPr>
          <w:b w:val="0"/>
          <w:noProof/>
          <w:sz w:val="18"/>
        </w:rPr>
      </w:r>
      <w:r w:rsidRPr="00A93530">
        <w:rPr>
          <w:b w:val="0"/>
          <w:noProof/>
          <w:sz w:val="18"/>
        </w:rPr>
        <w:fldChar w:fldCharType="separate"/>
      </w:r>
      <w:r w:rsidRPr="00A93530">
        <w:rPr>
          <w:b w:val="0"/>
          <w:noProof/>
          <w:sz w:val="18"/>
        </w:rPr>
        <w:t>41</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w:t>
      </w:r>
      <w:r>
        <w:rPr>
          <w:noProof/>
        </w:rPr>
        <w:tab/>
        <w:t>Quarantine</w:t>
      </w:r>
      <w:r w:rsidRPr="00A93530">
        <w:rPr>
          <w:noProof/>
        </w:rPr>
        <w:tab/>
      </w:r>
      <w:r w:rsidRPr="00A93530">
        <w:rPr>
          <w:noProof/>
        </w:rPr>
        <w:fldChar w:fldCharType="begin"/>
      </w:r>
      <w:r w:rsidRPr="00A93530">
        <w:rPr>
          <w:noProof/>
        </w:rPr>
        <w:instrText xml:space="preserve"> PAGEREF _Toc532465292 \h </w:instrText>
      </w:r>
      <w:r w:rsidRPr="00A93530">
        <w:rPr>
          <w:noProof/>
        </w:rPr>
      </w:r>
      <w:r w:rsidRPr="00A93530">
        <w:rPr>
          <w:noProof/>
        </w:rPr>
        <w:fldChar w:fldCharType="separate"/>
      </w:r>
      <w:r w:rsidRPr="00A93530">
        <w:rPr>
          <w:noProof/>
        </w:rPr>
        <w:t>41</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w:t>
      </w:r>
      <w:r>
        <w:rPr>
          <w:noProof/>
        </w:rPr>
        <w:tab/>
        <w:t>Endangered species</w:t>
      </w:r>
      <w:r w:rsidRPr="00A93530">
        <w:rPr>
          <w:noProof/>
        </w:rPr>
        <w:tab/>
      </w:r>
      <w:r w:rsidRPr="00A93530">
        <w:rPr>
          <w:noProof/>
        </w:rPr>
        <w:fldChar w:fldCharType="begin"/>
      </w:r>
      <w:r w:rsidRPr="00A93530">
        <w:rPr>
          <w:noProof/>
        </w:rPr>
        <w:instrText xml:space="preserve"> PAGEREF _Toc532465293 \h </w:instrText>
      </w:r>
      <w:r w:rsidRPr="00A93530">
        <w:rPr>
          <w:noProof/>
        </w:rPr>
      </w:r>
      <w:r w:rsidRPr="00A93530">
        <w:rPr>
          <w:noProof/>
        </w:rPr>
        <w:fldChar w:fldCharType="separate"/>
      </w:r>
      <w:r w:rsidRPr="00A93530">
        <w:rPr>
          <w:noProof/>
        </w:rPr>
        <w:t>41</w:t>
      </w:r>
      <w:r w:rsidRPr="00A93530">
        <w:rPr>
          <w:noProof/>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Part 2—Laws relating to goods: specific</w:t>
      </w:r>
      <w:r w:rsidRPr="00A93530">
        <w:rPr>
          <w:b w:val="0"/>
          <w:noProof/>
          <w:sz w:val="18"/>
        </w:rPr>
        <w:tab/>
      </w:r>
      <w:r w:rsidRPr="00A93530">
        <w:rPr>
          <w:b w:val="0"/>
          <w:noProof/>
          <w:sz w:val="18"/>
        </w:rPr>
        <w:fldChar w:fldCharType="begin"/>
      </w:r>
      <w:r w:rsidRPr="00A93530">
        <w:rPr>
          <w:b w:val="0"/>
          <w:noProof/>
          <w:sz w:val="18"/>
        </w:rPr>
        <w:instrText xml:space="preserve"> PAGEREF _Toc532465294 \h </w:instrText>
      </w:r>
      <w:r w:rsidRPr="00A93530">
        <w:rPr>
          <w:b w:val="0"/>
          <w:noProof/>
          <w:sz w:val="18"/>
        </w:rPr>
      </w:r>
      <w:r w:rsidRPr="00A93530">
        <w:rPr>
          <w:b w:val="0"/>
          <w:noProof/>
          <w:sz w:val="18"/>
        </w:rPr>
        <w:fldChar w:fldCharType="separate"/>
      </w:r>
      <w:r w:rsidRPr="00A93530">
        <w:rPr>
          <w:b w:val="0"/>
          <w:noProof/>
          <w:sz w:val="18"/>
        </w:rPr>
        <w:t>42</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w:t>
      </w:r>
      <w:r>
        <w:rPr>
          <w:noProof/>
        </w:rPr>
        <w:tab/>
        <w:t>Commonwealth</w:t>
      </w:r>
      <w:r w:rsidRPr="00A93530">
        <w:rPr>
          <w:noProof/>
        </w:rPr>
        <w:tab/>
      </w:r>
      <w:r w:rsidRPr="00A93530">
        <w:rPr>
          <w:noProof/>
        </w:rPr>
        <w:fldChar w:fldCharType="begin"/>
      </w:r>
      <w:r w:rsidRPr="00A93530">
        <w:rPr>
          <w:noProof/>
        </w:rPr>
        <w:instrText xml:space="preserve"> PAGEREF _Toc532465295 \h </w:instrText>
      </w:r>
      <w:r w:rsidRPr="00A93530">
        <w:rPr>
          <w:noProof/>
        </w:rPr>
      </w:r>
      <w:r w:rsidRPr="00A93530">
        <w:rPr>
          <w:noProof/>
        </w:rPr>
        <w:fldChar w:fldCharType="separate"/>
      </w:r>
      <w:r w:rsidRPr="00A93530">
        <w:rPr>
          <w:noProof/>
        </w:rPr>
        <w:t>42</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w:t>
      </w:r>
      <w:r>
        <w:rPr>
          <w:noProof/>
        </w:rPr>
        <w:tab/>
        <w:t>New South Wales</w:t>
      </w:r>
      <w:r w:rsidRPr="00A93530">
        <w:rPr>
          <w:noProof/>
        </w:rPr>
        <w:tab/>
      </w:r>
      <w:r w:rsidRPr="00A93530">
        <w:rPr>
          <w:noProof/>
        </w:rPr>
        <w:fldChar w:fldCharType="begin"/>
      </w:r>
      <w:r w:rsidRPr="00A93530">
        <w:rPr>
          <w:noProof/>
        </w:rPr>
        <w:instrText xml:space="preserve"> PAGEREF _Toc532465296 \h </w:instrText>
      </w:r>
      <w:r w:rsidRPr="00A93530">
        <w:rPr>
          <w:noProof/>
        </w:rPr>
      </w:r>
      <w:r w:rsidRPr="00A93530">
        <w:rPr>
          <w:noProof/>
        </w:rPr>
        <w:fldChar w:fldCharType="separate"/>
      </w:r>
      <w:r w:rsidRPr="00A93530">
        <w:rPr>
          <w:noProof/>
        </w:rPr>
        <w:t>43</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5</w:t>
      </w:r>
      <w:r>
        <w:rPr>
          <w:noProof/>
        </w:rPr>
        <w:tab/>
        <w:t>Victoria</w:t>
      </w:r>
      <w:r w:rsidRPr="00A93530">
        <w:rPr>
          <w:noProof/>
        </w:rPr>
        <w:tab/>
      </w:r>
      <w:r w:rsidRPr="00A93530">
        <w:rPr>
          <w:noProof/>
        </w:rPr>
        <w:fldChar w:fldCharType="begin"/>
      </w:r>
      <w:r w:rsidRPr="00A93530">
        <w:rPr>
          <w:noProof/>
        </w:rPr>
        <w:instrText xml:space="preserve"> PAGEREF _Toc532465297 \h </w:instrText>
      </w:r>
      <w:r w:rsidRPr="00A93530">
        <w:rPr>
          <w:noProof/>
        </w:rPr>
      </w:r>
      <w:r w:rsidRPr="00A93530">
        <w:rPr>
          <w:noProof/>
        </w:rPr>
        <w:fldChar w:fldCharType="separate"/>
      </w:r>
      <w:r w:rsidRPr="00A93530">
        <w:rPr>
          <w:noProof/>
        </w:rPr>
        <w:t>44</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6</w:t>
      </w:r>
      <w:r>
        <w:rPr>
          <w:noProof/>
        </w:rPr>
        <w:tab/>
        <w:t>Queensland</w:t>
      </w:r>
      <w:r w:rsidRPr="00A93530">
        <w:rPr>
          <w:noProof/>
        </w:rPr>
        <w:tab/>
      </w:r>
      <w:r w:rsidRPr="00A93530">
        <w:rPr>
          <w:noProof/>
        </w:rPr>
        <w:fldChar w:fldCharType="begin"/>
      </w:r>
      <w:r w:rsidRPr="00A93530">
        <w:rPr>
          <w:noProof/>
        </w:rPr>
        <w:instrText xml:space="preserve"> PAGEREF _Toc532465298 \h </w:instrText>
      </w:r>
      <w:r w:rsidRPr="00A93530">
        <w:rPr>
          <w:noProof/>
        </w:rPr>
      </w:r>
      <w:r w:rsidRPr="00A93530">
        <w:rPr>
          <w:noProof/>
        </w:rPr>
        <w:fldChar w:fldCharType="separate"/>
      </w:r>
      <w:r w:rsidRPr="00A93530">
        <w:rPr>
          <w:noProof/>
        </w:rPr>
        <w:t>45</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7</w:t>
      </w:r>
      <w:r>
        <w:rPr>
          <w:noProof/>
        </w:rPr>
        <w:tab/>
        <w:t>Western Australia</w:t>
      </w:r>
      <w:r w:rsidRPr="00A93530">
        <w:rPr>
          <w:noProof/>
        </w:rPr>
        <w:tab/>
      </w:r>
      <w:r w:rsidRPr="00A93530">
        <w:rPr>
          <w:noProof/>
        </w:rPr>
        <w:fldChar w:fldCharType="begin"/>
      </w:r>
      <w:r w:rsidRPr="00A93530">
        <w:rPr>
          <w:noProof/>
        </w:rPr>
        <w:instrText xml:space="preserve"> PAGEREF _Toc532465299 \h </w:instrText>
      </w:r>
      <w:r w:rsidRPr="00A93530">
        <w:rPr>
          <w:noProof/>
        </w:rPr>
      </w:r>
      <w:r w:rsidRPr="00A93530">
        <w:rPr>
          <w:noProof/>
        </w:rPr>
        <w:fldChar w:fldCharType="separate"/>
      </w:r>
      <w:r w:rsidRPr="00A93530">
        <w:rPr>
          <w:noProof/>
        </w:rPr>
        <w:t>47</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8</w:t>
      </w:r>
      <w:r>
        <w:rPr>
          <w:noProof/>
        </w:rPr>
        <w:tab/>
        <w:t>South Australia</w:t>
      </w:r>
      <w:r w:rsidRPr="00A93530">
        <w:rPr>
          <w:noProof/>
        </w:rPr>
        <w:tab/>
      </w:r>
      <w:r w:rsidRPr="00A93530">
        <w:rPr>
          <w:noProof/>
        </w:rPr>
        <w:fldChar w:fldCharType="begin"/>
      </w:r>
      <w:r w:rsidRPr="00A93530">
        <w:rPr>
          <w:noProof/>
        </w:rPr>
        <w:instrText xml:space="preserve"> PAGEREF _Toc532465300 \h </w:instrText>
      </w:r>
      <w:r w:rsidRPr="00A93530">
        <w:rPr>
          <w:noProof/>
        </w:rPr>
      </w:r>
      <w:r w:rsidRPr="00A93530">
        <w:rPr>
          <w:noProof/>
        </w:rPr>
        <w:fldChar w:fldCharType="separate"/>
      </w:r>
      <w:r w:rsidRPr="00A93530">
        <w:rPr>
          <w:noProof/>
        </w:rPr>
        <w:t>48</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9</w:t>
      </w:r>
      <w:r>
        <w:rPr>
          <w:noProof/>
        </w:rPr>
        <w:tab/>
        <w:t>Tasmania</w:t>
      </w:r>
      <w:r w:rsidRPr="00A93530">
        <w:rPr>
          <w:noProof/>
        </w:rPr>
        <w:tab/>
      </w:r>
      <w:r w:rsidRPr="00A93530">
        <w:rPr>
          <w:noProof/>
        </w:rPr>
        <w:fldChar w:fldCharType="begin"/>
      </w:r>
      <w:r w:rsidRPr="00A93530">
        <w:rPr>
          <w:noProof/>
        </w:rPr>
        <w:instrText xml:space="preserve"> PAGEREF _Toc532465301 \h </w:instrText>
      </w:r>
      <w:r w:rsidRPr="00A93530">
        <w:rPr>
          <w:noProof/>
        </w:rPr>
      </w:r>
      <w:r w:rsidRPr="00A93530">
        <w:rPr>
          <w:noProof/>
        </w:rPr>
        <w:fldChar w:fldCharType="separate"/>
      </w:r>
      <w:r w:rsidRPr="00A93530">
        <w:rPr>
          <w:noProof/>
        </w:rPr>
        <w:t>49</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10</w:t>
      </w:r>
      <w:r>
        <w:rPr>
          <w:noProof/>
        </w:rPr>
        <w:tab/>
        <w:t>Australian Capital Territory</w:t>
      </w:r>
      <w:r w:rsidRPr="00A93530">
        <w:rPr>
          <w:noProof/>
        </w:rPr>
        <w:tab/>
      </w:r>
      <w:r w:rsidRPr="00A93530">
        <w:rPr>
          <w:noProof/>
        </w:rPr>
        <w:fldChar w:fldCharType="begin"/>
      </w:r>
      <w:r w:rsidRPr="00A93530">
        <w:rPr>
          <w:noProof/>
        </w:rPr>
        <w:instrText xml:space="preserve"> PAGEREF _Toc532465302 \h </w:instrText>
      </w:r>
      <w:r w:rsidRPr="00A93530">
        <w:rPr>
          <w:noProof/>
        </w:rPr>
      </w:r>
      <w:r w:rsidRPr="00A93530">
        <w:rPr>
          <w:noProof/>
        </w:rPr>
        <w:fldChar w:fldCharType="separate"/>
      </w:r>
      <w:r w:rsidRPr="00A93530">
        <w:rPr>
          <w:noProof/>
        </w:rPr>
        <w:t>50</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11</w:t>
      </w:r>
      <w:r>
        <w:rPr>
          <w:noProof/>
        </w:rPr>
        <w:tab/>
        <w:t>Northern Territory</w:t>
      </w:r>
      <w:r w:rsidRPr="00A93530">
        <w:rPr>
          <w:noProof/>
        </w:rPr>
        <w:tab/>
      </w:r>
      <w:r w:rsidRPr="00A93530">
        <w:rPr>
          <w:noProof/>
        </w:rPr>
        <w:fldChar w:fldCharType="begin"/>
      </w:r>
      <w:r w:rsidRPr="00A93530">
        <w:rPr>
          <w:noProof/>
        </w:rPr>
        <w:instrText xml:space="preserve"> PAGEREF _Toc532465303 \h </w:instrText>
      </w:r>
      <w:r w:rsidRPr="00A93530">
        <w:rPr>
          <w:noProof/>
        </w:rPr>
      </w:r>
      <w:r w:rsidRPr="00A93530">
        <w:rPr>
          <w:noProof/>
        </w:rPr>
        <w:fldChar w:fldCharType="separate"/>
      </w:r>
      <w:r w:rsidRPr="00A93530">
        <w:rPr>
          <w:noProof/>
        </w:rPr>
        <w:t>51</w:t>
      </w:r>
      <w:r w:rsidRPr="00A93530">
        <w:rPr>
          <w:noProof/>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Schedule 3—Special exemptions</w:t>
      </w:r>
      <w:r w:rsidRPr="00A93530">
        <w:rPr>
          <w:b w:val="0"/>
          <w:noProof/>
          <w:sz w:val="18"/>
        </w:rPr>
        <w:tab/>
      </w:r>
      <w:r w:rsidRPr="00A93530">
        <w:rPr>
          <w:b w:val="0"/>
          <w:noProof/>
          <w:sz w:val="18"/>
        </w:rPr>
        <w:fldChar w:fldCharType="begin"/>
      </w:r>
      <w:r w:rsidRPr="00A93530">
        <w:rPr>
          <w:b w:val="0"/>
          <w:noProof/>
          <w:sz w:val="18"/>
        </w:rPr>
        <w:instrText xml:space="preserve"> PAGEREF _Toc532465304 \h </w:instrText>
      </w:r>
      <w:r w:rsidRPr="00A93530">
        <w:rPr>
          <w:b w:val="0"/>
          <w:noProof/>
          <w:sz w:val="18"/>
        </w:rPr>
      </w:r>
      <w:r w:rsidRPr="00A93530">
        <w:rPr>
          <w:b w:val="0"/>
          <w:noProof/>
          <w:sz w:val="18"/>
        </w:rPr>
        <w:fldChar w:fldCharType="separate"/>
      </w:r>
      <w:r w:rsidRPr="00A93530">
        <w:rPr>
          <w:b w:val="0"/>
          <w:noProof/>
          <w:sz w:val="18"/>
        </w:rPr>
        <w:t>53</w:t>
      </w:r>
      <w:r w:rsidRPr="00A93530">
        <w:rPr>
          <w:b w:val="0"/>
          <w:noProof/>
          <w:sz w:val="18"/>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Schedule 4—Exempt laws relating to occupations</w:t>
      </w:r>
      <w:r w:rsidRPr="00A93530">
        <w:rPr>
          <w:b w:val="0"/>
          <w:noProof/>
          <w:sz w:val="18"/>
        </w:rPr>
        <w:tab/>
      </w:r>
      <w:r w:rsidRPr="00A93530">
        <w:rPr>
          <w:b w:val="0"/>
          <w:noProof/>
          <w:sz w:val="18"/>
        </w:rPr>
        <w:fldChar w:fldCharType="begin"/>
      </w:r>
      <w:r w:rsidRPr="00A93530">
        <w:rPr>
          <w:b w:val="0"/>
          <w:noProof/>
          <w:sz w:val="18"/>
        </w:rPr>
        <w:instrText xml:space="preserve"> PAGEREF _Toc532465305 \h </w:instrText>
      </w:r>
      <w:r w:rsidRPr="00A93530">
        <w:rPr>
          <w:b w:val="0"/>
          <w:noProof/>
          <w:sz w:val="18"/>
        </w:rPr>
      </w:r>
      <w:r w:rsidRPr="00A93530">
        <w:rPr>
          <w:b w:val="0"/>
          <w:noProof/>
          <w:sz w:val="18"/>
        </w:rPr>
        <w:fldChar w:fldCharType="separate"/>
      </w:r>
      <w:r w:rsidRPr="00A93530">
        <w:rPr>
          <w:b w:val="0"/>
          <w:noProof/>
          <w:sz w:val="18"/>
        </w:rPr>
        <w:t>54</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w:t>
      </w:r>
      <w:r>
        <w:rPr>
          <w:noProof/>
        </w:rPr>
        <w:tab/>
        <w:t>Exempt laws</w:t>
      </w:r>
      <w:r w:rsidRPr="00A93530">
        <w:rPr>
          <w:noProof/>
        </w:rPr>
        <w:tab/>
      </w:r>
      <w:r w:rsidRPr="00A93530">
        <w:rPr>
          <w:noProof/>
        </w:rPr>
        <w:fldChar w:fldCharType="begin"/>
      </w:r>
      <w:r w:rsidRPr="00A93530">
        <w:rPr>
          <w:noProof/>
        </w:rPr>
        <w:instrText xml:space="preserve"> PAGEREF _Toc532465306 \h </w:instrText>
      </w:r>
      <w:r w:rsidRPr="00A93530">
        <w:rPr>
          <w:noProof/>
        </w:rPr>
      </w:r>
      <w:r w:rsidRPr="00A93530">
        <w:rPr>
          <w:noProof/>
        </w:rPr>
        <w:fldChar w:fldCharType="separate"/>
      </w:r>
      <w:r w:rsidRPr="00A93530">
        <w:rPr>
          <w:noProof/>
        </w:rPr>
        <w:t>54</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w:t>
      </w:r>
      <w:r>
        <w:rPr>
          <w:noProof/>
        </w:rPr>
        <w:tab/>
        <w:t>Medical practitioners</w:t>
      </w:r>
      <w:r w:rsidRPr="00A93530">
        <w:rPr>
          <w:noProof/>
        </w:rPr>
        <w:tab/>
      </w:r>
      <w:r w:rsidRPr="00A93530">
        <w:rPr>
          <w:noProof/>
        </w:rPr>
        <w:fldChar w:fldCharType="begin"/>
      </w:r>
      <w:r w:rsidRPr="00A93530">
        <w:rPr>
          <w:noProof/>
        </w:rPr>
        <w:instrText xml:space="preserve"> PAGEREF _Toc532465307 \h </w:instrText>
      </w:r>
      <w:r w:rsidRPr="00A93530">
        <w:rPr>
          <w:noProof/>
        </w:rPr>
      </w:r>
      <w:r w:rsidRPr="00A93530">
        <w:rPr>
          <w:noProof/>
        </w:rPr>
        <w:fldChar w:fldCharType="separate"/>
      </w:r>
      <w:r w:rsidRPr="00A93530">
        <w:rPr>
          <w:noProof/>
        </w:rPr>
        <w:t>54</w:t>
      </w:r>
      <w:r w:rsidRPr="00A93530">
        <w:rPr>
          <w:noProof/>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Schedule 5—Privacy of information collected under the Act</w:t>
      </w:r>
      <w:r w:rsidRPr="00A93530">
        <w:rPr>
          <w:b w:val="0"/>
          <w:noProof/>
          <w:sz w:val="18"/>
        </w:rPr>
        <w:tab/>
      </w:r>
      <w:r w:rsidRPr="00A93530">
        <w:rPr>
          <w:b w:val="0"/>
          <w:noProof/>
          <w:sz w:val="18"/>
        </w:rPr>
        <w:fldChar w:fldCharType="begin"/>
      </w:r>
      <w:r w:rsidRPr="00A93530">
        <w:rPr>
          <w:b w:val="0"/>
          <w:noProof/>
          <w:sz w:val="18"/>
        </w:rPr>
        <w:instrText xml:space="preserve"> PAGEREF _Toc532465308 \h </w:instrText>
      </w:r>
      <w:r w:rsidRPr="00A93530">
        <w:rPr>
          <w:b w:val="0"/>
          <w:noProof/>
          <w:sz w:val="18"/>
        </w:rPr>
      </w:r>
      <w:r w:rsidRPr="00A93530">
        <w:rPr>
          <w:b w:val="0"/>
          <w:noProof/>
          <w:sz w:val="18"/>
        </w:rPr>
        <w:fldChar w:fldCharType="separate"/>
      </w:r>
      <w:r w:rsidRPr="00A93530">
        <w:rPr>
          <w:b w:val="0"/>
          <w:noProof/>
          <w:sz w:val="18"/>
        </w:rPr>
        <w:t>55</w:t>
      </w:r>
      <w:r w:rsidRPr="00A93530">
        <w:rPr>
          <w:b w:val="0"/>
          <w:noProof/>
          <w:sz w:val="18"/>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Part 1—Interpretation</w:t>
      </w:r>
      <w:r w:rsidRPr="00A93530">
        <w:rPr>
          <w:b w:val="0"/>
          <w:noProof/>
          <w:sz w:val="18"/>
        </w:rPr>
        <w:tab/>
      </w:r>
      <w:r w:rsidRPr="00A93530">
        <w:rPr>
          <w:b w:val="0"/>
          <w:noProof/>
          <w:sz w:val="18"/>
        </w:rPr>
        <w:fldChar w:fldCharType="begin"/>
      </w:r>
      <w:r w:rsidRPr="00A93530">
        <w:rPr>
          <w:b w:val="0"/>
          <w:noProof/>
          <w:sz w:val="18"/>
        </w:rPr>
        <w:instrText xml:space="preserve"> PAGEREF _Toc532465309 \h </w:instrText>
      </w:r>
      <w:r w:rsidRPr="00A93530">
        <w:rPr>
          <w:b w:val="0"/>
          <w:noProof/>
          <w:sz w:val="18"/>
        </w:rPr>
      </w:r>
      <w:r w:rsidRPr="00A93530">
        <w:rPr>
          <w:b w:val="0"/>
          <w:noProof/>
          <w:sz w:val="18"/>
        </w:rPr>
        <w:fldChar w:fldCharType="separate"/>
      </w:r>
      <w:r w:rsidRPr="00A93530">
        <w:rPr>
          <w:b w:val="0"/>
          <w:noProof/>
          <w:sz w:val="18"/>
        </w:rPr>
        <w:t>55</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1</w:t>
      </w:r>
      <w:r>
        <w:rPr>
          <w:noProof/>
        </w:rPr>
        <w:tab/>
        <w:t>Interpretation</w:t>
      </w:r>
      <w:r w:rsidRPr="00A93530">
        <w:rPr>
          <w:noProof/>
        </w:rPr>
        <w:tab/>
      </w:r>
      <w:r w:rsidRPr="00A93530">
        <w:rPr>
          <w:noProof/>
        </w:rPr>
        <w:fldChar w:fldCharType="begin"/>
      </w:r>
      <w:r w:rsidRPr="00A93530">
        <w:rPr>
          <w:noProof/>
        </w:rPr>
        <w:instrText xml:space="preserve"> PAGEREF _Toc532465310 \h </w:instrText>
      </w:r>
      <w:r w:rsidRPr="00A93530">
        <w:rPr>
          <w:noProof/>
        </w:rPr>
      </w:r>
      <w:r w:rsidRPr="00A93530">
        <w:rPr>
          <w:noProof/>
        </w:rPr>
        <w:fldChar w:fldCharType="separate"/>
      </w:r>
      <w:r w:rsidRPr="00A93530">
        <w:rPr>
          <w:noProof/>
        </w:rPr>
        <w:t>55</w:t>
      </w:r>
      <w:r w:rsidRPr="00A93530">
        <w:rPr>
          <w:noProof/>
        </w:rPr>
        <w:fldChar w:fldCharType="end"/>
      </w:r>
    </w:p>
    <w:p w:rsidR="00A93530" w:rsidRDefault="00A93530">
      <w:pPr>
        <w:pStyle w:val="TOC2"/>
        <w:rPr>
          <w:rFonts w:asciiTheme="minorHAnsi" w:eastAsiaTheme="minorEastAsia" w:hAnsiTheme="minorHAnsi" w:cstheme="minorBidi"/>
          <w:b w:val="0"/>
          <w:noProof/>
          <w:kern w:val="0"/>
          <w:sz w:val="22"/>
          <w:szCs w:val="22"/>
        </w:rPr>
      </w:pPr>
      <w:r>
        <w:rPr>
          <w:noProof/>
        </w:rPr>
        <w:t>Part 2—Principles</w:t>
      </w:r>
      <w:r w:rsidRPr="00A93530">
        <w:rPr>
          <w:b w:val="0"/>
          <w:noProof/>
          <w:sz w:val="18"/>
        </w:rPr>
        <w:tab/>
      </w:r>
      <w:r w:rsidRPr="00A93530">
        <w:rPr>
          <w:b w:val="0"/>
          <w:noProof/>
          <w:sz w:val="18"/>
        </w:rPr>
        <w:fldChar w:fldCharType="begin"/>
      </w:r>
      <w:r w:rsidRPr="00A93530">
        <w:rPr>
          <w:b w:val="0"/>
          <w:noProof/>
          <w:sz w:val="18"/>
        </w:rPr>
        <w:instrText xml:space="preserve"> PAGEREF _Toc532465311 \h </w:instrText>
      </w:r>
      <w:r w:rsidRPr="00A93530">
        <w:rPr>
          <w:b w:val="0"/>
          <w:noProof/>
          <w:sz w:val="18"/>
        </w:rPr>
      </w:r>
      <w:r w:rsidRPr="00A93530">
        <w:rPr>
          <w:b w:val="0"/>
          <w:noProof/>
          <w:sz w:val="18"/>
        </w:rPr>
        <w:fldChar w:fldCharType="separate"/>
      </w:r>
      <w:r w:rsidRPr="00A93530">
        <w:rPr>
          <w:b w:val="0"/>
          <w:noProof/>
          <w:sz w:val="18"/>
        </w:rPr>
        <w:t>57</w:t>
      </w:r>
      <w:r w:rsidRPr="00A93530">
        <w:rPr>
          <w:b w:val="0"/>
          <w:noProof/>
          <w:sz w:val="18"/>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2</w:t>
      </w:r>
      <w:r>
        <w:rPr>
          <w:noProof/>
        </w:rPr>
        <w:tab/>
        <w:t>Solicitation of personal information from individual concerned</w:t>
      </w:r>
      <w:r w:rsidRPr="00A93530">
        <w:rPr>
          <w:noProof/>
        </w:rPr>
        <w:tab/>
      </w:r>
      <w:r w:rsidRPr="00A93530">
        <w:rPr>
          <w:noProof/>
        </w:rPr>
        <w:fldChar w:fldCharType="begin"/>
      </w:r>
      <w:r w:rsidRPr="00A93530">
        <w:rPr>
          <w:noProof/>
        </w:rPr>
        <w:instrText xml:space="preserve"> PAGEREF _Toc532465312 \h </w:instrText>
      </w:r>
      <w:r w:rsidRPr="00A93530">
        <w:rPr>
          <w:noProof/>
        </w:rPr>
      </w:r>
      <w:r w:rsidRPr="00A93530">
        <w:rPr>
          <w:noProof/>
        </w:rPr>
        <w:fldChar w:fldCharType="separate"/>
      </w:r>
      <w:r w:rsidRPr="00A93530">
        <w:rPr>
          <w:noProof/>
        </w:rPr>
        <w:t>57</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3</w:t>
      </w:r>
      <w:r>
        <w:rPr>
          <w:noProof/>
        </w:rPr>
        <w:tab/>
        <w:t>Storage and security of personal information</w:t>
      </w:r>
      <w:r w:rsidRPr="00A93530">
        <w:rPr>
          <w:noProof/>
        </w:rPr>
        <w:tab/>
      </w:r>
      <w:r w:rsidRPr="00A93530">
        <w:rPr>
          <w:noProof/>
        </w:rPr>
        <w:fldChar w:fldCharType="begin"/>
      </w:r>
      <w:r w:rsidRPr="00A93530">
        <w:rPr>
          <w:noProof/>
        </w:rPr>
        <w:instrText xml:space="preserve"> PAGEREF _Toc532465313 \h </w:instrText>
      </w:r>
      <w:r w:rsidRPr="00A93530">
        <w:rPr>
          <w:noProof/>
        </w:rPr>
      </w:r>
      <w:r w:rsidRPr="00A93530">
        <w:rPr>
          <w:noProof/>
        </w:rPr>
        <w:fldChar w:fldCharType="separate"/>
      </w:r>
      <w:r w:rsidRPr="00A93530">
        <w:rPr>
          <w:noProof/>
        </w:rPr>
        <w:t>57</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4</w:t>
      </w:r>
      <w:r>
        <w:rPr>
          <w:noProof/>
        </w:rPr>
        <w:tab/>
        <w:t>Limits on use of personal information</w:t>
      </w:r>
      <w:r w:rsidRPr="00A93530">
        <w:rPr>
          <w:noProof/>
        </w:rPr>
        <w:tab/>
      </w:r>
      <w:r w:rsidRPr="00A93530">
        <w:rPr>
          <w:noProof/>
        </w:rPr>
        <w:fldChar w:fldCharType="begin"/>
      </w:r>
      <w:r w:rsidRPr="00A93530">
        <w:rPr>
          <w:noProof/>
        </w:rPr>
        <w:instrText xml:space="preserve"> PAGEREF _Toc532465314 \h </w:instrText>
      </w:r>
      <w:r w:rsidRPr="00A93530">
        <w:rPr>
          <w:noProof/>
        </w:rPr>
      </w:r>
      <w:r w:rsidRPr="00A93530">
        <w:rPr>
          <w:noProof/>
        </w:rPr>
        <w:fldChar w:fldCharType="separate"/>
      </w:r>
      <w:r w:rsidRPr="00A93530">
        <w:rPr>
          <w:noProof/>
        </w:rPr>
        <w:t>58</w:t>
      </w:r>
      <w:r w:rsidRPr="00A93530">
        <w:rPr>
          <w:noProof/>
        </w:rPr>
        <w:fldChar w:fldCharType="end"/>
      </w:r>
    </w:p>
    <w:p w:rsidR="00A93530" w:rsidRDefault="00A93530">
      <w:pPr>
        <w:pStyle w:val="TOC5"/>
        <w:rPr>
          <w:rFonts w:asciiTheme="minorHAnsi" w:eastAsiaTheme="minorEastAsia" w:hAnsiTheme="minorHAnsi" w:cstheme="minorBidi"/>
          <w:noProof/>
          <w:kern w:val="0"/>
          <w:sz w:val="22"/>
          <w:szCs w:val="22"/>
        </w:rPr>
      </w:pPr>
      <w:r>
        <w:rPr>
          <w:noProof/>
        </w:rPr>
        <w:t>5</w:t>
      </w:r>
      <w:r>
        <w:rPr>
          <w:noProof/>
        </w:rPr>
        <w:tab/>
        <w:t>Limits on disclosure for personal information</w:t>
      </w:r>
      <w:r w:rsidRPr="00A93530">
        <w:rPr>
          <w:noProof/>
        </w:rPr>
        <w:tab/>
      </w:r>
      <w:r w:rsidRPr="00A93530">
        <w:rPr>
          <w:noProof/>
        </w:rPr>
        <w:fldChar w:fldCharType="begin"/>
      </w:r>
      <w:r w:rsidRPr="00A93530">
        <w:rPr>
          <w:noProof/>
        </w:rPr>
        <w:instrText xml:space="preserve"> PAGEREF _Toc532465315 \h </w:instrText>
      </w:r>
      <w:r w:rsidRPr="00A93530">
        <w:rPr>
          <w:noProof/>
        </w:rPr>
      </w:r>
      <w:r w:rsidRPr="00A93530">
        <w:rPr>
          <w:noProof/>
        </w:rPr>
        <w:fldChar w:fldCharType="separate"/>
      </w:r>
      <w:r w:rsidRPr="00A93530">
        <w:rPr>
          <w:noProof/>
        </w:rPr>
        <w:t>58</w:t>
      </w:r>
      <w:r w:rsidRPr="00A93530">
        <w:rPr>
          <w:noProof/>
        </w:rPr>
        <w:fldChar w:fldCharType="end"/>
      </w:r>
    </w:p>
    <w:p w:rsidR="00A93530" w:rsidRDefault="00A93530" w:rsidP="00A93530">
      <w:pPr>
        <w:pStyle w:val="TOC2"/>
        <w:rPr>
          <w:rFonts w:asciiTheme="minorHAnsi" w:eastAsiaTheme="minorEastAsia" w:hAnsiTheme="minorHAnsi" w:cstheme="minorBidi"/>
          <w:b w:val="0"/>
          <w:noProof/>
          <w:kern w:val="0"/>
          <w:sz w:val="22"/>
          <w:szCs w:val="22"/>
        </w:rPr>
      </w:pPr>
      <w:r>
        <w:rPr>
          <w:noProof/>
        </w:rPr>
        <w:t>Endnotes</w:t>
      </w:r>
      <w:r w:rsidRPr="00A93530">
        <w:rPr>
          <w:b w:val="0"/>
          <w:noProof/>
          <w:sz w:val="18"/>
        </w:rPr>
        <w:tab/>
      </w:r>
      <w:r w:rsidRPr="00A93530">
        <w:rPr>
          <w:b w:val="0"/>
          <w:noProof/>
          <w:sz w:val="18"/>
        </w:rPr>
        <w:fldChar w:fldCharType="begin"/>
      </w:r>
      <w:r w:rsidRPr="00A93530">
        <w:rPr>
          <w:b w:val="0"/>
          <w:noProof/>
          <w:sz w:val="18"/>
        </w:rPr>
        <w:instrText xml:space="preserve"> PAGEREF _Toc532465316 \h </w:instrText>
      </w:r>
      <w:r w:rsidRPr="00A93530">
        <w:rPr>
          <w:b w:val="0"/>
          <w:noProof/>
          <w:sz w:val="18"/>
        </w:rPr>
      </w:r>
      <w:r w:rsidRPr="00A93530">
        <w:rPr>
          <w:b w:val="0"/>
          <w:noProof/>
          <w:sz w:val="18"/>
        </w:rPr>
        <w:fldChar w:fldCharType="separate"/>
      </w:r>
      <w:r w:rsidRPr="00A93530">
        <w:rPr>
          <w:b w:val="0"/>
          <w:noProof/>
          <w:sz w:val="18"/>
        </w:rPr>
        <w:t>60</w:t>
      </w:r>
      <w:r w:rsidRPr="00A93530">
        <w:rPr>
          <w:b w:val="0"/>
          <w:noProof/>
          <w:sz w:val="18"/>
        </w:rPr>
        <w:fldChar w:fldCharType="end"/>
      </w:r>
    </w:p>
    <w:p w:rsidR="00A93530" w:rsidRDefault="00A93530">
      <w:pPr>
        <w:pStyle w:val="TOC3"/>
        <w:rPr>
          <w:rFonts w:asciiTheme="minorHAnsi" w:eastAsiaTheme="minorEastAsia" w:hAnsiTheme="minorHAnsi" w:cstheme="minorBidi"/>
          <w:b w:val="0"/>
          <w:noProof/>
          <w:kern w:val="0"/>
          <w:szCs w:val="22"/>
        </w:rPr>
      </w:pPr>
      <w:r>
        <w:rPr>
          <w:noProof/>
        </w:rPr>
        <w:t>Endnote 1—About the endnotes</w:t>
      </w:r>
      <w:r w:rsidRPr="00A93530">
        <w:rPr>
          <w:b w:val="0"/>
          <w:noProof/>
          <w:sz w:val="18"/>
        </w:rPr>
        <w:tab/>
      </w:r>
      <w:r w:rsidRPr="00A93530">
        <w:rPr>
          <w:b w:val="0"/>
          <w:noProof/>
          <w:sz w:val="18"/>
        </w:rPr>
        <w:fldChar w:fldCharType="begin"/>
      </w:r>
      <w:r w:rsidRPr="00A93530">
        <w:rPr>
          <w:b w:val="0"/>
          <w:noProof/>
          <w:sz w:val="18"/>
        </w:rPr>
        <w:instrText xml:space="preserve"> PAGEREF _Toc532465317 \h </w:instrText>
      </w:r>
      <w:r w:rsidRPr="00A93530">
        <w:rPr>
          <w:b w:val="0"/>
          <w:noProof/>
          <w:sz w:val="18"/>
        </w:rPr>
      </w:r>
      <w:r w:rsidRPr="00A93530">
        <w:rPr>
          <w:b w:val="0"/>
          <w:noProof/>
          <w:sz w:val="18"/>
        </w:rPr>
        <w:fldChar w:fldCharType="separate"/>
      </w:r>
      <w:r w:rsidRPr="00A93530">
        <w:rPr>
          <w:b w:val="0"/>
          <w:noProof/>
          <w:sz w:val="18"/>
        </w:rPr>
        <w:t>60</w:t>
      </w:r>
      <w:r w:rsidRPr="00A93530">
        <w:rPr>
          <w:b w:val="0"/>
          <w:noProof/>
          <w:sz w:val="18"/>
        </w:rPr>
        <w:fldChar w:fldCharType="end"/>
      </w:r>
    </w:p>
    <w:p w:rsidR="00A93530" w:rsidRDefault="00A93530">
      <w:pPr>
        <w:pStyle w:val="TOC3"/>
        <w:rPr>
          <w:rFonts w:asciiTheme="minorHAnsi" w:eastAsiaTheme="minorEastAsia" w:hAnsiTheme="minorHAnsi" w:cstheme="minorBidi"/>
          <w:b w:val="0"/>
          <w:noProof/>
          <w:kern w:val="0"/>
          <w:szCs w:val="22"/>
        </w:rPr>
      </w:pPr>
      <w:r>
        <w:rPr>
          <w:noProof/>
        </w:rPr>
        <w:t>Endnote 2—Abbreviation key</w:t>
      </w:r>
      <w:r w:rsidRPr="00A93530">
        <w:rPr>
          <w:b w:val="0"/>
          <w:noProof/>
          <w:sz w:val="18"/>
        </w:rPr>
        <w:tab/>
      </w:r>
      <w:r w:rsidRPr="00A93530">
        <w:rPr>
          <w:b w:val="0"/>
          <w:noProof/>
          <w:sz w:val="18"/>
        </w:rPr>
        <w:fldChar w:fldCharType="begin"/>
      </w:r>
      <w:r w:rsidRPr="00A93530">
        <w:rPr>
          <w:b w:val="0"/>
          <w:noProof/>
          <w:sz w:val="18"/>
        </w:rPr>
        <w:instrText xml:space="preserve"> PAGEREF _Toc532465318 \h </w:instrText>
      </w:r>
      <w:r w:rsidRPr="00A93530">
        <w:rPr>
          <w:b w:val="0"/>
          <w:noProof/>
          <w:sz w:val="18"/>
        </w:rPr>
      </w:r>
      <w:r w:rsidRPr="00A93530">
        <w:rPr>
          <w:b w:val="0"/>
          <w:noProof/>
          <w:sz w:val="18"/>
        </w:rPr>
        <w:fldChar w:fldCharType="separate"/>
      </w:r>
      <w:r w:rsidRPr="00A93530">
        <w:rPr>
          <w:b w:val="0"/>
          <w:noProof/>
          <w:sz w:val="18"/>
        </w:rPr>
        <w:t>62</w:t>
      </w:r>
      <w:r w:rsidRPr="00A93530">
        <w:rPr>
          <w:b w:val="0"/>
          <w:noProof/>
          <w:sz w:val="18"/>
        </w:rPr>
        <w:fldChar w:fldCharType="end"/>
      </w:r>
    </w:p>
    <w:p w:rsidR="00A93530" w:rsidRDefault="00A93530">
      <w:pPr>
        <w:pStyle w:val="TOC3"/>
        <w:rPr>
          <w:rFonts w:asciiTheme="minorHAnsi" w:eastAsiaTheme="minorEastAsia" w:hAnsiTheme="minorHAnsi" w:cstheme="minorBidi"/>
          <w:b w:val="0"/>
          <w:noProof/>
          <w:kern w:val="0"/>
          <w:szCs w:val="22"/>
        </w:rPr>
      </w:pPr>
      <w:r>
        <w:rPr>
          <w:noProof/>
        </w:rPr>
        <w:t>Endnote 3—Legislation history</w:t>
      </w:r>
      <w:r w:rsidRPr="00A93530">
        <w:rPr>
          <w:b w:val="0"/>
          <w:noProof/>
          <w:sz w:val="18"/>
        </w:rPr>
        <w:tab/>
      </w:r>
      <w:r w:rsidRPr="00A93530">
        <w:rPr>
          <w:b w:val="0"/>
          <w:noProof/>
          <w:sz w:val="18"/>
        </w:rPr>
        <w:fldChar w:fldCharType="begin"/>
      </w:r>
      <w:r w:rsidRPr="00A93530">
        <w:rPr>
          <w:b w:val="0"/>
          <w:noProof/>
          <w:sz w:val="18"/>
        </w:rPr>
        <w:instrText xml:space="preserve"> PAGEREF _Toc532465319 \h </w:instrText>
      </w:r>
      <w:r w:rsidRPr="00A93530">
        <w:rPr>
          <w:b w:val="0"/>
          <w:noProof/>
          <w:sz w:val="18"/>
        </w:rPr>
      </w:r>
      <w:r w:rsidRPr="00A93530">
        <w:rPr>
          <w:b w:val="0"/>
          <w:noProof/>
          <w:sz w:val="18"/>
        </w:rPr>
        <w:fldChar w:fldCharType="separate"/>
      </w:r>
      <w:r w:rsidRPr="00A93530">
        <w:rPr>
          <w:b w:val="0"/>
          <w:noProof/>
          <w:sz w:val="18"/>
        </w:rPr>
        <w:t>63</w:t>
      </w:r>
      <w:r w:rsidRPr="00A93530">
        <w:rPr>
          <w:b w:val="0"/>
          <w:noProof/>
          <w:sz w:val="18"/>
        </w:rPr>
        <w:fldChar w:fldCharType="end"/>
      </w:r>
    </w:p>
    <w:p w:rsidR="00A93530" w:rsidRDefault="00A93530">
      <w:pPr>
        <w:pStyle w:val="TOC3"/>
        <w:rPr>
          <w:rFonts w:asciiTheme="minorHAnsi" w:eastAsiaTheme="minorEastAsia" w:hAnsiTheme="minorHAnsi" w:cstheme="minorBidi"/>
          <w:b w:val="0"/>
          <w:noProof/>
          <w:kern w:val="0"/>
          <w:szCs w:val="22"/>
        </w:rPr>
      </w:pPr>
      <w:r>
        <w:rPr>
          <w:noProof/>
        </w:rPr>
        <w:t>Endnote 4—Amendment history</w:t>
      </w:r>
      <w:r w:rsidRPr="00A93530">
        <w:rPr>
          <w:b w:val="0"/>
          <w:noProof/>
          <w:sz w:val="18"/>
        </w:rPr>
        <w:tab/>
      </w:r>
      <w:r w:rsidRPr="00A93530">
        <w:rPr>
          <w:b w:val="0"/>
          <w:noProof/>
          <w:sz w:val="18"/>
        </w:rPr>
        <w:fldChar w:fldCharType="begin"/>
      </w:r>
      <w:r w:rsidRPr="00A93530">
        <w:rPr>
          <w:b w:val="0"/>
          <w:noProof/>
          <w:sz w:val="18"/>
        </w:rPr>
        <w:instrText xml:space="preserve"> PAGEREF _Toc532465320 \h </w:instrText>
      </w:r>
      <w:r w:rsidRPr="00A93530">
        <w:rPr>
          <w:b w:val="0"/>
          <w:noProof/>
          <w:sz w:val="18"/>
        </w:rPr>
      </w:r>
      <w:r w:rsidRPr="00A93530">
        <w:rPr>
          <w:b w:val="0"/>
          <w:noProof/>
          <w:sz w:val="18"/>
        </w:rPr>
        <w:fldChar w:fldCharType="separate"/>
      </w:r>
      <w:r w:rsidRPr="00A93530">
        <w:rPr>
          <w:b w:val="0"/>
          <w:noProof/>
          <w:sz w:val="18"/>
        </w:rPr>
        <w:t>65</w:t>
      </w:r>
      <w:r w:rsidRPr="00A93530">
        <w:rPr>
          <w:b w:val="0"/>
          <w:noProof/>
          <w:sz w:val="18"/>
        </w:rPr>
        <w:fldChar w:fldCharType="end"/>
      </w:r>
    </w:p>
    <w:p w:rsidR="00BE5F14" w:rsidRPr="00F673EE" w:rsidRDefault="00841387" w:rsidP="00BE5F14">
      <w:pPr>
        <w:sectPr w:rsidR="00BE5F14" w:rsidRPr="00F673EE" w:rsidSect="00DC7DD5">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F673EE">
        <w:fldChar w:fldCharType="end"/>
      </w:r>
    </w:p>
    <w:p w:rsidR="00AF1440" w:rsidRPr="00F673EE" w:rsidRDefault="00AF1440" w:rsidP="00EA143F">
      <w:pPr>
        <w:pStyle w:val="LongT"/>
      </w:pPr>
      <w:r w:rsidRPr="00F673EE">
        <w:lastRenderedPageBreak/>
        <w:t xml:space="preserve">An Act to provide for the recognition within </w:t>
      </w:r>
      <w:smartTag w:uri="urn:schemas-microsoft-com:office:smarttags" w:element="country-region">
        <w:smartTag w:uri="urn:schemas-microsoft-com:office:smarttags" w:element="place">
          <w:r w:rsidRPr="00F673EE">
            <w:t>Australia</w:t>
          </w:r>
        </w:smartTag>
      </w:smartTag>
      <w:r w:rsidRPr="00F673EE">
        <w:t xml:space="preserve"> of regulatory standards adopted in </w:t>
      </w:r>
      <w:smartTag w:uri="urn:schemas-microsoft-com:office:smarttags" w:element="country-region">
        <w:smartTag w:uri="urn:schemas-microsoft-com:office:smarttags" w:element="place">
          <w:r w:rsidRPr="00F673EE">
            <w:t>New Zealand</w:t>
          </w:r>
        </w:smartTag>
      </w:smartTag>
      <w:r w:rsidRPr="00F673EE">
        <w:t xml:space="preserve"> regarding goods and occupations</w:t>
      </w:r>
    </w:p>
    <w:p w:rsidR="00AF1440" w:rsidRPr="00F673EE" w:rsidRDefault="00AF1440" w:rsidP="00AF1440">
      <w:pPr>
        <w:pStyle w:val="ActHead2"/>
      </w:pPr>
      <w:bookmarkStart w:id="0" w:name="_Toc532465218"/>
      <w:r w:rsidRPr="00F673EE">
        <w:rPr>
          <w:rStyle w:val="CharPartNo"/>
        </w:rPr>
        <w:t>Part</w:t>
      </w:r>
      <w:r w:rsidR="00F673EE" w:rsidRPr="00F673EE">
        <w:rPr>
          <w:rStyle w:val="CharPartNo"/>
        </w:rPr>
        <w:t> </w:t>
      </w:r>
      <w:r w:rsidRPr="00F673EE">
        <w:rPr>
          <w:rStyle w:val="CharPartNo"/>
        </w:rPr>
        <w:t>1</w:t>
      </w:r>
      <w:r w:rsidRPr="00F673EE">
        <w:t>—</w:t>
      </w:r>
      <w:r w:rsidRPr="00F673EE">
        <w:rPr>
          <w:rStyle w:val="CharPartText"/>
        </w:rPr>
        <w:t>Preliminary</w:t>
      </w:r>
      <w:bookmarkEnd w:id="0"/>
    </w:p>
    <w:p w:rsidR="00AF1440" w:rsidRPr="00F673EE" w:rsidRDefault="00AF1440" w:rsidP="00AF1440">
      <w:pPr>
        <w:pStyle w:val="ActHead5"/>
      </w:pPr>
      <w:bookmarkStart w:id="1" w:name="_Toc532465219"/>
      <w:r w:rsidRPr="00F673EE">
        <w:rPr>
          <w:rStyle w:val="CharSectno"/>
        </w:rPr>
        <w:t>1</w:t>
      </w:r>
      <w:r w:rsidRPr="00F673EE">
        <w:t xml:space="preserve">  Short title</w:t>
      </w:r>
      <w:bookmarkEnd w:id="1"/>
    </w:p>
    <w:p w:rsidR="00AF1440" w:rsidRPr="00F673EE" w:rsidRDefault="00AF1440" w:rsidP="00AF1440">
      <w:pPr>
        <w:pStyle w:val="subsection"/>
      </w:pPr>
      <w:r w:rsidRPr="00F673EE">
        <w:tab/>
      </w:r>
      <w:r w:rsidRPr="00F673EE">
        <w:tab/>
        <w:t xml:space="preserve">This Act may be cited as the </w:t>
      </w:r>
      <w:r w:rsidRPr="00F673EE">
        <w:rPr>
          <w:i/>
        </w:rPr>
        <w:t>Trans</w:t>
      </w:r>
      <w:r w:rsidR="00F673EE">
        <w:rPr>
          <w:i/>
        </w:rPr>
        <w:noBreakHyphen/>
      </w:r>
      <w:r w:rsidRPr="00F673EE">
        <w:rPr>
          <w:i/>
        </w:rPr>
        <w:t>Tasman Mutual Recognition Act 1997</w:t>
      </w:r>
      <w:r w:rsidRPr="00F673EE">
        <w:t>.</w:t>
      </w:r>
    </w:p>
    <w:p w:rsidR="00AF1440" w:rsidRPr="00F673EE" w:rsidRDefault="00AF1440" w:rsidP="00AF1440">
      <w:pPr>
        <w:pStyle w:val="ActHead5"/>
      </w:pPr>
      <w:bookmarkStart w:id="2" w:name="_Toc532465220"/>
      <w:r w:rsidRPr="00F673EE">
        <w:rPr>
          <w:rStyle w:val="CharSectno"/>
        </w:rPr>
        <w:t>2</w:t>
      </w:r>
      <w:r w:rsidRPr="00F673EE">
        <w:t xml:space="preserve">  Commencement</w:t>
      </w:r>
      <w:bookmarkEnd w:id="2"/>
    </w:p>
    <w:p w:rsidR="00AF1440" w:rsidRPr="00F673EE" w:rsidRDefault="00AF1440" w:rsidP="00AF1440">
      <w:pPr>
        <w:pStyle w:val="subsection"/>
      </w:pPr>
      <w:r w:rsidRPr="00F673EE">
        <w:tab/>
        <w:t>(1)</w:t>
      </w:r>
      <w:r w:rsidRPr="00F673EE">
        <w:tab/>
        <w:t>This Part commences on the day on which this Act receives the Royal Assent.</w:t>
      </w:r>
    </w:p>
    <w:p w:rsidR="00AF1440" w:rsidRPr="00F673EE" w:rsidRDefault="00AF1440" w:rsidP="00AF1440">
      <w:pPr>
        <w:pStyle w:val="subsection"/>
      </w:pPr>
      <w:r w:rsidRPr="00F673EE">
        <w:tab/>
        <w:t>(2)</w:t>
      </w:r>
      <w:r w:rsidRPr="00F673EE">
        <w:tab/>
        <w:t>The remaining provisions of this Act commence on a day or days to be fixed by Proclamation.</w:t>
      </w:r>
    </w:p>
    <w:p w:rsidR="00AF1440" w:rsidRPr="00F673EE" w:rsidRDefault="00AF1440" w:rsidP="00AF1440">
      <w:pPr>
        <w:pStyle w:val="ActHead5"/>
      </w:pPr>
      <w:bookmarkStart w:id="3" w:name="_Toc532465221"/>
      <w:r w:rsidRPr="00F673EE">
        <w:rPr>
          <w:rStyle w:val="CharSectno"/>
        </w:rPr>
        <w:t>3</w:t>
      </w:r>
      <w:r w:rsidRPr="00F673EE">
        <w:t xml:space="preserve">  Principal purpose</w:t>
      </w:r>
      <w:bookmarkEnd w:id="3"/>
    </w:p>
    <w:p w:rsidR="00AF1440" w:rsidRPr="00F673EE" w:rsidRDefault="00AF1440" w:rsidP="00AF1440">
      <w:pPr>
        <w:pStyle w:val="subsection"/>
      </w:pPr>
      <w:bookmarkStart w:id="4" w:name="_GoBack"/>
      <w:bookmarkEnd w:id="4"/>
      <w:r w:rsidRPr="00F673EE">
        <w:tab/>
        <w:t>(1)</w:t>
      </w:r>
      <w:r w:rsidRPr="00F673EE">
        <w:tab/>
        <w:t xml:space="preserve">The principal purpose of this Act is to enact legislation authorised by the Parliaments of States under </w:t>
      </w:r>
      <w:r w:rsidR="00F673EE">
        <w:t>paragraph (</w:t>
      </w:r>
      <w:r w:rsidRPr="00F673EE">
        <w:t>xxxvii) of section</w:t>
      </w:r>
      <w:r w:rsidR="00F673EE">
        <w:t> </w:t>
      </w:r>
      <w:r w:rsidRPr="00F673EE">
        <w:t xml:space="preserve">51 of the Commonwealth Constitution, and requested by the legislatures of the </w:t>
      </w:r>
      <w:smartTag w:uri="urn:schemas-microsoft-com:office:smarttags" w:element="State">
        <w:smartTag w:uri="urn:schemas-microsoft-com:office:smarttags" w:element="place">
          <w:r w:rsidRPr="00F673EE">
            <w:t>Australian Capital Territory</w:t>
          </w:r>
        </w:smartTag>
      </w:smartTag>
      <w:r w:rsidRPr="00F673EE">
        <w:t xml:space="preserve"> and the </w:t>
      </w:r>
      <w:smartTag w:uri="urn:schemas-microsoft-com:office:smarttags" w:element="State">
        <w:smartTag w:uri="urn:schemas-microsoft-com:office:smarttags" w:element="place">
          <w:r w:rsidRPr="00F673EE">
            <w:t>Northern Territory</w:t>
          </w:r>
        </w:smartTag>
      </w:smartTag>
      <w:r w:rsidRPr="00F673EE">
        <w:t xml:space="preserve">, for the purpose of recognising within </w:t>
      </w:r>
      <w:smartTag w:uri="urn:schemas-microsoft-com:office:smarttags" w:element="country-region">
        <w:smartTag w:uri="urn:schemas-microsoft-com:office:smarttags" w:element="place">
          <w:r w:rsidRPr="00F673EE">
            <w:t>Australia</w:t>
          </w:r>
        </w:smartTag>
      </w:smartTag>
      <w:r w:rsidRPr="00F673EE">
        <w:t xml:space="preserve"> regulatory standards adopted in </w:t>
      </w:r>
      <w:smartTag w:uri="urn:schemas-microsoft-com:office:smarttags" w:element="country-region">
        <w:smartTag w:uri="urn:schemas-microsoft-com:office:smarttags" w:element="place">
          <w:r w:rsidRPr="00F673EE">
            <w:t>New Zealand</w:t>
          </w:r>
        </w:smartTag>
      </w:smartTag>
      <w:r w:rsidRPr="00F673EE">
        <w:t xml:space="preserve"> regarding goods and occupations.</w:t>
      </w:r>
    </w:p>
    <w:p w:rsidR="00AF1440" w:rsidRPr="00F673EE" w:rsidRDefault="00AF1440" w:rsidP="00AF1440">
      <w:pPr>
        <w:pStyle w:val="subsection"/>
      </w:pPr>
      <w:r w:rsidRPr="00F673EE">
        <w:lastRenderedPageBreak/>
        <w:tab/>
        <w:t>(2)</w:t>
      </w:r>
      <w:r w:rsidRPr="00F673EE">
        <w:tab/>
        <w:t>The legislation is as contemplated by the Trans</w:t>
      </w:r>
      <w:r w:rsidR="00F673EE">
        <w:noBreakHyphen/>
      </w:r>
      <w:r w:rsidRPr="00F673EE">
        <w:t>Tasman Mutual Recognition Arrangement entered into on 9</w:t>
      </w:r>
      <w:r w:rsidR="00F673EE">
        <w:t> </w:t>
      </w:r>
      <w:r w:rsidRPr="00F673EE">
        <w:t xml:space="preserve">July 1996 between the Commonwealth of Australia, New Zealand, the States of New South Wales, Victoria, Queensland, Western Australia, South Australia and Tasmania, the Australian Capital Territory and the </w:t>
      </w:r>
      <w:smartTag w:uri="urn:schemas-microsoft-com:office:smarttags" w:element="State">
        <w:smartTag w:uri="urn:schemas-microsoft-com:office:smarttags" w:element="place">
          <w:r w:rsidRPr="00F673EE">
            <w:t>Northern Territory</w:t>
          </w:r>
        </w:smartTag>
      </w:smartTag>
      <w:r w:rsidRPr="00F673EE">
        <w:t>.</w:t>
      </w:r>
    </w:p>
    <w:p w:rsidR="00AF1440" w:rsidRPr="00F673EE" w:rsidRDefault="00AF1440" w:rsidP="00375CB5">
      <w:pPr>
        <w:pStyle w:val="ActHead5"/>
      </w:pPr>
      <w:bookmarkStart w:id="5" w:name="_Toc532465222"/>
      <w:r w:rsidRPr="00F673EE">
        <w:rPr>
          <w:rStyle w:val="CharSectno"/>
        </w:rPr>
        <w:t>4</w:t>
      </w:r>
      <w:r w:rsidRPr="00F673EE">
        <w:t xml:space="preserve">  Interpretation</w:t>
      </w:r>
      <w:bookmarkEnd w:id="5"/>
    </w:p>
    <w:p w:rsidR="00AF1440" w:rsidRPr="00F673EE" w:rsidRDefault="00AF1440" w:rsidP="00375CB5">
      <w:pPr>
        <w:pStyle w:val="subsection"/>
        <w:keepNext/>
      </w:pPr>
      <w:r w:rsidRPr="00F673EE">
        <w:tab/>
        <w:t>(1)</w:t>
      </w:r>
      <w:r w:rsidRPr="00F673EE">
        <w:tab/>
        <w:t>In this Act, unless the contrary intention appears:</w:t>
      </w:r>
    </w:p>
    <w:p w:rsidR="00AF1440" w:rsidRPr="00F673EE" w:rsidRDefault="00AF1440" w:rsidP="00AF1440">
      <w:pPr>
        <w:pStyle w:val="Definition"/>
      </w:pPr>
      <w:smartTag w:uri="urn:schemas-microsoft-com:office:smarttags" w:element="country-region">
        <w:smartTag w:uri="urn:schemas-microsoft-com:office:smarttags" w:element="place">
          <w:r w:rsidRPr="00F673EE">
            <w:rPr>
              <w:b/>
              <w:i/>
            </w:rPr>
            <w:t>Australia</w:t>
          </w:r>
        </w:smartTag>
      </w:smartTag>
      <w:r w:rsidRPr="00F673EE">
        <w:t xml:space="preserve"> means </w:t>
      </w:r>
      <w:smartTag w:uri="urn:schemas-microsoft-com:office:smarttags" w:element="country-region">
        <w:smartTag w:uri="urn:schemas-microsoft-com:office:smarttags" w:element="place">
          <w:r w:rsidRPr="00F673EE">
            <w:t>Australia</w:t>
          </w:r>
        </w:smartTag>
      </w:smartTag>
      <w:r w:rsidRPr="00F673EE">
        <w:t xml:space="preserve"> in a geographical sense, and does not include the external territories.</w:t>
      </w:r>
    </w:p>
    <w:p w:rsidR="00AF1440" w:rsidRPr="00F673EE" w:rsidRDefault="00AF1440" w:rsidP="00AF1440">
      <w:pPr>
        <w:pStyle w:val="Definition"/>
      </w:pPr>
      <w:r w:rsidRPr="00F673EE">
        <w:rPr>
          <w:b/>
          <w:i/>
        </w:rPr>
        <w:t>Australian jurisdiction</w:t>
      </w:r>
      <w:r w:rsidRPr="00F673EE">
        <w:t xml:space="preserve"> means a participating jurisdiction, other than </w:t>
      </w:r>
      <w:smartTag w:uri="urn:schemas-microsoft-com:office:smarttags" w:element="country-region">
        <w:smartTag w:uri="urn:schemas-microsoft-com:office:smarttags" w:element="place">
          <w:r w:rsidRPr="00F673EE">
            <w:t>New Zealand</w:t>
          </w:r>
        </w:smartTag>
      </w:smartTag>
      <w:r w:rsidRPr="00F673EE">
        <w:t>.</w:t>
      </w:r>
    </w:p>
    <w:p w:rsidR="00AF1440" w:rsidRPr="00F673EE" w:rsidRDefault="00AF1440" w:rsidP="00AF1440">
      <w:pPr>
        <w:pStyle w:val="Definition"/>
      </w:pPr>
      <w:r w:rsidRPr="00F673EE">
        <w:rPr>
          <w:b/>
          <w:i/>
        </w:rPr>
        <w:t>Australian Tribunal</w:t>
      </w:r>
      <w:r w:rsidRPr="00F673EE">
        <w:t xml:space="preserve"> means the Administrative Appeals Tribunal or a successor to that body.</w:t>
      </w:r>
    </w:p>
    <w:p w:rsidR="00AF1440" w:rsidRPr="00F673EE" w:rsidRDefault="00AF1440" w:rsidP="00AF1440">
      <w:pPr>
        <w:pStyle w:val="Definition"/>
      </w:pPr>
      <w:r w:rsidRPr="00F673EE">
        <w:rPr>
          <w:b/>
          <w:i/>
        </w:rPr>
        <w:t>conditions</w:t>
      </w:r>
      <w:r w:rsidRPr="00F673EE">
        <w:t>, when used in relation to occupations, means conditions, limitations or restrictions.</w:t>
      </w:r>
    </w:p>
    <w:p w:rsidR="00AF1440" w:rsidRPr="00F673EE" w:rsidRDefault="00AF1440" w:rsidP="00AF1440">
      <w:pPr>
        <w:pStyle w:val="Definition"/>
      </w:pPr>
      <w:r w:rsidRPr="00F673EE">
        <w:rPr>
          <w:b/>
          <w:i/>
        </w:rPr>
        <w:t>deemed registration</w:t>
      </w:r>
      <w:r w:rsidRPr="00F673EE">
        <w:rPr>
          <w:b/>
        </w:rPr>
        <w:t xml:space="preserve"> </w:t>
      </w:r>
      <w:r w:rsidRPr="00F673EE">
        <w:t>means deemed registration as defined in section</w:t>
      </w:r>
      <w:r w:rsidR="00F673EE">
        <w:t> </w:t>
      </w:r>
      <w:r w:rsidRPr="00F673EE">
        <w:t>24.</w:t>
      </w:r>
    </w:p>
    <w:p w:rsidR="00AF1440" w:rsidRPr="00F673EE" w:rsidRDefault="00AF1440" w:rsidP="00AF1440">
      <w:pPr>
        <w:pStyle w:val="Definition"/>
      </w:pPr>
      <w:r w:rsidRPr="00F673EE">
        <w:rPr>
          <w:b/>
          <w:i/>
        </w:rPr>
        <w:t>designated person</w:t>
      </w:r>
      <w:r w:rsidRPr="00F673EE">
        <w:t xml:space="preserve"> means:</w:t>
      </w:r>
    </w:p>
    <w:p w:rsidR="00AF1440" w:rsidRPr="00F673EE" w:rsidRDefault="00AF1440" w:rsidP="00AF1440">
      <w:pPr>
        <w:pStyle w:val="paragraph"/>
      </w:pPr>
      <w:r w:rsidRPr="00F673EE">
        <w:tab/>
        <w:t>(a)</w:t>
      </w:r>
      <w:r w:rsidRPr="00F673EE">
        <w:tab/>
        <w:t xml:space="preserve">for </w:t>
      </w:r>
      <w:smartTag w:uri="urn:schemas-microsoft-com:office:smarttags" w:element="country-region">
        <w:smartTag w:uri="urn:schemas-microsoft-com:office:smarttags" w:element="place">
          <w:r w:rsidRPr="00F673EE">
            <w:t>New Zealand</w:t>
          </w:r>
        </w:smartTag>
      </w:smartTag>
      <w:r w:rsidRPr="00F673EE">
        <w:t xml:space="preserve">—a Minister of the Crown for </w:t>
      </w:r>
      <w:smartTag w:uri="urn:schemas-microsoft-com:office:smarttags" w:element="country-region">
        <w:smartTag w:uri="urn:schemas-microsoft-com:office:smarttags" w:element="place">
          <w:r w:rsidRPr="00F673EE">
            <w:t>New Zealand</w:t>
          </w:r>
        </w:smartTag>
      </w:smartTag>
      <w:r w:rsidRPr="00F673EE">
        <w:t>; or</w:t>
      </w:r>
    </w:p>
    <w:p w:rsidR="00AF1440" w:rsidRPr="00F673EE" w:rsidRDefault="00AF1440" w:rsidP="00AF1440">
      <w:pPr>
        <w:pStyle w:val="paragraph"/>
      </w:pPr>
      <w:r w:rsidRPr="00F673EE">
        <w:tab/>
        <w:t>(b)</w:t>
      </w:r>
      <w:r w:rsidRPr="00F673EE">
        <w:tab/>
        <w:t>for the Commonwealth—the Governor</w:t>
      </w:r>
      <w:r w:rsidR="00F673EE">
        <w:noBreakHyphen/>
      </w:r>
      <w:r w:rsidRPr="00F673EE">
        <w:t xml:space="preserve">General of </w:t>
      </w:r>
      <w:smartTag w:uri="urn:schemas-microsoft-com:office:smarttags" w:element="country-region">
        <w:smartTag w:uri="urn:schemas-microsoft-com:office:smarttags" w:element="place">
          <w:r w:rsidRPr="00F673EE">
            <w:t>Australia</w:t>
          </w:r>
        </w:smartTag>
      </w:smartTag>
      <w:r w:rsidRPr="00F673EE">
        <w:t>; or</w:t>
      </w:r>
    </w:p>
    <w:p w:rsidR="00AF1440" w:rsidRPr="00F673EE" w:rsidRDefault="00AF1440" w:rsidP="00AF1440">
      <w:pPr>
        <w:pStyle w:val="paragraph"/>
      </w:pPr>
      <w:r w:rsidRPr="00F673EE">
        <w:tab/>
        <w:t>(c)</w:t>
      </w:r>
      <w:r w:rsidRPr="00F673EE">
        <w:tab/>
        <w:t>for a State (other than a Territory)—the Governor of the State or a Minister of the Crown for the State; or</w:t>
      </w:r>
    </w:p>
    <w:p w:rsidR="00AF1440" w:rsidRPr="00F673EE" w:rsidRDefault="00AF1440" w:rsidP="00AF1440">
      <w:pPr>
        <w:pStyle w:val="paragraph"/>
      </w:pPr>
      <w:r w:rsidRPr="00F673EE">
        <w:lastRenderedPageBreak/>
        <w:tab/>
        <w:t>(d)</w:t>
      </w:r>
      <w:r w:rsidRPr="00F673EE">
        <w:tab/>
        <w:t xml:space="preserve">for the </w:t>
      </w:r>
      <w:smartTag w:uri="urn:schemas-microsoft-com:office:smarttags" w:element="State">
        <w:smartTag w:uri="urn:schemas-microsoft-com:office:smarttags" w:element="place">
          <w:r w:rsidRPr="00F673EE">
            <w:t>Australian Capital Territory</w:t>
          </w:r>
        </w:smartTag>
      </w:smartTag>
      <w:r w:rsidRPr="00F673EE">
        <w:t>—the Chief Minister for the Territory; or</w:t>
      </w:r>
    </w:p>
    <w:p w:rsidR="00AF1440" w:rsidRPr="00F673EE" w:rsidRDefault="00AF1440" w:rsidP="00AF1440">
      <w:pPr>
        <w:pStyle w:val="paragraph"/>
      </w:pPr>
      <w:r w:rsidRPr="00F673EE">
        <w:tab/>
        <w:t>(e)</w:t>
      </w:r>
      <w:r w:rsidRPr="00F673EE">
        <w:tab/>
        <w:t xml:space="preserve">for the </w:t>
      </w:r>
      <w:smartTag w:uri="urn:schemas-microsoft-com:office:smarttags" w:element="State">
        <w:smartTag w:uri="urn:schemas-microsoft-com:office:smarttags" w:element="place">
          <w:r w:rsidRPr="00F673EE">
            <w:t>Northern Territory</w:t>
          </w:r>
        </w:smartTag>
      </w:smartTag>
      <w:r w:rsidRPr="00F673EE">
        <w:t>—the Administrator of the Territory.</w:t>
      </w:r>
    </w:p>
    <w:p w:rsidR="00AF1440" w:rsidRPr="00F673EE" w:rsidRDefault="00AF1440" w:rsidP="00AF1440">
      <w:pPr>
        <w:pStyle w:val="Definition"/>
      </w:pPr>
      <w:r w:rsidRPr="00F673EE">
        <w:rPr>
          <w:b/>
          <w:i/>
        </w:rPr>
        <w:t>equivalent</w:t>
      </w:r>
      <w:r w:rsidRPr="00F673EE">
        <w:t>, when used in relation to occupations, has a meaning affected by Division</w:t>
      </w:r>
      <w:r w:rsidR="00F673EE">
        <w:t> </w:t>
      </w:r>
      <w:r w:rsidRPr="00F673EE">
        <w:t>4 of Part</w:t>
      </w:r>
      <w:r w:rsidR="00F673EE">
        <w:t> </w:t>
      </w:r>
      <w:r w:rsidRPr="00F673EE">
        <w:t>3.</w:t>
      </w:r>
    </w:p>
    <w:p w:rsidR="00AF1440" w:rsidRPr="00F673EE" w:rsidRDefault="00AF1440" w:rsidP="00AF1440">
      <w:pPr>
        <w:pStyle w:val="Definition"/>
      </w:pPr>
      <w:r w:rsidRPr="00F673EE">
        <w:rPr>
          <w:b/>
          <w:i/>
        </w:rPr>
        <w:t>goods</w:t>
      </w:r>
      <w:r w:rsidRPr="00F673EE">
        <w:rPr>
          <w:i/>
        </w:rPr>
        <w:t xml:space="preserve"> </w:t>
      </w:r>
      <w:r w:rsidRPr="00F673EE">
        <w:t>means goods of any kind, and includes:</w:t>
      </w:r>
    </w:p>
    <w:p w:rsidR="00AF1440" w:rsidRPr="00F673EE" w:rsidRDefault="00AF1440" w:rsidP="00AF1440">
      <w:pPr>
        <w:pStyle w:val="paragraph"/>
      </w:pPr>
      <w:r w:rsidRPr="00F673EE">
        <w:tab/>
        <w:t>(a)</w:t>
      </w:r>
      <w:r w:rsidRPr="00F673EE">
        <w:tab/>
        <w:t>animals or plants; or</w:t>
      </w:r>
    </w:p>
    <w:p w:rsidR="00AF1440" w:rsidRPr="00F673EE" w:rsidRDefault="00AF1440" w:rsidP="00AF1440">
      <w:pPr>
        <w:pStyle w:val="paragraph"/>
      </w:pPr>
      <w:r w:rsidRPr="00F673EE">
        <w:tab/>
        <w:t>(b)</w:t>
      </w:r>
      <w:r w:rsidRPr="00F673EE">
        <w:tab/>
        <w:t xml:space="preserve">material of microbial origin; or </w:t>
      </w:r>
    </w:p>
    <w:p w:rsidR="00AF1440" w:rsidRPr="00F673EE" w:rsidRDefault="00AF1440" w:rsidP="00AF1440">
      <w:pPr>
        <w:pStyle w:val="paragraph"/>
      </w:pPr>
      <w:r w:rsidRPr="00F673EE">
        <w:tab/>
        <w:t>(c)</w:t>
      </w:r>
      <w:r w:rsidRPr="00F673EE">
        <w:tab/>
        <w:t xml:space="preserve">a package containing goods; or </w:t>
      </w:r>
    </w:p>
    <w:p w:rsidR="00AF1440" w:rsidRPr="00F673EE" w:rsidRDefault="00AF1440" w:rsidP="00AF1440">
      <w:pPr>
        <w:pStyle w:val="paragraph"/>
      </w:pPr>
      <w:r w:rsidRPr="00F673EE">
        <w:tab/>
        <w:t>(d)</w:t>
      </w:r>
      <w:r w:rsidRPr="00F673EE">
        <w:tab/>
        <w:t>a label attached to goods.</w:t>
      </w:r>
    </w:p>
    <w:p w:rsidR="00AF1440" w:rsidRPr="00F673EE" w:rsidRDefault="00AF1440" w:rsidP="00AF1440">
      <w:pPr>
        <w:pStyle w:val="Definition"/>
      </w:pPr>
      <w:r w:rsidRPr="00F673EE">
        <w:rPr>
          <w:b/>
          <w:i/>
        </w:rPr>
        <w:t>grant</w:t>
      </w:r>
      <w:r w:rsidRPr="00F673EE">
        <w:t>, when used in relation to registration, means grant, issue or otherwise confer registration.</w:t>
      </w:r>
    </w:p>
    <w:p w:rsidR="00AF1440" w:rsidRPr="00F673EE" w:rsidRDefault="00AF1440" w:rsidP="00AF1440">
      <w:pPr>
        <w:pStyle w:val="Definition"/>
      </w:pPr>
      <w:r w:rsidRPr="00F673EE">
        <w:rPr>
          <w:b/>
          <w:i/>
        </w:rPr>
        <w:t>import</w:t>
      </w:r>
      <w:r w:rsidRPr="00F673EE">
        <w:rPr>
          <w:i/>
        </w:rPr>
        <w:t xml:space="preserve"> </w:t>
      </w:r>
      <w:r w:rsidRPr="00F673EE">
        <w:t xml:space="preserve">into an Australian jurisdiction means import from outside </w:t>
      </w:r>
      <w:smartTag w:uri="urn:schemas-microsoft-com:office:smarttags" w:element="country-region">
        <w:smartTag w:uri="urn:schemas-microsoft-com:office:smarttags" w:element="place">
          <w:r w:rsidRPr="00F673EE">
            <w:t>Australia</w:t>
          </w:r>
        </w:smartTag>
      </w:smartTag>
      <w:r w:rsidRPr="00F673EE">
        <w:t>.</w:t>
      </w:r>
    </w:p>
    <w:p w:rsidR="00AF1440" w:rsidRPr="00F673EE" w:rsidRDefault="00AF1440" w:rsidP="00AF1440">
      <w:pPr>
        <w:pStyle w:val="Definition"/>
      </w:pPr>
      <w:r w:rsidRPr="00F673EE">
        <w:rPr>
          <w:b/>
          <w:i/>
        </w:rPr>
        <w:t>labelling</w:t>
      </w:r>
      <w:r w:rsidRPr="00F673EE">
        <w:t xml:space="preserve"> of goods includes any means by which, at the point of sale, information is attached to goods or is displayed in relation to goods without being attached to them.</w:t>
      </w:r>
    </w:p>
    <w:p w:rsidR="00AF1440" w:rsidRPr="00F673EE" w:rsidRDefault="00AF1440" w:rsidP="00AF1440">
      <w:pPr>
        <w:pStyle w:val="Definition"/>
      </w:pPr>
      <w:r w:rsidRPr="00F673EE">
        <w:rPr>
          <w:b/>
          <w:i/>
        </w:rPr>
        <w:t>local registration authority</w:t>
      </w:r>
      <w:r w:rsidRPr="00F673EE">
        <w:t xml:space="preserve"> of a participating jurisdiction for an occupation means the person or authority in the jurisdiction having the function conferred by legislation of registering persons in connection with their carrying on that occupation in the jurisdiction.</w:t>
      </w:r>
    </w:p>
    <w:p w:rsidR="00AF1440" w:rsidRPr="00F673EE" w:rsidRDefault="00AF1440" w:rsidP="00AF1440">
      <w:pPr>
        <w:pStyle w:val="Definition"/>
      </w:pPr>
      <w:smartTag w:uri="urn:schemas-microsoft-com:office:smarttags" w:element="country-region">
        <w:smartTag w:uri="urn:schemas-microsoft-com:office:smarttags" w:element="place">
          <w:r w:rsidRPr="00F673EE">
            <w:rPr>
              <w:b/>
              <w:i/>
            </w:rPr>
            <w:lastRenderedPageBreak/>
            <w:t>New Zealand</w:t>
          </w:r>
        </w:smartTag>
      </w:smartTag>
      <w:r w:rsidRPr="00F673EE">
        <w:t xml:space="preserve"> has the meaning given by the </w:t>
      </w:r>
      <w:r w:rsidRPr="00F673EE">
        <w:rPr>
          <w:i/>
        </w:rPr>
        <w:t>Acts Interpretation Act 1924</w:t>
      </w:r>
      <w:r w:rsidRPr="00F673EE">
        <w:t xml:space="preserve"> of </w:t>
      </w:r>
      <w:smartTag w:uri="urn:schemas-microsoft-com:office:smarttags" w:element="country-region">
        <w:smartTag w:uri="urn:schemas-microsoft-com:office:smarttags" w:element="place">
          <w:r w:rsidRPr="00F673EE">
            <w:t>New Zealand</w:t>
          </w:r>
        </w:smartTag>
      </w:smartTag>
      <w:r w:rsidRPr="00F673EE">
        <w:t>, as in force from time to time.</w:t>
      </w:r>
    </w:p>
    <w:p w:rsidR="00AF1440" w:rsidRPr="00F673EE" w:rsidRDefault="00AF1440" w:rsidP="00AF1440">
      <w:pPr>
        <w:pStyle w:val="Definition"/>
      </w:pPr>
      <w:r w:rsidRPr="00F673EE">
        <w:rPr>
          <w:b/>
          <w:i/>
        </w:rPr>
        <w:t>New Zealand Act</w:t>
      </w:r>
      <w:r w:rsidRPr="00F673EE">
        <w:t xml:space="preserve"> means the Act of the Parliament of New Zealand (as amended and in force from time to time) that deals with Trans</w:t>
      </w:r>
      <w:r w:rsidR="00F673EE">
        <w:noBreakHyphen/>
      </w:r>
      <w:r w:rsidRPr="00F673EE">
        <w:t>Tasman mutual recognition and corresponds to this Act, and includes any Act replacing that Act (as amended and in force from time to time).</w:t>
      </w:r>
    </w:p>
    <w:p w:rsidR="00AF1440" w:rsidRPr="00F673EE" w:rsidRDefault="00AF1440" w:rsidP="00AF1440">
      <w:pPr>
        <w:pStyle w:val="Definition"/>
      </w:pPr>
      <w:r w:rsidRPr="00F673EE">
        <w:rPr>
          <w:b/>
          <w:i/>
        </w:rPr>
        <w:t>New Zealand Tribunal</w:t>
      </w:r>
      <w:r w:rsidRPr="00F673EE">
        <w:t xml:space="preserve"> means the Trans</w:t>
      </w:r>
      <w:r w:rsidR="00F673EE">
        <w:noBreakHyphen/>
      </w:r>
      <w:r w:rsidRPr="00F673EE">
        <w:t>Tasman Occupations Tribunal of New Zealand or a successor to that body.</w:t>
      </w:r>
    </w:p>
    <w:p w:rsidR="00AF1440" w:rsidRPr="00F673EE" w:rsidRDefault="00AF1440" w:rsidP="00AF1440">
      <w:pPr>
        <w:pStyle w:val="Definition"/>
      </w:pPr>
      <w:r w:rsidRPr="00F673EE">
        <w:rPr>
          <w:b/>
          <w:i/>
        </w:rPr>
        <w:t>occupation</w:t>
      </w:r>
      <w:r w:rsidRPr="00F673EE">
        <w:t xml:space="preserve"> means an occupation, trade, profession or calling of any kind that may be carried on only by registered persons, where registration is wholly or partly dependent on the attainment or possession of some qualification (for example, training, education, examination, experience, character or being fit or proper), and includes a specialisation in any of the above in which registration may be granted. </w:t>
      </w:r>
    </w:p>
    <w:p w:rsidR="00AF1440" w:rsidRPr="00F673EE" w:rsidRDefault="00AF1440" w:rsidP="00AF1440">
      <w:pPr>
        <w:pStyle w:val="Definition"/>
      </w:pPr>
      <w:r w:rsidRPr="00F673EE">
        <w:rPr>
          <w:b/>
          <w:i/>
        </w:rPr>
        <w:t>participating jurisdiction</w:t>
      </w:r>
      <w:r w:rsidRPr="00F673EE">
        <w:t xml:space="preserve"> has the meaning given by section</w:t>
      </w:r>
      <w:r w:rsidR="00F673EE">
        <w:t> </w:t>
      </w:r>
      <w:r w:rsidRPr="00F673EE">
        <w:t>50.</w:t>
      </w:r>
    </w:p>
    <w:p w:rsidR="00AF1440" w:rsidRPr="00F673EE" w:rsidRDefault="00AF1440" w:rsidP="00AF1440">
      <w:pPr>
        <w:pStyle w:val="Definition"/>
      </w:pPr>
      <w:r w:rsidRPr="00F673EE">
        <w:rPr>
          <w:b/>
          <w:i/>
        </w:rPr>
        <w:t>produce</w:t>
      </w:r>
      <w:r w:rsidRPr="00F673EE">
        <w:t xml:space="preserve"> includes to manufacture, and also includes to harvest or otherwise produce in the course of any form of primary production.</w:t>
      </w:r>
    </w:p>
    <w:p w:rsidR="00AF1440" w:rsidRPr="00F673EE" w:rsidRDefault="00AF1440" w:rsidP="00AF1440">
      <w:pPr>
        <w:pStyle w:val="Definition"/>
        <w:keepNext/>
        <w:keepLines/>
      </w:pPr>
      <w:r w:rsidRPr="00F673EE">
        <w:rPr>
          <w:b/>
          <w:i/>
        </w:rPr>
        <w:t>registration</w:t>
      </w:r>
      <w:r w:rsidRPr="00F673EE">
        <w:t xml:space="preserve"> includes the licensing, approval, admission, certification (including by way of practising certificates), or any other form of authorisation, of a person required by or under legislation for carrying on an occupation.</w:t>
      </w:r>
    </w:p>
    <w:p w:rsidR="00AF1440" w:rsidRPr="00F673EE" w:rsidRDefault="00AF1440" w:rsidP="00AF1440">
      <w:pPr>
        <w:pStyle w:val="Definition"/>
      </w:pPr>
      <w:r w:rsidRPr="00F673EE">
        <w:rPr>
          <w:b/>
          <w:i/>
        </w:rPr>
        <w:t>requirements</w:t>
      </w:r>
      <w:r w:rsidRPr="00F673EE">
        <w:t>, when used in relation to goods, means requirements, prohibitions, restrictions or conditions.</w:t>
      </w:r>
    </w:p>
    <w:p w:rsidR="00AF1440" w:rsidRPr="00F673EE" w:rsidRDefault="00AF1440" w:rsidP="00AF1440">
      <w:pPr>
        <w:pStyle w:val="Definition"/>
      </w:pPr>
      <w:r w:rsidRPr="00F673EE">
        <w:rPr>
          <w:b/>
          <w:i/>
        </w:rPr>
        <w:lastRenderedPageBreak/>
        <w:t>sell</w:t>
      </w:r>
      <w:r w:rsidRPr="00F673EE">
        <w:t xml:space="preserve"> includes sell by wholesale or retail, and includes distribute for sale, expose or offer for sale or have in possession for sale or agree to sell, and includes barter, and includes supply by way of exchange, lease, hire or hire</w:t>
      </w:r>
      <w:r w:rsidR="00F673EE">
        <w:noBreakHyphen/>
      </w:r>
      <w:r w:rsidRPr="00F673EE">
        <w:t>purchase.</w:t>
      </w:r>
    </w:p>
    <w:p w:rsidR="00AF1440" w:rsidRPr="00F673EE" w:rsidRDefault="00AF1440" w:rsidP="00AF1440">
      <w:pPr>
        <w:pStyle w:val="Definition"/>
      </w:pPr>
      <w:r w:rsidRPr="00F673EE">
        <w:rPr>
          <w:b/>
          <w:i/>
        </w:rPr>
        <w:t>State</w:t>
      </w:r>
      <w:r w:rsidRPr="00F673EE">
        <w:t xml:space="preserve"> includes the </w:t>
      </w:r>
      <w:smartTag w:uri="urn:schemas-microsoft-com:office:smarttags" w:element="State">
        <w:smartTag w:uri="urn:schemas-microsoft-com:office:smarttags" w:element="place">
          <w:r w:rsidRPr="00F673EE">
            <w:t>Australian Capital Territory</w:t>
          </w:r>
        </w:smartTag>
      </w:smartTag>
      <w:r w:rsidRPr="00F673EE">
        <w:t xml:space="preserve"> or the </w:t>
      </w:r>
      <w:smartTag w:uri="urn:schemas-microsoft-com:office:smarttags" w:element="State">
        <w:smartTag w:uri="urn:schemas-microsoft-com:office:smarttags" w:element="place">
          <w:r w:rsidRPr="00F673EE">
            <w:t>Northern Territory</w:t>
          </w:r>
        </w:smartTag>
      </w:smartTag>
      <w:r w:rsidRPr="00F673EE">
        <w:t>.</w:t>
      </w:r>
    </w:p>
    <w:p w:rsidR="00AF1440" w:rsidRPr="00F673EE" w:rsidRDefault="00AF1440" w:rsidP="00AF1440">
      <w:pPr>
        <w:pStyle w:val="Definition"/>
      </w:pPr>
      <w:r w:rsidRPr="00F673EE">
        <w:rPr>
          <w:b/>
          <w:i/>
        </w:rPr>
        <w:t>substantive registration</w:t>
      </w:r>
      <w:r w:rsidRPr="00F673EE">
        <w:t xml:space="preserve"> means registration under a law of a participating jurisdiction, but does not include deemed registration.</w:t>
      </w:r>
    </w:p>
    <w:p w:rsidR="00AF1440" w:rsidRPr="00F673EE" w:rsidRDefault="00AF1440" w:rsidP="00AF1440">
      <w:pPr>
        <w:pStyle w:val="subsection"/>
      </w:pPr>
      <w:r w:rsidRPr="00F673EE">
        <w:tab/>
        <w:t>(2)</w:t>
      </w:r>
      <w:r w:rsidRPr="00F673EE">
        <w:tab/>
        <w:t>A law specified or described in a Schedule to this Act includes (unless otherwise stated in the Schedule) any relevant regulations or other statutory instruments under that law.</w:t>
      </w:r>
    </w:p>
    <w:p w:rsidR="00AF1440" w:rsidRPr="00F673EE" w:rsidRDefault="00AF1440" w:rsidP="00AF1440">
      <w:pPr>
        <w:pStyle w:val="subsection"/>
      </w:pPr>
      <w:r w:rsidRPr="00F673EE">
        <w:tab/>
        <w:t>(3)</w:t>
      </w:r>
      <w:r w:rsidRPr="00F673EE">
        <w:tab/>
        <w:t>A law specified or described in a Schedule to this Act, including any relevant regulations or other statutory instruments under that law, includes (unless otherwise stated in the Schedule) any amendment or replacement of that law, but only to the extent that the effect of the amendment or replacement does not restrict the scope of this Act.</w:t>
      </w:r>
    </w:p>
    <w:p w:rsidR="00AF1440" w:rsidRPr="00F673EE" w:rsidRDefault="00AF1440" w:rsidP="00AF1440">
      <w:pPr>
        <w:pStyle w:val="subsection"/>
      </w:pPr>
      <w:r w:rsidRPr="00F673EE">
        <w:tab/>
        <w:t>(4)</w:t>
      </w:r>
      <w:r w:rsidRPr="00F673EE">
        <w:tab/>
        <w:t>A reference in this Act to the designated person is, in relation to a participating jurisdiction for which there is or can be more than one designated person, a reference to any one of them.</w:t>
      </w:r>
    </w:p>
    <w:p w:rsidR="00AF1440" w:rsidRPr="00F673EE" w:rsidRDefault="00AF1440" w:rsidP="00AF1440">
      <w:pPr>
        <w:pStyle w:val="subsection"/>
      </w:pPr>
      <w:r w:rsidRPr="00F673EE">
        <w:tab/>
        <w:t>(5)</w:t>
      </w:r>
      <w:r w:rsidRPr="00F673EE">
        <w:tab/>
        <w:t xml:space="preserve">This Act is to be interpreted in accordance with the </w:t>
      </w:r>
      <w:r w:rsidRPr="00F673EE">
        <w:rPr>
          <w:i/>
        </w:rPr>
        <w:t xml:space="preserve">Acts Interpretation Act 1901 </w:t>
      </w:r>
      <w:r w:rsidRPr="00F673EE">
        <w:t>as in force at the date on which this Act receives the Royal Assent.</w:t>
      </w:r>
    </w:p>
    <w:p w:rsidR="00AF1440" w:rsidRPr="00F673EE" w:rsidRDefault="00AF1440" w:rsidP="00E87B33">
      <w:pPr>
        <w:pStyle w:val="ActHead5"/>
      </w:pPr>
      <w:bookmarkStart w:id="6" w:name="_Toc532465223"/>
      <w:r w:rsidRPr="00F673EE">
        <w:rPr>
          <w:rStyle w:val="CharSectno"/>
        </w:rPr>
        <w:lastRenderedPageBreak/>
        <w:t>5</w:t>
      </w:r>
      <w:r w:rsidRPr="00F673EE">
        <w:t xml:space="preserve">  Operation of this Act in relation to the Commonwealth</w:t>
      </w:r>
      <w:bookmarkEnd w:id="6"/>
    </w:p>
    <w:p w:rsidR="00AF1440" w:rsidRPr="00F673EE" w:rsidRDefault="00AF1440" w:rsidP="00E87B33">
      <w:pPr>
        <w:pStyle w:val="subsection"/>
        <w:keepNext/>
        <w:keepLines/>
      </w:pPr>
      <w:r w:rsidRPr="00F673EE">
        <w:tab/>
        <w:t>(1)</w:t>
      </w:r>
      <w:r w:rsidRPr="00F673EE">
        <w:tab/>
        <w:t>Subject to this section:</w:t>
      </w:r>
    </w:p>
    <w:p w:rsidR="00AF1440" w:rsidRPr="00F673EE" w:rsidRDefault="00AF1440" w:rsidP="00E87B33">
      <w:pPr>
        <w:pStyle w:val="paragraph"/>
        <w:keepNext/>
        <w:keepLines/>
      </w:pPr>
      <w:r w:rsidRPr="00F673EE">
        <w:tab/>
        <w:t>(a)</w:t>
      </w:r>
      <w:r w:rsidRPr="00F673EE">
        <w:tab/>
        <w:t>this Act has effect despite anything in any other law of the Commonwealth enacted or made before the commencement of this section; and</w:t>
      </w:r>
    </w:p>
    <w:p w:rsidR="00AF1440" w:rsidRPr="00F673EE" w:rsidRDefault="00AF1440" w:rsidP="00AF1440">
      <w:pPr>
        <w:pStyle w:val="paragraph"/>
      </w:pPr>
      <w:r w:rsidRPr="00F673EE">
        <w:tab/>
        <w:t>(b)</w:t>
      </w:r>
      <w:r w:rsidRPr="00F673EE">
        <w:tab/>
        <w:t>any law of the Commonwealth enacted or made after the commencement of this section is to be construed as having effect subject to this Act, except where that law expressly overrides this Act.</w:t>
      </w:r>
    </w:p>
    <w:p w:rsidR="00AF1440" w:rsidRPr="00F673EE" w:rsidRDefault="00AF1440" w:rsidP="00AF1440">
      <w:pPr>
        <w:pStyle w:val="subsection"/>
      </w:pPr>
      <w:r w:rsidRPr="00F673EE">
        <w:tab/>
        <w:t>(2)</w:t>
      </w:r>
      <w:r w:rsidRPr="00F673EE">
        <w:tab/>
        <w:t>Subject to subsection</w:t>
      </w:r>
      <w:r w:rsidR="00F673EE">
        <w:t> </w:t>
      </w:r>
      <w:r w:rsidRPr="00F673EE">
        <w:t xml:space="preserve">51(2), nothing in this Act affects the operation of the </w:t>
      </w:r>
      <w:r w:rsidRPr="00F673EE">
        <w:rPr>
          <w:i/>
        </w:rPr>
        <w:t>Mutual Recognition Act 1992</w:t>
      </w:r>
      <w:r w:rsidRPr="00F673EE">
        <w:t>.</w:t>
      </w:r>
    </w:p>
    <w:p w:rsidR="00AF1440" w:rsidRPr="00F673EE" w:rsidRDefault="00AF1440" w:rsidP="00AF1440">
      <w:pPr>
        <w:pStyle w:val="ActHead5"/>
      </w:pPr>
      <w:bookmarkStart w:id="7" w:name="_Toc532465224"/>
      <w:r w:rsidRPr="00F673EE">
        <w:rPr>
          <w:rStyle w:val="CharSectno"/>
        </w:rPr>
        <w:t>6</w:t>
      </w:r>
      <w:r w:rsidRPr="00F673EE">
        <w:t xml:space="preserve">  Operation of this Act in relation to the States</w:t>
      </w:r>
      <w:bookmarkEnd w:id="7"/>
    </w:p>
    <w:p w:rsidR="00AF1440" w:rsidRPr="00F673EE" w:rsidRDefault="00AF1440" w:rsidP="00AF1440">
      <w:pPr>
        <w:pStyle w:val="subsection"/>
      </w:pPr>
      <w:r w:rsidRPr="00F673EE">
        <w:tab/>
        <w:t>(1)</w:t>
      </w:r>
      <w:r w:rsidRPr="00F673EE">
        <w:tab/>
        <w:t>This Act applies to a State, but only while it is a participating jurisdiction.</w:t>
      </w:r>
    </w:p>
    <w:p w:rsidR="00AF1440" w:rsidRPr="00F673EE" w:rsidRDefault="00AF1440" w:rsidP="00AF1440">
      <w:pPr>
        <w:pStyle w:val="subsection"/>
      </w:pPr>
      <w:r w:rsidRPr="00F673EE">
        <w:tab/>
        <w:t>(2)</w:t>
      </w:r>
      <w:r w:rsidRPr="00F673EE">
        <w:tab/>
        <w:t>Accordingly, a reference in this Act to a State is a reference to a State that is a participating jurisdiction, and this Act does not affect the operation of the laws of a State that is not a participating jurisdiction.</w:t>
      </w:r>
    </w:p>
    <w:p w:rsidR="00AF1440" w:rsidRPr="00F673EE" w:rsidRDefault="00AF1440" w:rsidP="00AF1440">
      <w:pPr>
        <w:pStyle w:val="subsection"/>
      </w:pPr>
      <w:r w:rsidRPr="00F673EE">
        <w:tab/>
        <w:t>(3)</w:t>
      </w:r>
      <w:r w:rsidRPr="00F673EE">
        <w:tab/>
        <w:t>This Act does not affect the operation of a law of a State so far as it can operate concurrently with this Act.</w:t>
      </w:r>
    </w:p>
    <w:p w:rsidR="00AF1440" w:rsidRPr="00F673EE" w:rsidRDefault="00AF1440" w:rsidP="00AF1440">
      <w:pPr>
        <w:pStyle w:val="ActHead5"/>
      </w:pPr>
      <w:bookmarkStart w:id="8" w:name="_Toc532465225"/>
      <w:r w:rsidRPr="00F673EE">
        <w:rPr>
          <w:rStyle w:val="CharSectno"/>
        </w:rPr>
        <w:t>7</w:t>
      </w:r>
      <w:r w:rsidRPr="00F673EE">
        <w:t xml:space="preserve">  Operation of this Act in relation to </w:t>
      </w:r>
      <w:smartTag w:uri="urn:schemas-microsoft-com:office:smarttags" w:element="country-region">
        <w:smartTag w:uri="urn:schemas-microsoft-com:office:smarttags" w:element="place">
          <w:r w:rsidRPr="00F673EE">
            <w:t>New Zealand</w:t>
          </w:r>
        </w:smartTag>
      </w:smartTag>
      <w:bookmarkEnd w:id="8"/>
    </w:p>
    <w:p w:rsidR="00AF1440" w:rsidRPr="00F673EE" w:rsidRDefault="00AF1440" w:rsidP="00AF1440">
      <w:pPr>
        <w:pStyle w:val="subsection"/>
      </w:pPr>
      <w:r w:rsidRPr="00F673EE">
        <w:tab/>
        <w:t>(1)</w:t>
      </w:r>
      <w:r w:rsidRPr="00F673EE">
        <w:tab/>
        <w:t>The Governor</w:t>
      </w:r>
      <w:r w:rsidR="00F673EE">
        <w:noBreakHyphen/>
      </w:r>
      <w:r w:rsidRPr="00F673EE">
        <w:t>General may declare by Proclamation that this Act will cease to have effect on a specified day, if satisfied that:</w:t>
      </w:r>
    </w:p>
    <w:p w:rsidR="00AF1440" w:rsidRPr="00F673EE" w:rsidRDefault="00AF1440" w:rsidP="00AF1440">
      <w:pPr>
        <w:pStyle w:val="paragraph"/>
      </w:pPr>
      <w:r w:rsidRPr="00F673EE">
        <w:tab/>
        <w:t>(a)</w:t>
      </w:r>
      <w:r w:rsidRPr="00F673EE">
        <w:tab/>
      </w:r>
      <w:smartTag w:uri="urn:schemas-microsoft-com:office:smarttags" w:element="country-region">
        <w:smartTag w:uri="urn:schemas-microsoft-com:office:smarttags" w:element="place">
          <w:r w:rsidRPr="00F673EE">
            <w:t>New Zealand</w:t>
          </w:r>
        </w:smartTag>
      </w:smartTag>
      <w:r w:rsidRPr="00F673EE">
        <w:t xml:space="preserve"> is not a participating jurisdiction and is not likely to become a participating jurisdiction in the near future; or</w:t>
      </w:r>
    </w:p>
    <w:p w:rsidR="00AF1440" w:rsidRPr="00F673EE" w:rsidRDefault="00AF1440" w:rsidP="00AF1440">
      <w:pPr>
        <w:pStyle w:val="paragraph"/>
      </w:pPr>
      <w:r w:rsidRPr="00F673EE">
        <w:tab/>
        <w:t>(b)</w:t>
      </w:r>
      <w:r w:rsidRPr="00F673EE">
        <w:tab/>
      </w:r>
      <w:smartTag w:uri="urn:schemas-microsoft-com:office:smarttags" w:element="country-region">
        <w:smartTag w:uri="urn:schemas-microsoft-com:office:smarttags" w:element="place">
          <w:r w:rsidRPr="00F673EE">
            <w:t>New Zealand</w:t>
          </w:r>
        </w:smartTag>
      </w:smartTag>
      <w:r w:rsidRPr="00F673EE">
        <w:t xml:space="preserve"> is a participating jurisdiction but is likely to cease to be a participating jurisdiction in the near future.</w:t>
      </w:r>
    </w:p>
    <w:p w:rsidR="00AF1440" w:rsidRPr="00F673EE" w:rsidRDefault="00AF1440" w:rsidP="00AF1440">
      <w:pPr>
        <w:pStyle w:val="subsection"/>
      </w:pPr>
      <w:r w:rsidRPr="00F673EE">
        <w:tab/>
        <w:t>(2)</w:t>
      </w:r>
      <w:r w:rsidRPr="00F673EE">
        <w:tab/>
        <w:t xml:space="preserve">Such a Proclamation cannot be made unless the designated person for each of the participating jurisdictions (other than </w:t>
      </w:r>
      <w:smartTag w:uri="urn:schemas-microsoft-com:office:smarttags" w:element="country-region">
        <w:smartTag w:uri="urn:schemas-microsoft-com:office:smarttags" w:element="place">
          <w:r w:rsidRPr="00F673EE">
            <w:t>New Zealand</w:t>
          </w:r>
        </w:smartTag>
      </w:smartTag>
      <w:r w:rsidRPr="00F673EE">
        <w:t xml:space="preserve"> </w:t>
      </w:r>
      <w:r w:rsidRPr="00F673EE">
        <w:lastRenderedPageBreak/>
        <w:t>and the Commonwealth) has published a notice in the official gazette of the jurisdiction requesting the making of the Proclamation.</w:t>
      </w:r>
    </w:p>
    <w:p w:rsidR="00AF1440" w:rsidRPr="00F673EE" w:rsidRDefault="00AF1440" w:rsidP="00AF1440">
      <w:pPr>
        <w:pStyle w:val="subsection"/>
      </w:pPr>
      <w:r w:rsidRPr="00F673EE">
        <w:tab/>
        <w:t>(3)</w:t>
      </w:r>
      <w:r w:rsidRPr="00F673EE">
        <w:tab/>
        <w:t>Such a Proclamation is effective according to its terms.</w:t>
      </w:r>
    </w:p>
    <w:p w:rsidR="00AF1440" w:rsidRPr="00F673EE" w:rsidRDefault="00AF1440" w:rsidP="00AF1440">
      <w:pPr>
        <w:pStyle w:val="ActHead5"/>
      </w:pPr>
      <w:bookmarkStart w:id="9" w:name="_Toc532465226"/>
      <w:r w:rsidRPr="00F673EE">
        <w:rPr>
          <w:rStyle w:val="CharSectno"/>
        </w:rPr>
        <w:t>8</w:t>
      </w:r>
      <w:r w:rsidRPr="00F673EE">
        <w:t xml:space="preserve">  Crown bound</w:t>
      </w:r>
      <w:bookmarkEnd w:id="9"/>
    </w:p>
    <w:p w:rsidR="00AF1440" w:rsidRPr="00F673EE" w:rsidRDefault="00AF1440" w:rsidP="00AF1440">
      <w:pPr>
        <w:pStyle w:val="subsection"/>
      </w:pPr>
      <w:r w:rsidRPr="00F673EE">
        <w:tab/>
      </w:r>
      <w:r w:rsidRPr="00F673EE">
        <w:tab/>
        <w:t>Subject to section</w:t>
      </w:r>
      <w:r w:rsidR="00F673EE">
        <w:t> </w:t>
      </w:r>
      <w:r w:rsidRPr="00F673EE">
        <w:t>6, this Act binds the Crown in right of the Commonwealth and of each of the States.</w:t>
      </w:r>
    </w:p>
    <w:p w:rsidR="00AF1440" w:rsidRPr="00F673EE" w:rsidRDefault="00AF1440" w:rsidP="00D24366">
      <w:pPr>
        <w:pStyle w:val="ActHead2"/>
        <w:pageBreakBefore/>
      </w:pPr>
      <w:bookmarkStart w:id="10" w:name="_Toc532465227"/>
      <w:r w:rsidRPr="00F673EE">
        <w:rPr>
          <w:rStyle w:val="CharPartNo"/>
        </w:rPr>
        <w:lastRenderedPageBreak/>
        <w:t>Part</w:t>
      </w:r>
      <w:r w:rsidR="00F673EE" w:rsidRPr="00F673EE">
        <w:rPr>
          <w:rStyle w:val="CharPartNo"/>
        </w:rPr>
        <w:t> </w:t>
      </w:r>
      <w:r w:rsidRPr="00F673EE">
        <w:rPr>
          <w:rStyle w:val="CharPartNo"/>
        </w:rPr>
        <w:t>2</w:t>
      </w:r>
      <w:r w:rsidRPr="00F673EE">
        <w:t>—</w:t>
      </w:r>
      <w:r w:rsidRPr="00F673EE">
        <w:rPr>
          <w:rStyle w:val="CharPartText"/>
        </w:rPr>
        <w:t>Goods</w:t>
      </w:r>
      <w:bookmarkEnd w:id="10"/>
    </w:p>
    <w:p w:rsidR="00AF1440" w:rsidRPr="00F673EE" w:rsidRDefault="0074383C" w:rsidP="00AF1440">
      <w:pPr>
        <w:pStyle w:val="Header"/>
      </w:pPr>
      <w:r w:rsidRPr="00F673EE">
        <w:rPr>
          <w:rStyle w:val="CharDivNo"/>
        </w:rPr>
        <w:t xml:space="preserve"> </w:t>
      </w:r>
      <w:r w:rsidRPr="00F673EE">
        <w:rPr>
          <w:rStyle w:val="CharDivText"/>
        </w:rPr>
        <w:t xml:space="preserve"> </w:t>
      </w:r>
    </w:p>
    <w:p w:rsidR="00AF1440" w:rsidRPr="00F673EE" w:rsidRDefault="00AF1440" w:rsidP="00AF1440">
      <w:pPr>
        <w:pStyle w:val="ActHead5"/>
      </w:pPr>
      <w:bookmarkStart w:id="11" w:name="_Toc532465228"/>
      <w:r w:rsidRPr="00F673EE">
        <w:rPr>
          <w:rStyle w:val="CharSectno"/>
        </w:rPr>
        <w:t>9</w:t>
      </w:r>
      <w:r w:rsidRPr="00F673EE">
        <w:t xml:space="preserve">  Trans</w:t>
      </w:r>
      <w:r w:rsidR="00F673EE">
        <w:noBreakHyphen/>
      </w:r>
      <w:r w:rsidRPr="00F673EE">
        <w:t>Tasman mutual recognition principle</w:t>
      </w:r>
      <w:bookmarkEnd w:id="11"/>
    </w:p>
    <w:p w:rsidR="00AF1440" w:rsidRPr="00F673EE" w:rsidRDefault="00AF1440" w:rsidP="00AF1440">
      <w:pPr>
        <w:pStyle w:val="subsection"/>
      </w:pPr>
      <w:r w:rsidRPr="00F673EE">
        <w:tab/>
        <w:t>(1)</w:t>
      </w:r>
      <w:r w:rsidRPr="00F673EE">
        <w:tab/>
        <w:t>The Trans</w:t>
      </w:r>
      <w:r w:rsidR="00F673EE">
        <w:noBreakHyphen/>
      </w:r>
      <w:r w:rsidRPr="00F673EE">
        <w:t>Tasman mutual recognition principle as applying to goods is as set out in this Part.</w:t>
      </w:r>
    </w:p>
    <w:p w:rsidR="00AF1440" w:rsidRPr="00F673EE" w:rsidRDefault="00AF1440" w:rsidP="00AF1440">
      <w:pPr>
        <w:pStyle w:val="subsection"/>
      </w:pPr>
      <w:r w:rsidRPr="00F673EE">
        <w:tab/>
        <w:t>(2)</w:t>
      </w:r>
      <w:r w:rsidRPr="00F673EE">
        <w:tab/>
        <w:t xml:space="preserve">This Part deals with goods produced in or imported into </w:t>
      </w:r>
      <w:smartTag w:uri="urn:schemas-microsoft-com:office:smarttags" w:element="country-region">
        <w:smartTag w:uri="urn:schemas-microsoft-com:office:smarttags" w:element="place">
          <w:r w:rsidRPr="00F673EE">
            <w:t>New Zealand</w:t>
          </w:r>
        </w:smartTag>
      </w:smartTag>
      <w:r w:rsidRPr="00F673EE">
        <w:t xml:space="preserve"> and their sale in </w:t>
      </w:r>
      <w:smartTag w:uri="urn:schemas-microsoft-com:office:smarttags" w:element="country-region">
        <w:smartTag w:uri="urn:schemas-microsoft-com:office:smarttags" w:element="place">
          <w:r w:rsidRPr="00F673EE">
            <w:t>Australia</w:t>
          </w:r>
        </w:smartTag>
      </w:smartTag>
      <w:r w:rsidRPr="00F673EE">
        <w:t>.</w:t>
      </w:r>
    </w:p>
    <w:p w:rsidR="00AF1440" w:rsidRPr="00F673EE" w:rsidRDefault="00AF1440" w:rsidP="00AF1440">
      <w:pPr>
        <w:pStyle w:val="ActHead5"/>
      </w:pPr>
      <w:bookmarkStart w:id="12" w:name="_Toc532465229"/>
      <w:r w:rsidRPr="00F673EE">
        <w:rPr>
          <w:rStyle w:val="CharSectno"/>
        </w:rPr>
        <w:t>10</w:t>
      </w:r>
      <w:r w:rsidRPr="00F673EE">
        <w:t xml:space="preserve">  Entitlement to sell goods</w:t>
      </w:r>
      <w:bookmarkEnd w:id="12"/>
    </w:p>
    <w:p w:rsidR="00AF1440" w:rsidRPr="00F673EE" w:rsidRDefault="00AF1440" w:rsidP="00AF1440">
      <w:pPr>
        <w:pStyle w:val="subsection"/>
      </w:pPr>
      <w:r w:rsidRPr="00F673EE">
        <w:tab/>
      </w:r>
      <w:r w:rsidRPr="00F673EE">
        <w:tab/>
        <w:t>The Trans</w:t>
      </w:r>
      <w:r w:rsidR="00F673EE">
        <w:noBreakHyphen/>
      </w:r>
      <w:r w:rsidRPr="00F673EE">
        <w:t>Tasman mutual recognition principle is that, subject to this Part, goods produced in or imported into New Zealand, that may lawfully be sold in New Zealand, either generally or in particular circumstances, may, by virtue of this Act, be sold in an Australian jurisdiction either generally or in particular circumstances (as the case may be), without the necessity for compliance with further requirements imposed by or under the law of that jurisdiction as described in section</w:t>
      </w:r>
      <w:r w:rsidR="00F673EE">
        <w:t> </w:t>
      </w:r>
      <w:r w:rsidRPr="00F673EE">
        <w:t>11.</w:t>
      </w:r>
    </w:p>
    <w:p w:rsidR="00AF1440" w:rsidRPr="00F673EE" w:rsidRDefault="00AF1440" w:rsidP="00AF1440">
      <w:pPr>
        <w:pStyle w:val="ActHead5"/>
      </w:pPr>
      <w:bookmarkStart w:id="13" w:name="_Toc532465230"/>
      <w:r w:rsidRPr="00F673EE">
        <w:rPr>
          <w:rStyle w:val="CharSectno"/>
        </w:rPr>
        <w:t>11</w:t>
      </w:r>
      <w:r w:rsidRPr="00F673EE">
        <w:t xml:space="preserve">  Requirements that do not need to be complied with</w:t>
      </w:r>
      <w:bookmarkEnd w:id="13"/>
    </w:p>
    <w:p w:rsidR="00AF1440" w:rsidRPr="00F673EE" w:rsidRDefault="00AF1440" w:rsidP="00AF1440">
      <w:pPr>
        <w:pStyle w:val="subsection"/>
      </w:pPr>
      <w:r w:rsidRPr="00F673EE">
        <w:tab/>
      </w:r>
      <w:r w:rsidRPr="00F673EE">
        <w:tab/>
        <w:t>The further requirements referred to in section</w:t>
      </w:r>
      <w:r w:rsidR="00F673EE">
        <w:t> </w:t>
      </w:r>
      <w:r w:rsidRPr="00F673EE">
        <w:t>10 are any one or more of the following requirements relating to sale that are imposed by or under the law of the Australian jurisdiction concerned:</w:t>
      </w:r>
    </w:p>
    <w:p w:rsidR="00AF1440" w:rsidRPr="00F673EE" w:rsidRDefault="00AF1440" w:rsidP="00AF1440">
      <w:pPr>
        <w:pStyle w:val="paragraph"/>
      </w:pPr>
      <w:r w:rsidRPr="00F673EE">
        <w:tab/>
        <w:t>(a)</w:t>
      </w:r>
      <w:r w:rsidRPr="00F673EE">
        <w:tab/>
        <w:t xml:space="preserve">a requirement that the goods satisfy standards of the jurisdiction relating to the goods themselves, including for example requirements relating to their production, composition, quality or performance; </w:t>
      </w:r>
    </w:p>
    <w:p w:rsidR="00AF1440" w:rsidRPr="00F673EE" w:rsidRDefault="00AF1440" w:rsidP="00AF1440">
      <w:pPr>
        <w:pStyle w:val="paragraph"/>
      </w:pPr>
      <w:r w:rsidRPr="00F673EE">
        <w:tab/>
        <w:t>(b)</w:t>
      </w:r>
      <w:r w:rsidRPr="00F673EE">
        <w:tab/>
        <w:t xml:space="preserve">a requirement that the goods satisfy standards of the jurisdiction relating to the way the goods are presented, including for example requirements relating to their packaging, labelling, date stamping or age; </w:t>
      </w:r>
    </w:p>
    <w:p w:rsidR="00AF1440" w:rsidRPr="00F673EE" w:rsidRDefault="00AF1440" w:rsidP="00AF1440">
      <w:pPr>
        <w:pStyle w:val="paragraph"/>
      </w:pPr>
      <w:r w:rsidRPr="00F673EE">
        <w:lastRenderedPageBreak/>
        <w:tab/>
        <w:t>(c)</w:t>
      </w:r>
      <w:r w:rsidRPr="00F673EE">
        <w:tab/>
        <w:t>a requirement that the goods be inspected, passed or similarly dealt with in or for the purposes of the jurisdiction;</w:t>
      </w:r>
    </w:p>
    <w:p w:rsidR="00AF1440" w:rsidRPr="00F673EE" w:rsidRDefault="00AF1440" w:rsidP="00AF1440">
      <w:pPr>
        <w:pStyle w:val="paragraph"/>
      </w:pPr>
      <w:r w:rsidRPr="00F673EE">
        <w:tab/>
        <w:t>(d)</w:t>
      </w:r>
      <w:r w:rsidRPr="00F673EE">
        <w:tab/>
        <w:t>a requirement that any step in the production of the goods not occur outside the jurisdiction;</w:t>
      </w:r>
    </w:p>
    <w:p w:rsidR="00AF1440" w:rsidRPr="00F673EE" w:rsidRDefault="00AF1440" w:rsidP="00AF1440">
      <w:pPr>
        <w:pStyle w:val="paragraph"/>
      </w:pPr>
      <w:r w:rsidRPr="00F673EE">
        <w:tab/>
        <w:t>(e)</w:t>
      </w:r>
      <w:r w:rsidRPr="00F673EE">
        <w:tab/>
        <w:t>any other requirement relating to sale that would prevent or restrict, or would have the effect of preventing or restricting, the sale of the goods in the jurisdiction.</w:t>
      </w:r>
    </w:p>
    <w:p w:rsidR="00AF1440" w:rsidRPr="00F673EE" w:rsidRDefault="00AF1440" w:rsidP="00AF1440">
      <w:pPr>
        <w:pStyle w:val="ActHead5"/>
      </w:pPr>
      <w:bookmarkStart w:id="14" w:name="_Toc532465231"/>
      <w:r w:rsidRPr="00F673EE">
        <w:rPr>
          <w:rStyle w:val="CharSectno"/>
        </w:rPr>
        <w:t>12</w:t>
      </w:r>
      <w:r w:rsidRPr="00F673EE">
        <w:t xml:space="preserve">  Requirements that do need to be complied with</w:t>
      </w:r>
      <w:bookmarkEnd w:id="14"/>
      <w:r w:rsidRPr="00F673EE">
        <w:t xml:space="preserve"> </w:t>
      </w:r>
    </w:p>
    <w:p w:rsidR="00AF1440" w:rsidRPr="00F673EE" w:rsidRDefault="00AF1440" w:rsidP="00AF1440">
      <w:pPr>
        <w:pStyle w:val="subsection"/>
      </w:pPr>
      <w:r w:rsidRPr="00F673EE">
        <w:tab/>
        <w:t>(1)</w:t>
      </w:r>
      <w:r w:rsidRPr="00F673EE">
        <w:tab/>
        <w:t>The Trans</w:t>
      </w:r>
      <w:r w:rsidR="00F673EE">
        <w:noBreakHyphen/>
      </w:r>
      <w:r w:rsidRPr="00F673EE">
        <w:t>Tasman mutual recognition principle is subject to the exceptions specified in this section.</w:t>
      </w:r>
    </w:p>
    <w:p w:rsidR="00AF1440" w:rsidRPr="00F673EE" w:rsidRDefault="00AF1440" w:rsidP="00AF1440">
      <w:pPr>
        <w:pStyle w:val="subsection"/>
      </w:pPr>
      <w:r w:rsidRPr="00F673EE">
        <w:tab/>
        <w:t>(2)</w:t>
      </w:r>
      <w:r w:rsidRPr="00F673EE">
        <w:tab/>
        <w:t>The first exception is that the principle does not affect the operation of any laws of an Australian jurisdiction that regulate the manner of the sale of goods in the jurisdiction or the manner in which sellers conduct or are required to conduct their business in the jurisdiction (including laws set out in the examples below), so long as those laws apply equally to goods produced in or imported into the jurisdiction.</w:t>
      </w:r>
    </w:p>
    <w:p w:rsidR="00AF1440" w:rsidRPr="00F673EE" w:rsidRDefault="00AF1440" w:rsidP="00AF1440">
      <w:pPr>
        <w:pStyle w:val="notetext"/>
      </w:pPr>
      <w:r w:rsidRPr="00F673EE">
        <w:t>Examples:</w:t>
      </w:r>
      <w:r w:rsidRPr="00F673EE">
        <w:tab/>
        <w:t>Laws relating to the following:</w:t>
      </w:r>
    </w:p>
    <w:p w:rsidR="00AF1440" w:rsidRPr="00F673EE" w:rsidRDefault="00AF1440" w:rsidP="001A0FF4">
      <w:pPr>
        <w:pStyle w:val="notepara"/>
      </w:pPr>
      <w:r w:rsidRPr="00F673EE">
        <w:t>(a)</w:t>
      </w:r>
      <w:r w:rsidRPr="00F673EE">
        <w:tab/>
        <w:t>the contractual aspects of the sale of goods;</w:t>
      </w:r>
    </w:p>
    <w:p w:rsidR="00AF1440" w:rsidRPr="00F673EE" w:rsidRDefault="00AF1440" w:rsidP="001A0FF4">
      <w:pPr>
        <w:pStyle w:val="notepara"/>
      </w:pPr>
      <w:r w:rsidRPr="00F673EE">
        <w:t>(b)</w:t>
      </w:r>
      <w:r w:rsidRPr="00F673EE">
        <w:tab/>
        <w:t>the registration of sellers or other persons carrying on occupations;</w:t>
      </w:r>
    </w:p>
    <w:p w:rsidR="00AF1440" w:rsidRPr="00F673EE" w:rsidRDefault="00AF1440" w:rsidP="001A0FF4">
      <w:pPr>
        <w:pStyle w:val="notepara"/>
      </w:pPr>
      <w:r w:rsidRPr="00F673EE">
        <w:t>(c)</w:t>
      </w:r>
      <w:r w:rsidRPr="00F673EE">
        <w:tab/>
        <w:t>the requirement for business franchise licences;</w:t>
      </w:r>
    </w:p>
    <w:p w:rsidR="00AF1440" w:rsidRPr="00F673EE" w:rsidRDefault="00AF1440" w:rsidP="001A0FF4">
      <w:pPr>
        <w:pStyle w:val="notepara"/>
      </w:pPr>
      <w:r w:rsidRPr="00F673EE">
        <w:t>(d)</w:t>
      </w:r>
      <w:r w:rsidRPr="00F673EE">
        <w:tab/>
        <w:t>the persons to whom goods may or may not be sold;</w:t>
      </w:r>
    </w:p>
    <w:p w:rsidR="00AF1440" w:rsidRPr="00F673EE" w:rsidRDefault="00AF1440" w:rsidP="001A0FF4">
      <w:pPr>
        <w:pStyle w:val="notepara"/>
      </w:pPr>
      <w:r w:rsidRPr="00F673EE">
        <w:t>(e)</w:t>
      </w:r>
      <w:r w:rsidRPr="00F673EE">
        <w:tab/>
        <w:t>the circumstances in which goods may or may not be sold.</w:t>
      </w:r>
    </w:p>
    <w:p w:rsidR="00AF1440" w:rsidRPr="00F673EE" w:rsidRDefault="00AF1440" w:rsidP="00AF1440">
      <w:pPr>
        <w:pStyle w:val="subsection"/>
      </w:pPr>
      <w:r w:rsidRPr="00F673EE">
        <w:tab/>
        <w:t>(3)</w:t>
      </w:r>
      <w:r w:rsidRPr="00F673EE">
        <w:tab/>
        <w:t>The second exception is that the principle does not affect the operation of any laws of an Australian jurisdiction regarding the transportation, storage or handling of goods within the jurisdiction, so long as:</w:t>
      </w:r>
    </w:p>
    <w:p w:rsidR="00AF1440" w:rsidRPr="00F673EE" w:rsidRDefault="00AF1440" w:rsidP="00AF1440">
      <w:pPr>
        <w:pStyle w:val="paragraph"/>
      </w:pPr>
      <w:r w:rsidRPr="00F673EE">
        <w:tab/>
        <w:t>(a)</w:t>
      </w:r>
      <w:r w:rsidRPr="00F673EE">
        <w:tab/>
        <w:t xml:space="preserve">those laws apply equally to goods produced in or imported into the jurisdiction; and </w:t>
      </w:r>
    </w:p>
    <w:p w:rsidR="00AF1440" w:rsidRPr="00F673EE" w:rsidRDefault="00AF1440" w:rsidP="00AF1440">
      <w:pPr>
        <w:pStyle w:val="paragraph"/>
      </w:pPr>
      <w:r w:rsidRPr="00F673EE">
        <w:tab/>
        <w:t>(b)</w:t>
      </w:r>
      <w:r w:rsidRPr="00F673EE">
        <w:tab/>
        <w:t>those laws are directed at matters affecting health and safety of persons in the jurisdiction or at preventing, minimising or regulating environmental pollution (including air, water, noise or soil pollution) in the jurisdiction.</w:t>
      </w:r>
    </w:p>
    <w:p w:rsidR="00AF1440" w:rsidRPr="00F673EE" w:rsidRDefault="00AF1440" w:rsidP="00AF1440">
      <w:pPr>
        <w:pStyle w:val="subsection"/>
      </w:pPr>
      <w:r w:rsidRPr="00F673EE">
        <w:lastRenderedPageBreak/>
        <w:tab/>
        <w:t>(4)</w:t>
      </w:r>
      <w:r w:rsidRPr="00F673EE">
        <w:tab/>
        <w:t>The third exception is that the principle does not affect the operation of any laws of an Australian jurisdiction regarding the inspection of goods within the jurisdiction, so long as:</w:t>
      </w:r>
    </w:p>
    <w:p w:rsidR="00AF1440" w:rsidRPr="00F673EE" w:rsidRDefault="00AF1440" w:rsidP="00AF1440">
      <w:pPr>
        <w:pStyle w:val="paragraph"/>
      </w:pPr>
      <w:r w:rsidRPr="00F673EE">
        <w:tab/>
        <w:t>(a)</w:t>
      </w:r>
      <w:r w:rsidRPr="00F673EE">
        <w:tab/>
        <w:t xml:space="preserve">inspection or the requirement for inspection is not a prerequisite to the sale of the goods in the jurisdiction; and </w:t>
      </w:r>
    </w:p>
    <w:p w:rsidR="00AF1440" w:rsidRPr="00F673EE" w:rsidRDefault="00AF1440" w:rsidP="00AF1440">
      <w:pPr>
        <w:pStyle w:val="paragraph"/>
      </w:pPr>
      <w:r w:rsidRPr="00F673EE">
        <w:tab/>
        <w:t>(b)</w:t>
      </w:r>
      <w:r w:rsidRPr="00F673EE">
        <w:tab/>
        <w:t xml:space="preserve">those laws apply equally to goods produced in or imported into the jurisdiction; and </w:t>
      </w:r>
    </w:p>
    <w:p w:rsidR="00AF1440" w:rsidRPr="00F673EE" w:rsidRDefault="00AF1440" w:rsidP="00AF1440">
      <w:pPr>
        <w:pStyle w:val="paragraph"/>
      </w:pPr>
      <w:r w:rsidRPr="00F673EE">
        <w:tab/>
        <w:t>(c)</w:t>
      </w:r>
      <w:r w:rsidRPr="00F673EE">
        <w:tab/>
        <w:t>those laws are directed at matters affecting the health and safety of persons in the jurisdiction or at preventing, minimising or regulating environmental pollution (including air, water, noise or soil pollution) in the jurisdiction.</w:t>
      </w:r>
    </w:p>
    <w:p w:rsidR="00AF1440" w:rsidRPr="00F673EE" w:rsidRDefault="00AF1440" w:rsidP="00AF1440">
      <w:pPr>
        <w:pStyle w:val="ActHead5"/>
      </w:pPr>
      <w:bookmarkStart w:id="15" w:name="_Toc532465232"/>
      <w:r w:rsidRPr="00F673EE">
        <w:rPr>
          <w:rStyle w:val="CharSectno"/>
        </w:rPr>
        <w:t>13</w:t>
      </w:r>
      <w:r w:rsidRPr="00F673EE">
        <w:t xml:space="preserve">  Defences to offences regarding sale</w:t>
      </w:r>
      <w:bookmarkEnd w:id="15"/>
    </w:p>
    <w:p w:rsidR="00AF1440" w:rsidRPr="00F673EE" w:rsidRDefault="00AF1440" w:rsidP="00AF1440">
      <w:pPr>
        <w:pStyle w:val="subsection"/>
      </w:pPr>
      <w:r w:rsidRPr="00F673EE">
        <w:tab/>
        <w:t>(1)</w:t>
      </w:r>
      <w:r w:rsidRPr="00F673EE">
        <w:tab/>
        <w:t>It is a defence to a prosecution for an offence against a law of an Australian jurisdiction in relation to the sale of any goods if the defendant expressly claims that the Trans</w:t>
      </w:r>
      <w:r w:rsidR="00F673EE">
        <w:noBreakHyphen/>
      </w:r>
      <w:r w:rsidRPr="00F673EE">
        <w:t>Tasman mutual recognition principle applies and establishes that:</w:t>
      </w:r>
    </w:p>
    <w:p w:rsidR="00AF1440" w:rsidRPr="00F673EE" w:rsidRDefault="00AF1440" w:rsidP="00AF1440">
      <w:pPr>
        <w:pStyle w:val="paragraph"/>
      </w:pPr>
      <w:r w:rsidRPr="00F673EE">
        <w:tab/>
        <w:t>(a)</w:t>
      </w:r>
      <w:r w:rsidRPr="00F673EE">
        <w:tab/>
        <w:t>the goods were labelled at the point of sale with a statement to the effect that the goods were produced in or imported into New Zealand; and</w:t>
      </w:r>
    </w:p>
    <w:p w:rsidR="00AF1440" w:rsidRPr="00F673EE" w:rsidRDefault="00AF1440" w:rsidP="00AF1440">
      <w:pPr>
        <w:pStyle w:val="paragraph"/>
      </w:pPr>
      <w:r w:rsidRPr="00F673EE">
        <w:tab/>
        <w:t>(b)</w:t>
      </w:r>
      <w:r w:rsidRPr="00F673EE">
        <w:tab/>
        <w:t>the defendant had no reasonable grounds for suspecting that they were not so produced or imported.</w:t>
      </w:r>
    </w:p>
    <w:p w:rsidR="00AF1440" w:rsidRPr="00F673EE" w:rsidRDefault="00AF1440" w:rsidP="00AF1440">
      <w:pPr>
        <w:pStyle w:val="subsection"/>
      </w:pPr>
      <w:r w:rsidRPr="00F673EE">
        <w:tab/>
        <w:t>(2)</w:t>
      </w:r>
      <w:r w:rsidRPr="00F673EE">
        <w:tab/>
        <w:t>The defence is not available if the prosecution proves that the Trans</w:t>
      </w:r>
      <w:r w:rsidR="00F673EE">
        <w:noBreakHyphen/>
      </w:r>
      <w:r w:rsidRPr="00F673EE">
        <w:t xml:space="preserve">Tasman mutual recognition principle did not apply in the circumstances of the alleged offence (because for example the goods did not comply with requirements imposed by the law of </w:t>
      </w:r>
      <w:smartTag w:uri="urn:schemas-microsoft-com:office:smarttags" w:element="country-region">
        <w:smartTag w:uri="urn:schemas-microsoft-com:office:smarttags" w:element="place">
          <w:r w:rsidRPr="00F673EE">
            <w:t>New Zealand</w:t>
          </w:r>
        </w:smartTag>
      </w:smartTag>
      <w:r w:rsidRPr="00F673EE">
        <w:t>).</w:t>
      </w:r>
    </w:p>
    <w:p w:rsidR="00AF1440" w:rsidRPr="00F673EE" w:rsidRDefault="00AF1440" w:rsidP="00AF1440">
      <w:pPr>
        <w:pStyle w:val="subsection"/>
      </w:pPr>
      <w:r w:rsidRPr="00F673EE">
        <w:tab/>
        <w:t>(3)</w:t>
      </w:r>
      <w:r w:rsidRPr="00F673EE">
        <w:tab/>
        <w:t xml:space="preserve">Any relevant presumptions or evidentiary procedures under the law of </w:t>
      </w:r>
      <w:smartTag w:uri="urn:schemas-microsoft-com:office:smarttags" w:element="country-region">
        <w:smartTag w:uri="urn:schemas-microsoft-com:office:smarttags" w:element="place">
          <w:r w:rsidRPr="00F673EE">
            <w:t>New Zealand</w:t>
          </w:r>
        </w:smartTag>
      </w:smartTag>
      <w:r w:rsidRPr="00F673EE">
        <w:t xml:space="preserve"> are available to the prosecution or defendant in relation to matters sought to be proved by the prosecution under </w:t>
      </w:r>
      <w:r w:rsidR="00F673EE">
        <w:t>subsection (</w:t>
      </w:r>
      <w:r w:rsidRPr="00F673EE">
        <w:t>2).</w:t>
      </w:r>
    </w:p>
    <w:p w:rsidR="00AF1440" w:rsidRPr="00F673EE" w:rsidRDefault="00AF1440" w:rsidP="00AF1440">
      <w:pPr>
        <w:pStyle w:val="subsection"/>
      </w:pPr>
      <w:r w:rsidRPr="00F673EE">
        <w:tab/>
        <w:t>(4)</w:t>
      </w:r>
      <w:r w:rsidRPr="00F673EE">
        <w:tab/>
        <w:t xml:space="preserve">Any relevant defences under the law of </w:t>
      </w:r>
      <w:smartTag w:uri="urn:schemas-microsoft-com:office:smarttags" w:element="country-region">
        <w:smartTag w:uri="urn:schemas-microsoft-com:office:smarttags" w:element="place">
          <w:r w:rsidRPr="00F673EE">
            <w:t>New Zealand</w:t>
          </w:r>
        </w:smartTag>
      </w:smartTag>
      <w:r w:rsidRPr="00F673EE">
        <w:t xml:space="preserve"> are available to the defendant in relation to matters sought to be proved by the prosecution under </w:t>
      </w:r>
      <w:r w:rsidR="00F673EE">
        <w:t>subsection (</w:t>
      </w:r>
      <w:r w:rsidRPr="00F673EE">
        <w:t>2).</w:t>
      </w:r>
    </w:p>
    <w:p w:rsidR="00AF1440" w:rsidRPr="00F673EE" w:rsidRDefault="00AF1440" w:rsidP="00AF1440">
      <w:pPr>
        <w:pStyle w:val="subsection"/>
      </w:pPr>
      <w:r w:rsidRPr="00F673EE">
        <w:lastRenderedPageBreak/>
        <w:tab/>
        <w:t>(5)</w:t>
      </w:r>
      <w:r w:rsidRPr="00F673EE">
        <w:tab/>
        <w:t>This section does not affect any defence that is available apart from this section.</w:t>
      </w:r>
    </w:p>
    <w:p w:rsidR="00AF1440" w:rsidRPr="00F673EE" w:rsidRDefault="00AF1440" w:rsidP="00AF1440">
      <w:pPr>
        <w:pStyle w:val="ActHead5"/>
      </w:pPr>
      <w:bookmarkStart w:id="16" w:name="_Toc532465233"/>
      <w:r w:rsidRPr="00F673EE">
        <w:rPr>
          <w:rStyle w:val="CharSectno"/>
        </w:rPr>
        <w:t>14</w:t>
      </w:r>
      <w:r w:rsidRPr="00F673EE">
        <w:t xml:space="preserve">  Goods that comply with local law</w:t>
      </w:r>
      <w:bookmarkEnd w:id="16"/>
    </w:p>
    <w:p w:rsidR="00AF1440" w:rsidRPr="00F673EE" w:rsidRDefault="00AF1440" w:rsidP="00AF1440">
      <w:pPr>
        <w:pStyle w:val="subsection"/>
      </w:pPr>
      <w:r w:rsidRPr="00F673EE">
        <w:tab/>
      </w:r>
      <w:r w:rsidRPr="00F673EE">
        <w:tab/>
        <w:t>Nothing in this Part prevents goods from being sold in an Australian jurisdiction if (apart from this Act) they comply with the relevant requirements of the law in force in the jurisdiction.</w:t>
      </w:r>
    </w:p>
    <w:p w:rsidR="00AF1440" w:rsidRPr="00F673EE" w:rsidRDefault="00AF1440" w:rsidP="00D24366">
      <w:pPr>
        <w:pStyle w:val="ActHead2"/>
        <w:pageBreakBefore/>
      </w:pPr>
      <w:bookmarkStart w:id="17" w:name="_Toc532465234"/>
      <w:r w:rsidRPr="00F673EE">
        <w:rPr>
          <w:rStyle w:val="CharPartNo"/>
        </w:rPr>
        <w:lastRenderedPageBreak/>
        <w:t>Part</w:t>
      </w:r>
      <w:r w:rsidR="00F673EE" w:rsidRPr="00F673EE">
        <w:rPr>
          <w:rStyle w:val="CharPartNo"/>
        </w:rPr>
        <w:t> </w:t>
      </w:r>
      <w:r w:rsidRPr="00F673EE">
        <w:rPr>
          <w:rStyle w:val="CharPartNo"/>
        </w:rPr>
        <w:t>3</w:t>
      </w:r>
      <w:r w:rsidRPr="00F673EE">
        <w:t>—</w:t>
      </w:r>
      <w:r w:rsidRPr="00F673EE">
        <w:rPr>
          <w:rStyle w:val="CharPartText"/>
        </w:rPr>
        <w:t>Occupations</w:t>
      </w:r>
      <w:bookmarkEnd w:id="17"/>
    </w:p>
    <w:p w:rsidR="00AF1440" w:rsidRPr="00F673EE" w:rsidRDefault="00AF1440" w:rsidP="00AF1440">
      <w:pPr>
        <w:pStyle w:val="ActHead3"/>
      </w:pPr>
      <w:bookmarkStart w:id="18" w:name="_Toc532465235"/>
      <w:r w:rsidRPr="00F673EE">
        <w:rPr>
          <w:rStyle w:val="CharDivNo"/>
        </w:rPr>
        <w:t>Division</w:t>
      </w:r>
      <w:r w:rsidR="00F673EE" w:rsidRPr="00F673EE">
        <w:rPr>
          <w:rStyle w:val="CharDivNo"/>
        </w:rPr>
        <w:t> </w:t>
      </w:r>
      <w:r w:rsidRPr="00F673EE">
        <w:rPr>
          <w:rStyle w:val="CharDivNo"/>
        </w:rPr>
        <w:t>1</w:t>
      </w:r>
      <w:r w:rsidRPr="00F673EE">
        <w:t>—</w:t>
      </w:r>
      <w:r w:rsidRPr="00F673EE">
        <w:rPr>
          <w:rStyle w:val="CharDivText"/>
        </w:rPr>
        <w:t>Preliminary</w:t>
      </w:r>
      <w:bookmarkEnd w:id="18"/>
    </w:p>
    <w:p w:rsidR="00AF1440" w:rsidRPr="00F673EE" w:rsidRDefault="00AF1440" w:rsidP="00AF1440">
      <w:pPr>
        <w:pStyle w:val="ActHead5"/>
      </w:pPr>
      <w:bookmarkStart w:id="19" w:name="_Toc532465236"/>
      <w:r w:rsidRPr="00F673EE">
        <w:rPr>
          <w:rStyle w:val="CharSectno"/>
        </w:rPr>
        <w:t>15</w:t>
      </w:r>
      <w:r w:rsidRPr="00F673EE">
        <w:t xml:space="preserve">  Trans</w:t>
      </w:r>
      <w:r w:rsidR="00F673EE">
        <w:noBreakHyphen/>
      </w:r>
      <w:r w:rsidRPr="00F673EE">
        <w:t>Tasman mutual recognition principle</w:t>
      </w:r>
      <w:bookmarkEnd w:id="19"/>
    </w:p>
    <w:p w:rsidR="00AF1440" w:rsidRPr="00F673EE" w:rsidRDefault="00AF1440" w:rsidP="00AF1440">
      <w:pPr>
        <w:pStyle w:val="subsection"/>
      </w:pPr>
      <w:r w:rsidRPr="00F673EE">
        <w:tab/>
        <w:t>(1)</w:t>
      </w:r>
      <w:r w:rsidRPr="00F673EE">
        <w:tab/>
        <w:t>The Trans</w:t>
      </w:r>
      <w:r w:rsidR="00F673EE">
        <w:noBreakHyphen/>
      </w:r>
      <w:r w:rsidRPr="00F673EE">
        <w:t>Tasman mutual recognition principle as applying to occupations is as set out in this Part.</w:t>
      </w:r>
    </w:p>
    <w:p w:rsidR="00AF1440" w:rsidRPr="00F673EE" w:rsidRDefault="00AF1440" w:rsidP="00AF1440">
      <w:pPr>
        <w:pStyle w:val="subsection"/>
      </w:pPr>
      <w:r w:rsidRPr="00F673EE">
        <w:tab/>
        <w:t>(2)</w:t>
      </w:r>
      <w:r w:rsidRPr="00F673EE">
        <w:tab/>
        <w:t xml:space="preserve">This Part deals with the ability of a person who is registered in connection with an occupation in </w:t>
      </w:r>
      <w:smartTag w:uri="urn:schemas-microsoft-com:office:smarttags" w:element="country-region">
        <w:smartTag w:uri="urn:schemas-microsoft-com:office:smarttags" w:element="place">
          <w:r w:rsidRPr="00F673EE">
            <w:t>New Zealand</w:t>
          </w:r>
        </w:smartTag>
      </w:smartTag>
      <w:r w:rsidRPr="00F673EE">
        <w:t xml:space="preserve"> to carry on an equivalent occupation in </w:t>
      </w:r>
      <w:smartTag w:uri="urn:schemas-microsoft-com:office:smarttags" w:element="country-region">
        <w:smartTag w:uri="urn:schemas-microsoft-com:office:smarttags" w:element="place">
          <w:r w:rsidRPr="00F673EE">
            <w:t>Australia</w:t>
          </w:r>
        </w:smartTag>
      </w:smartTag>
      <w:r w:rsidRPr="00F673EE">
        <w:t>.</w:t>
      </w:r>
    </w:p>
    <w:p w:rsidR="00AF1440" w:rsidRPr="00F673EE" w:rsidRDefault="00AF1440" w:rsidP="00AF1440">
      <w:pPr>
        <w:pStyle w:val="ActHead5"/>
      </w:pPr>
      <w:bookmarkStart w:id="20" w:name="_Toc532465237"/>
      <w:r w:rsidRPr="00F673EE">
        <w:rPr>
          <w:rStyle w:val="CharSectno"/>
        </w:rPr>
        <w:t>16</w:t>
      </w:r>
      <w:r w:rsidRPr="00F673EE">
        <w:t xml:space="preserve">  Entitlement to carry on occupation</w:t>
      </w:r>
      <w:bookmarkEnd w:id="20"/>
      <w:r w:rsidRPr="00F673EE">
        <w:t xml:space="preserve"> </w:t>
      </w:r>
    </w:p>
    <w:p w:rsidR="00AF1440" w:rsidRPr="00F673EE" w:rsidRDefault="00AF1440" w:rsidP="00AF1440">
      <w:pPr>
        <w:pStyle w:val="subsection"/>
      </w:pPr>
      <w:r w:rsidRPr="00F673EE">
        <w:tab/>
        <w:t>(1)</w:t>
      </w:r>
      <w:r w:rsidRPr="00F673EE">
        <w:tab/>
        <w:t>The Trans</w:t>
      </w:r>
      <w:r w:rsidR="00F673EE">
        <w:noBreakHyphen/>
      </w:r>
      <w:r w:rsidRPr="00F673EE">
        <w:t xml:space="preserve">Tasman mutual recognition principle is that, subject to this Part, a person who is registered in </w:t>
      </w:r>
      <w:smartTag w:uri="urn:schemas-microsoft-com:office:smarttags" w:element="country-region">
        <w:smartTag w:uri="urn:schemas-microsoft-com:office:smarttags" w:element="place">
          <w:r w:rsidRPr="00F673EE">
            <w:t>New Zealand</w:t>
          </w:r>
        </w:smartTag>
      </w:smartTag>
      <w:r w:rsidRPr="00F673EE">
        <w:t xml:space="preserve"> for an occupation is, by virtue of this Act, entitled after notifying the local registration authority of an Australian jurisdiction for the equivalent occupation:</w:t>
      </w:r>
    </w:p>
    <w:p w:rsidR="00AF1440" w:rsidRPr="00F673EE" w:rsidRDefault="00AF1440" w:rsidP="00AF1440">
      <w:pPr>
        <w:pStyle w:val="paragraph"/>
      </w:pPr>
      <w:r w:rsidRPr="00F673EE">
        <w:tab/>
        <w:t>(a)</w:t>
      </w:r>
      <w:r w:rsidRPr="00F673EE">
        <w:tab/>
        <w:t xml:space="preserve">to be registered in the jurisdiction for the equivalent occupation; and </w:t>
      </w:r>
    </w:p>
    <w:p w:rsidR="00AF1440" w:rsidRPr="00F673EE" w:rsidRDefault="00AF1440" w:rsidP="00AF1440">
      <w:pPr>
        <w:pStyle w:val="paragraph"/>
      </w:pPr>
      <w:r w:rsidRPr="00F673EE">
        <w:tab/>
        <w:t>(b)</w:t>
      </w:r>
      <w:r w:rsidRPr="00F673EE">
        <w:tab/>
        <w:t>pending such registration, to carry on the equivalent occupation in the jurisdiction.</w:t>
      </w:r>
    </w:p>
    <w:p w:rsidR="00AF1440" w:rsidRPr="00F673EE" w:rsidRDefault="00AF1440" w:rsidP="00AF1440">
      <w:pPr>
        <w:pStyle w:val="subsection"/>
      </w:pPr>
      <w:r w:rsidRPr="00F673EE">
        <w:tab/>
        <w:t>(2)</w:t>
      </w:r>
      <w:r w:rsidRPr="00F673EE">
        <w:tab/>
        <w:t>However, the Trans</w:t>
      </w:r>
      <w:r w:rsidR="00F673EE">
        <w:noBreakHyphen/>
      </w:r>
      <w:r w:rsidRPr="00F673EE">
        <w:t>Tasman mutual recognition principle is subject to the exception that it does not affect the operation of laws that regulate the manner of carrying on an occupation in an Australian jurisdiction, so long as those laws:</w:t>
      </w:r>
    </w:p>
    <w:p w:rsidR="00AF1440" w:rsidRPr="00F673EE" w:rsidRDefault="00AF1440" w:rsidP="00AF1440">
      <w:pPr>
        <w:pStyle w:val="paragraph"/>
      </w:pPr>
      <w:r w:rsidRPr="00F673EE">
        <w:tab/>
        <w:t>(a)</w:t>
      </w:r>
      <w:r w:rsidRPr="00F673EE">
        <w:tab/>
        <w:t xml:space="preserve">apply equally to all persons carrying on or seeking to carry on the occupation under the law of the jurisdiction; and </w:t>
      </w:r>
    </w:p>
    <w:p w:rsidR="00AF1440" w:rsidRPr="00F673EE" w:rsidRDefault="00AF1440" w:rsidP="00AF1440">
      <w:pPr>
        <w:pStyle w:val="paragraph"/>
      </w:pPr>
      <w:r w:rsidRPr="00F673EE">
        <w:tab/>
        <w:t>(b)</w:t>
      </w:r>
      <w:r w:rsidRPr="00F673EE">
        <w:tab/>
        <w:t>are not based on the attainment or possession of some qualification or experience relating to fitness to carry on the occupation.</w:t>
      </w:r>
    </w:p>
    <w:p w:rsidR="00AF1440" w:rsidRPr="00F673EE" w:rsidRDefault="00AF1440" w:rsidP="00AF1440">
      <w:pPr>
        <w:pStyle w:val="ActHead5"/>
      </w:pPr>
      <w:bookmarkStart w:id="21" w:name="_Toc532465238"/>
      <w:r w:rsidRPr="00F673EE">
        <w:rPr>
          <w:rStyle w:val="CharSectno"/>
        </w:rPr>
        <w:lastRenderedPageBreak/>
        <w:t>17</w:t>
      </w:r>
      <w:r w:rsidRPr="00F673EE">
        <w:t xml:space="preserve">  Application of this Part</w:t>
      </w:r>
      <w:bookmarkEnd w:id="21"/>
    </w:p>
    <w:p w:rsidR="00AF1440" w:rsidRPr="00F673EE" w:rsidRDefault="00AF1440" w:rsidP="00AF1440">
      <w:pPr>
        <w:pStyle w:val="subsection"/>
      </w:pPr>
      <w:r w:rsidRPr="00F673EE">
        <w:tab/>
        <w:t>(1)</w:t>
      </w:r>
      <w:r w:rsidRPr="00F673EE">
        <w:tab/>
        <w:t>This Part applies to individuals and occupations carried on by them.</w:t>
      </w:r>
    </w:p>
    <w:p w:rsidR="00AF1440" w:rsidRPr="00F673EE" w:rsidRDefault="00AF1440" w:rsidP="00AF1440">
      <w:pPr>
        <w:pStyle w:val="subsection"/>
      </w:pPr>
      <w:r w:rsidRPr="00F673EE">
        <w:tab/>
        <w:t>(2)</w:t>
      </w:r>
      <w:r w:rsidRPr="00F673EE">
        <w:tab/>
        <w:t>This Part extends to an occupation carried on by an individual, where the individual is subject to more than one system of registration or more than one local registration authority in a participating jurisdiction, and accordingly this Part applies in relation to each such system of registration and each such authority.</w:t>
      </w:r>
    </w:p>
    <w:p w:rsidR="00AF1440" w:rsidRPr="00F673EE" w:rsidRDefault="00AF1440" w:rsidP="00AF1440">
      <w:pPr>
        <w:pStyle w:val="subsection"/>
      </w:pPr>
      <w:r w:rsidRPr="00F673EE">
        <w:tab/>
        <w:t>(3)</w:t>
      </w:r>
      <w:r w:rsidRPr="00F673EE">
        <w:tab/>
        <w:t xml:space="preserve">Without limiting </w:t>
      </w:r>
      <w:r w:rsidR="00F673EE">
        <w:t>subsection (</w:t>
      </w:r>
      <w:r w:rsidRPr="00F673EE">
        <w:t>2), an example of such an occupation is that of a legal practitioner, which involves both the admission as a legal practitioner by a court and the issue of a practising certificate by another body.</w:t>
      </w:r>
    </w:p>
    <w:p w:rsidR="00AF1440" w:rsidRPr="00F673EE" w:rsidRDefault="00AF1440" w:rsidP="00D24366">
      <w:pPr>
        <w:pStyle w:val="ActHead3"/>
        <w:pageBreakBefore/>
      </w:pPr>
      <w:bookmarkStart w:id="22" w:name="_Toc532465239"/>
      <w:r w:rsidRPr="00F673EE">
        <w:rPr>
          <w:rStyle w:val="CharDivNo"/>
        </w:rPr>
        <w:lastRenderedPageBreak/>
        <w:t>Division</w:t>
      </w:r>
      <w:r w:rsidR="00F673EE" w:rsidRPr="00F673EE">
        <w:rPr>
          <w:rStyle w:val="CharDivNo"/>
        </w:rPr>
        <w:t> </w:t>
      </w:r>
      <w:r w:rsidRPr="00F673EE">
        <w:rPr>
          <w:rStyle w:val="CharDivNo"/>
        </w:rPr>
        <w:t>2</w:t>
      </w:r>
      <w:r w:rsidRPr="00F673EE">
        <w:t>—</w:t>
      </w:r>
      <w:r w:rsidRPr="00F673EE">
        <w:rPr>
          <w:rStyle w:val="CharDivText"/>
        </w:rPr>
        <w:t>Entitlement to registration</w:t>
      </w:r>
      <w:bookmarkEnd w:id="22"/>
    </w:p>
    <w:p w:rsidR="00AF1440" w:rsidRPr="00F673EE" w:rsidRDefault="00AF1440" w:rsidP="00AF1440">
      <w:pPr>
        <w:pStyle w:val="ActHead5"/>
      </w:pPr>
      <w:bookmarkStart w:id="23" w:name="_Toc532465240"/>
      <w:r w:rsidRPr="00F673EE">
        <w:rPr>
          <w:rStyle w:val="CharSectno"/>
        </w:rPr>
        <w:t>18</w:t>
      </w:r>
      <w:r w:rsidRPr="00F673EE">
        <w:t xml:space="preserve">  Notification to local registration authority</w:t>
      </w:r>
      <w:bookmarkEnd w:id="23"/>
    </w:p>
    <w:p w:rsidR="00AF1440" w:rsidRPr="00F673EE" w:rsidRDefault="00AF1440" w:rsidP="00AF1440">
      <w:pPr>
        <w:pStyle w:val="subsection"/>
      </w:pPr>
      <w:r w:rsidRPr="00F673EE">
        <w:tab/>
        <w:t>(1)</w:t>
      </w:r>
      <w:r w:rsidRPr="00F673EE">
        <w:tab/>
        <w:t xml:space="preserve">A person who is registered in </w:t>
      </w:r>
      <w:smartTag w:uri="urn:schemas-microsoft-com:office:smarttags" w:element="country-region">
        <w:smartTag w:uri="urn:schemas-microsoft-com:office:smarttags" w:element="place">
          <w:r w:rsidRPr="00F673EE">
            <w:t>New Zealand</w:t>
          </w:r>
        </w:smartTag>
      </w:smartTag>
      <w:r w:rsidRPr="00F673EE">
        <w:t xml:space="preserve"> for an occupation may lodge a written notice with the local registration authority of an Australian jurisdiction for the equivalent occupation, seeking registration for the equivalent occupation in accordance with the Trans</w:t>
      </w:r>
      <w:r w:rsidR="00F673EE">
        <w:noBreakHyphen/>
      </w:r>
      <w:r w:rsidRPr="00F673EE">
        <w:t>Tasman mutual recognition principle.</w:t>
      </w:r>
    </w:p>
    <w:p w:rsidR="00AF1440" w:rsidRPr="00F673EE" w:rsidRDefault="00AF1440" w:rsidP="00AF1440">
      <w:pPr>
        <w:pStyle w:val="subsection"/>
      </w:pPr>
      <w:r w:rsidRPr="00F673EE">
        <w:tab/>
        <w:t>(2)</w:t>
      </w:r>
      <w:r w:rsidRPr="00F673EE">
        <w:tab/>
        <w:t>The notice must:</w:t>
      </w:r>
    </w:p>
    <w:p w:rsidR="00AF1440" w:rsidRPr="00F673EE" w:rsidRDefault="00AF1440" w:rsidP="00AF1440">
      <w:pPr>
        <w:pStyle w:val="paragraph"/>
      </w:pPr>
      <w:r w:rsidRPr="00F673EE">
        <w:tab/>
        <w:t>(a)</w:t>
      </w:r>
      <w:r w:rsidRPr="00F673EE">
        <w:tab/>
        <w:t xml:space="preserve">state that the person is registered for the occupation in </w:t>
      </w:r>
      <w:smartTag w:uri="urn:schemas-microsoft-com:office:smarttags" w:element="country-region">
        <w:smartTag w:uri="urn:schemas-microsoft-com:office:smarttags" w:element="place">
          <w:r w:rsidRPr="00F673EE">
            <w:t>New Zealand</w:t>
          </w:r>
        </w:smartTag>
      </w:smartTag>
      <w:r w:rsidRPr="00F673EE">
        <w:t xml:space="preserve">; and </w:t>
      </w:r>
    </w:p>
    <w:p w:rsidR="00AF1440" w:rsidRPr="00F673EE" w:rsidRDefault="00AF1440" w:rsidP="00AF1440">
      <w:pPr>
        <w:pStyle w:val="paragraph"/>
      </w:pPr>
      <w:r w:rsidRPr="00F673EE">
        <w:tab/>
        <w:t>(b)</w:t>
      </w:r>
      <w:r w:rsidRPr="00F673EE">
        <w:tab/>
        <w:t>state the occupation for which registration is sought and that it is being sought in accordance with the Trans</w:t>
      </w:r>
      <w:r w:rsidR="00F673EE">
        <w:noBreakHyphen/>
      </w:r>
      <w:r w:rsidRPr="00F673EE">
        <w:t xml:space="preserve">Tasman mutual recognition principle; and </w:t>
      </w:r>
    </w:p>
    <w:p w:rsidR="00AF1440" w:rsidRPr="00F673EE" w:rsidRDefault="00AF1440" w:rsidP="00AF1440">
      <w:pPr>
        <w:pStyle w:val="paragraph"/>
      </w:pPr>
      <w:r w:rsidRPr="00F673EE">
        <w:tab/>
        <w:t>(c)</w:t>
      </w:r>
      <w:r w:rsidRPr="00F673EE">
        <w:tab/>
        <w:t>specify all the participating jurisdictions in which the person has substantive registration for equivalent occupations; and</w:t>
      </w:r>
    </w:p>
    <w:p w:rsidR="00AF1440" w:rsidRPr="00F673EE" w:rsidRDefault="00AF1440" w:rsidP="00AF1440">
      <w:pPr>
        <w:pStyle w:val="paragraph"/>
      </w:pPr>
      <w:r w:rsidRPr="00F673EE">
        <w:tab/>
        <w:t>(d)</w:t>
      </w:r>
      <w:r w:rsidRPr="00F673EE">
        <w:tab/>
        <w:t xml:space="preserve">state that the person is not the subject of disciplinary proceedings in any participating jurisdiction (including any preliminary investigations or action that might lead to disciplinary proceedings) in relation to those occupations; and </w:t>
      </w:r>
    </w:p>
    <w:p w:rsidR="00AF1440" w:rsidRPr="00F673EE" w:rsidRDefault="00AF1440" w:rsidP="00AF1440">
      <w:pPr>
        <w:pStyle w:val="paragraph"/>
      </w:pPr>
      <w:r w:rsidRPr="00F673EE">
        <w:tab/>
        <w:t>(e)</w:t>
      </w:r>
      <w:r w:rsidRPr="00F673EE">
        <w:tab/>
        <w:t xml:space="preserve">state that the person's registration in any participating jurisdiction is not cancelled or currently suspended as a result of disciplinary action; and </w:t>
      </w:r>
    </w:p>
    <w:p w:rsidR="00AF1440" w:rsidRPr="00F673EE" w:rsidRDefault="00AF1440" w:rsidP="00AF1440">
      <w:pPr>
        <w:pStyle w:val="paragraph"/>
      </w:pPr>
      <w:r w:rsidRPr="00F673EE">
        <w:tab/>
        <w:t>(f)</w:t>
      </w:r>
      <w:r w:rsidRPr="00F673EE">
        <w:tab/>
        <w:t>state that the person is not otherwise personally prohibited from carrying on any such occupation in any participating jurisdiction, and is not subject to any special conditions in carrying on that occupation, as a result of criminal, civil or disciplinary proceedings in any participating jurisdiction; and</w:t>
      </w:r>
    </w:p>
    <w:p w:rsidR="00AF1440" w:rsidRPr="00F673EE" w:rsidRDefault="00AF1440" w:rsidP="00AF1440">
      <w:pPr>
        <w:pStyle w:val="paragraph"/>
      </w:pPr>
      <w:r w:rsidRPr="00F673EE">
        <w:tab/>
        <w:t>(g)</w:t>
      </w:r>
      <w:r w:rsidRPr="00F673EE">
        <w:tab/>
        <w:t xml:space="preserve">specify any special conditions to which the person is subject in carrying on any such occupation in any participating jurisdiction; and </w:t>
      </w:r>
    </w:p>
    <w:p w:rsidR="00AF1440" w:rsidRPr="00F673EE" w:rsidRDefault="00AF1440" w:rsidP="00AF1440">
      <w:pPr>
        <w:pStyle w:val="paragraph"/>
      </w:pPr>
      <w:r w:rsidRPr="00F673EE">
        <w:tab/>
        <w:t>(h)</w:t>
      </w:r>
      <w:r w:rsidRPr="00F673EE">
        <w:tab/>
        <w:t xml:space="preserve">give consent to the making of inquiries of, and the exchange of information with, the authorities of any participating </w:t>
      </w:r>
      <w:r w:rsidRPr="00F673EE">
        <w:lastRenderedPageBreak/>
        <w:t>jurisdiction regarding the person's activities in the relevant occupation or occupations or otherwise regarding matters relevant to the notice.</w:t>
      </w:r>
    </w:p>
    <w:p w:rsidR="00AF1440" w:rsidRPr="00F673EE" w:rsidRDefault="00AF1440" w:rsidP="00AF1440">
      <w:pPr>
        <w:pStyle w:val="subsection"/>
      </w:pPr>
      <w:r w:rsidRPr="00F673EE">
        <w:tab/>
        <w:t>(3)</w:t>
      </w:r>
      <w:r w:rsidRPr="00F673EE">
        <w:tab/>
        <w:t>The notice must be accompanied by a document that is either the original or a copy of the instrument evidencing the person's existing registration (or, if there is no such instrument, by sufficient information to identify the person and the person's registration).</w:t>
      </w:r>
    </w:p>
    <w:p w:rsidR="00AF1440" w:rsidRPr="00F673EE" w:rsidRDefault="00AF1440" w:rsidP="00AF1440">
      <w:pPr>
        <w:pStyle w:val="subsection"/>
      </w:pPr>
      <w:r w:rsidRPr="00F673EE">
        <w:tab/>
        <w:t>(4)</w:t>
      </w:r>
      <w:r w:rsidRPr="00F673EE">
        <w:tab/>
        <w:t>As regards the instrument evidencing the person's existing registration, the person must certify in the notice that the accompanying document is the original or a complete and accurate copy of the original.</w:t>
      </w:r>
    </w:p>
    <w:p w:rsidR="00AF1440" w:rsidRPr="00F673EE" w:rsidRDefault="00AF1440" w:rsidP="00AF1440">
      <w:pPr>
        <w:pStyle w:val="subsection"/>
      </w:pPr>
      <w:r w:rsidRPr="00F673EE">
        <w:tab/>
        <w:t>(5)</w:t>
      </w:r>
      <w:r w:rsidRPr="00F673EE">
        <w:tab/>
        <w:t>The statements and other information in the notice must be verified by statutory declaration.</w:t>
      </w:r>
    </w:p>
    <w:p w:rsidR="00AF1440" w:rsidRPr="00F673EE" w:rsidRDefault="00AF1440" w:rsidP="00AF1440">
      <w:pPr>
        <w:pStyle w:val="subsection"/>
      </w:pPr>
      <w:r w:rsidRPr="00F673EE">
        <w:tab/>
        <w:t>(6)</w:t>
      </w:r>
      <w:r w:rsidRPr="00F673EE">
        <w:tab/>
        <w:t>The local registration authority may permit the notice to be amended after it is lodged.</w:t>
      </w:r>
    </w:p>
    <w:p w:rsidR="00AF1440" w:rsidRPr="00F673EE" w:rsidRDefault="00AF1440" w:rsidP="00AF1440">
      <w:pPr>
        <w:pStyle w:val="ActHead5"/>
      </w:pPr>
      <w:bookmarkStart w:id="24" w:name="_Toc532465241"/>
      <w:r w:rsidRPr="00F673EE">
        <w:rPr>
          <w:rStyle w:val="CharSectno"/>
        </w:rPr>
        <w:t>19</w:t>
      </w:r>
      <w:r w:rsidRPr="00F673EE">
        <w:t xml:space="preserve">  Entitlement to registration and continued registration</w:t>
      </w:r>
      <w:bookmarkEnd w:id="24"/>
    </w:p>
    <w:p w:rsidR="00AF1440" w:rsidRPr="00F673EE" w:rsidRDefault="00AF1440" w:rsidP="00AF1440">
      <w:pPr>
        <w:pStyle w:val="subsection"/>
      </w:pPr>
      <w:r w:rsidRPr="00F673EE">
        <w:tab/>
        <w:t>(1)</w:t>
      </w:r>
      <w:r w:rsidRPr="00F673EE">
        <w:tab/>
        <w:t>A person who lodges a notice under section</w:t>
      </w:r>
      <w:r w:rsidR="00F673EE">
        <w:t> </w:t>
      </w:r>
      <w:r w:rsidRPr="00F673EE">
        <w:t>18 with a local registration authority of an Australian jurisdiction is entitled to be registered in the equivalent occupation, as if the law of the jurisdiction that deals with registration expressly provided that registration in New Zealand is a sufficient ground of entitlement to registration.</w:t>
      </w:r>
    </w:p>
    <w:p w:rsidR="00AF1440" w:rsidRPr="00F673EE" w:rsidRDefault="00AF1440" w:rsidP="00AF1440">
      <w:pPr>
        <w:pStyle w:val="subsection"/>
      </w:pPr>
      <w:r w:rsidRPr="00F673EE">
        <w:tab/>
        <w:t>(2)</w:t>
      </w:r>
      <w:r w:rsidRPr="00F673EE">
        <w:tab/>
        <w:t>The local registration authority may grant registration on that ground and may grant renewals of such registration.</w:t>
      </w:r>
    </w:p>
    <w:p w:rsidR="00AF1440" w:rsidRPr="00F673EE" w:rsidRDefault="00AF1440" w:rsidP="00AF1440">
      <w:pPr>
        <w:pStyle w:val="subsection"/>
      </w:pPr>
      <w:r w:rsidRPr="00F673EE">
        <w:tab/>
        <w:t>(3)</w:t>
      </w:r>
      <w:r w:rsidRPr="00F673EE">
        <w:tab/>
        <w:t xml:space="preserve">Once a person is registered on that ground, the entitlement to registration continues, whether or not registration (including any renewal of registration) ceases in </w:t>
      </w:r>
      <w:smartTag w:uri="urn:schemas-microsoft-com:office:smarttags" w:element="country-region">
        <w:smartTag w:uri="urn:schemas-microsoft-com:office:smarttags" w:element="place">
          <w:r w:rsidRPr="00F673EE">
            <w:t>New Zealand</w:t>
          </w:r>
        </w:smartTag>
      </w:smartTag>
      <w:r w:rsidRPr="00F673EE">
        <w:t>.</w:t>
      </w:r>
    </w:p>
    <w:p w:rsidR="00AF1440" w:rsidRPr="00F673EE" w:rsidRDefault="00AF1440" w:rsidP="00AF1440">
      <w:pPr>
        <w:pStyle w:val="subsection"/>
      </w:pPr>
      <w:r w:rsidRPr="00F673EE">
        <w:tab/>
        <w:t>(4)</w:t>
      </w:r>
      <w:r w:rsidRPr="00F673EE">
        <w:tab/>
        <w:t>Continuance of registration is otherwise subject to the laws of the jurisdiction, to the extent to which those laws:</w:t>
      </w:r>
    </w:p>
    <w:p w:rsidR="00AF1440" w:rsidRPr="00F673EE" w:rsidRDefault="00AF1440" w:rsidP="00AF1440">
      <w:pPr>
        <w:pStyle w:val="paragraph"/>
      </w:pPr>
      <w:r w:rsidRPr="00F673EE">
        <w:tab/>
        <w:t>(a)</w:t>
      </w:r>
      <w:r w:rsidRPr="00F673EE">
        <w:tab/>
        <w:t xml:space="preserve">apply equally to all persons carrying on or seeking to carry on the occupation under the law of the jurisdiction; and </w:t>
      </w:r>
    </w:p>
    <w:p w:rsidR="00AF1440" w:rsidRPr="00F673EE" w:rsidRDefault="00AF1440" w:rsidP="00AF1440">
      <w:pPr>
        <w:pStyle w:val="paragraph"/>
      </w:pPr>
      <w:r w:rsidRPr="00F673EE">
        <w:lastRenderedPageBreak/>
        <w:tab/>
        <w:t>(b)</w:t>
      </w:r>
      <w:r w:rsidRPr="00F673EE">
        <w:tab/>
        <w:t>are not based on the attainment or possession of some qualification or experience relating to fitness to carry on the occupation.</w:t>
      </w:r>
    </w:p>
    <w:p w:rsidR="00AF1440" w:rsidRPr="00F673EE" w:rsidRDefault="00AF1440" w:rsidP="00AF1440">
      <w:pPr>
        <w:pStyle w:val="subsection"/>
      </w:pPr>
      <w:r w:rsidRPr="00F673EE">
        <w:tab/>
        <w:t>(5)</w:t>
      </w:r>
      <w:r w:rsidRPr="00F673EE">
        <w:tab/>
        <w:t>The local registration authority may impose conditions on registration, but may not impose conditions that are more onerous than would be imposed in similar circumstances (having regard to relevant qualifications and experience) if it were registration effected apart from this Part, unless they are conditions that apply to the person's registration in New Zealand or that are necessary to achieve equivalence of occupations.</w:t>
      </w:r>
    </w:p>
    <w:p w:rsidR="00AF1440" w:rsidRPr="00F673EE" w:rsidRDefault="00AF1440" w:rsidP="00AF1440">
      <w:pPr>
        <w:pStyle w:val="subsection"/>
      </w:pPr>
      <w:r w:rsidRPr="00F673EE">
        <w:tab/>
        <w:t>(6)</w:t>
      </w:r>
      <w:r w:rsidRPr="00F673EE">
        <w:tab/>
        <w:t>This section has effect subject to this Part.</w:t>
      </w:r>
    </w:p>
    <w:p w:rsidR="00AF1440" w:rsidRPr="00F673EE" w:rsidRDefault="00AF1440" w:rsidP="00AF1440">
      <w:pPr>
        <w:pStyle w:val="ActHead5"/>
      </w:pPr>
      <w:bookmarkStart w:id="25" w:name="_Toc532465242"/>
      <w:r w:rsidRPr="00F673EE">
        <w:rPr>
          <w:rStyle w:val="CharSectno"/>
        </w:rPr>
        <w:t>20</w:t>
      </w:r>
      <w:r w:rsidRPr="00F673EE">
        <w:t xml:space="preserve">  Action following notice</w:t>
      </w:r>
      <w:bookmarkEnd w:id="25"/>
    </w:p>
    <w:p w:rsidR="00AF1440" w:rsidRPr="00F673EE" w:rsidRDefault="00AF1440" w:rsidP="00AF1440">
      <w:pPr>
        <w:pStyle w:val="subsection"/>
      </w:pPr>
      <w:r w:rsidRPr="00F673EE">
        <w:tab/>
        <w:t>(1)</w:t>
      </w:r>
      <w:r w:rsidRPr="00F673EE">
        <w:tab/>
        <w:t>Registration must be granted within one month after the notice is lodged with the local registration authority under section</w:t>
      </w:r>
      <w:r w:rsidR="00F673EE">
        <w:t> </w:t>
      </w:r>
      <w:r w:rsidRPr="00F673EE">
        <w:t>18.</w:t>
      </w:r>
    </w:p>
    <w:p w:rsidR="00AF1440" w:rsidRPr="00F673EE" w:rsidRDefault="00AF1440" w:rsidP="00AF1440">
      <w:pPr>
        <w:pStyle w:val="subsection"/>
      </w:pPr>
      <w:r w:rsidRPr="00F673EE">
        <w:tab/>
        <w:t>(2)</w:t>
      </w:r>
      <w:r w:rsidRPr="00F673EE">
        <w:tab/>
        <w:t>When granted, registration takes effect as from the date the notice was lodged.</w:t>
      </w:r>
    </w:p>
    <w:p w:rsidR="00AF1440" w:rsidRPr="00F673EE" w:rsidRDefault="00AF1440" w:rsidP="00AF1440">
      <w:pPr>
        <w:pStyle w:val="subsection"/>
      </w:pPr>
      <w:r w:rsidRPr="00F673EE">
        <w:tab/>
        <w:t>(3)</w:t>
      </w:r>
      <w:r w:rsidRPr="00F673EE">
        <w:tab/>
        <w:t>However, the local registration authority may, subject to this Part and within one month after the notice was lodged, postpone or refuse the grant of registration.</w:t>
      </w:r>
    </w:p>
    <w:p w:rsidR="00AF1440" w:rsidRPr="00F673EE" w:rsidRDefault="00AF1440" w:rsidP="00AF1440">
      <w:pPr>
        <w:pStyle w:val="subsection"/>
      </w:pPr>
      <w:r w:rsidRPr="00F673EE">
        <w:tab/>
        <w:t>(4)</w:t>
      </w:r>
      <w:r w:rsidRPr="00F673EE">
        <w:tab/>
        <w:t xml:space="preserve">If the local registration authority neither grants the registration nor takes action under </w:t>
      </w:r>
      <w:r w:rsidR="00F673EE">
        <w:t>subsection (</w:t>
      </w:r>
      <w:r w:rsidRPr="00F673EE">
        <w:t>3) within the period of one month after the notice is lodged, the person is entitled to registration immediately at the end of that period and no objection may be taken to the notice on any of the grounds on which refusal or postponement may be effected, except where fraud is involved.</w:t>
      </w:r>
    </w:p>
    <w:p w:rsidR="00AF1440" w:rsidRPr="00F673EE" w:rsidRDefault="00AF1440" w:rsidP="00AF1440">
      <w:pPr>
        <w:pStyle w:val="ActHead5"/>
      </w:pPr>
      <w:bookmarkStart w:id="26" w:name="_Toc532465243"/>
      <w:r w:rsidRPr="00F673EE">
        <w:rPr>
          <w:rStyle w:val="CharSectno"/>
        </w:rPr>
        <w:t>21</w:t>
      </w:r>
      <w:r w:rsidRPr="00F673EE">
        <w:t xml:space="preserve">  Postponement of registration</w:t>
      </w:r>
      <w:bookmarkEnd w:id="26"/>
    </w:p>
    <w:p w:rsidR="00AF1440" w:rsidRPr="00F673EE" w:rsidRDefault="00AF1440" w:rsidP="00AF1440">
      <w:pPr>
        <w:pStyle w:val="subsection"/>
      </w:pPr>
      <w:r w:rsidRPr="00F673EE">
        <w:tab/>
        <w:t>(1)</w:t>
      </w:r>
      <w:r w:rsidRPr="00F673EE">
        <w:tab/>
        <w:t>A local registration authority may postpone the grant of registration, if:</w:t>
      </w:r>
    </w:p>
    <w:p w:rsidR="00AF1440" w:rsidRPr="00F673EE" w:rsidRDefault="00AF1440" w:rsidP="00AF1440">
      <w:pPr>
        <w:pStyle w:val="paragraph"/>
      </w:pPr>
      <w:r w:rsidRPr="00F673EE">
        <w:tab/>
        <w:t>(a)</w:t>
      </w:r>
      <w:r w:rsidRPr="00F673EE">
        <w:tab/>
        <w:t>any of the statements or information in the notice as required by section</w:t>
      </w:r>
      <w:r w:rsidR="00F673EE">
        <w:t> </w:t>
      </w:r>
      <w:r w:rsidRPr="00F673EE">
        <w:t xml:space="preserve">18 are materially false or misleading; or </w:t>
      </w:r>
    </w:p>
    <w:p w:rsidR="00AF1440" w:rsidRPr="00F673EE" w:rsidRDefault="00AF1440" w:rsidP="00AF1440">
      <w:pPr>
        <w:pStyle w:val="paragraph"/>
      </w:pPr>
      <w:r w:rsidRPr="00F673EE">
        <w:lastRenderedPageBreak/>
        <w:tab/>
        <w:t>(b)</w:t>
      </w:r>
      <w:r w:rsidRPr="00F673EE">
        <w:tab/>
        <w:t>any document or information as required by section</w:t>
      </w:r>
      <w:r w:rsidR="00F673EE">
        <w:t> </w:t>
      </w:r>
      <w:r w:rsidRPr="00F673EE">
        <w:t xml:space="preserve">18(3) has not been provided or is materially false or misleading; or </w:t>
      </w:r>
    </w:p>
    <w:p w:rsidR="00AF1440" w:rsidRPr="00F673EE" w:rsidRDefault="00AF1440" w:rsidP="00AF1440">
      <w:pPr>
        <w:pStyle w:val="paragraph"/>
      </w:pPr>
      <w:r w:rsidRPr="00F673EE">
        <w:tab/>
        <w:t>(c)</w:t>
      </w:r>
      <w:r w:rsidRPr="00F673EE">
        <w:tab/>
        <w:t xml:space="preserve">the circumstances of the person lodging the notice have materially changed since the date of the notice or the date it was lodged; or </w:t>
      </w:r>
    </w:p>
    <w:p w:rsidR="00AF1440" w:rsidRPr="00F673EE" w:rsidRDefault="00AF1440" w:rsidP="00AF1440">
      <w:pPr>
        <w:pStyle w:val="paragraph"/>
      </w:pPr>
      <w:r w:rsidRPr="00F673EE">
        <w:tab/>
        <w:t>(d)</w:t>
      </w:r>
      <w:r w:rsidRPr="00F673EE">
        <w:tab/>
        <w:t>the authority decides that the occupation in which registration is sought is not an equivalent occupation.</w:t>
      </w:r>
    </w:p>
    <w:p w:rsidR="00AF1440" w:rsidRPr="00F673EE" w:rsidRDefault="00AF1440" w:rsidP="00AF1440">
      <w:pPr>
        <w:pStyle w:val="subsection"/>
      </w:pPr>
      <w:r w:rsidRPr="00F673EE">
        <w:tab/>
        <w:t>(2)</w:t>
      </w:r>
      <w:r w:rsidRPr="00F673EE">
        <w:tab/>
        <w:t>If the grant of registration has been postponed, the local registration authority may in due course grant or refuse the registration.</w:t>
      </w:r>
    </w:p>
    <w:p w:rsidR="00AF1440" w:rsidRPr="00F673EE" w:rsidRDefault="00AF1440" w:rsidP="00AF1440">
      <w:pPr>
        <w:pStyle w:val="subsection"/>
      </w:pPr>
      <w:r w:rsidRPr="00F673EE">
        <w:tab/>
        <w:t>(3)</w:t>
      </w:r>
      <w:r w:rsidRPr="00F673EE">
        <w:tab/>
        <w:t>The local registration authority may not postpone the grant of registration for longer than a period of 6 months, and the person is entitled to registration immediately, at the end of that period, unless registration was refused at or before the end of that period.</w:t>
      </w:r>
    </w:p>
    <w:p w:rsidR="00AF1440" w:rsidRPr="00F673EE" w:rsidRDefault="00AF1440" w:rsidP="00AF1440">
      <w:pPr>
        <w:pStyle w:val="subsection"/>
      </w:pPr>
      <w:r w:rsidRPr="00F673EE">
        <w:tab/>
        <w:t>(4)</w:t>
      </w:r>
      <w:r w:rsidRPr="00F673EE">
        <w:tab/>
        <w:t xml:space="preserve">Nothing in </w:t>
      </w:r>
      <w:r w:rsidR="00F673EE">
        <w:t>subsection (</w:t>
      </w:r>
      <w:r w:rsidRPr="00F673EE">
        <w:t>3) prevents earlier registration from being granted on a review by the Australian Tribunal.</w:t>
      </w:r>
    </w:p>
    <w:p w:rsidR="00AF1440" w:rsidRPr="00F673EE" w:rsidRDefault="00AF1440" w:rsidP="00AF1440">
      <w:pPr>
        <w:pStyle w:val="ActHead5"/>
      </w:pPr>
      <w:bookmarkStart w:id="27" w:name="_Toc532465244"/>
      <w:r w:rsidRPr="00F673EE">
        <w:rPr>
          <w:rStyle w:val="CharSectno"/>
        </w:rPr>
        <w:t>22</w:t>
      </w:r>
      <w:r w:rsidRPr="00F673EE">
        <w:t xml:space="preserve">  Refusal of registration</w:t>
      </w:r>
      <w:bookmarkEnd w:id="27"/>
    </w:p>
    <w:p w:rsidR="00AF1440" w:rsidRPr="00F673EE" w:rsidRDefault="00AF1440" w:rsidP="00AF1440">
      <w:pPr>
        <w:pStyle w:val="subsection"/>
      </w:pPr>
      <w:r w:rsidRPr="00F673EE">
        <w:tab/>
        <w:t>(1)</w:t>
      </w:r>
      <w:r w:rsidRPr="00F673EE">
        <w:tab/>
        <w:t>A local registration authority may refuse the grant of registration, if:</w:t>
      </w:r>
    </w:p>
    <w:p w:rsidR="00AF1440" w:rsidRPr="00F673EE" w:rsidRDefault="00AF1440" w:rsidP="00AF1440">
      <w:pPr>
        <w:pStyle w:val="paragraph"/>
      </w:pPr>
      <w:r w:rsidRPr="00F673EE">
        <w:tab/>
        <w:t>(a)</w:t>
      </w:r>
      <w:r w:rsidRPr="00F673EE">
        <w:tab/>
        <w:t>any of the statements or information in the notice as required by section</w:t>
      </w:r>
      <w:r w:rsidR="00F673EE">
        <w:t> </w:t>
      </w:r>
      <w:r w:rsidRPr="00F673EE">
        <w:t xml:space="preserve">18 are materially false or misleading; or </w:t>
      </w:r>
    </w:p>
    <w:p w:rsidR="00AF1440" w:rsidRPr="00F673EE" w:rsidRDefault="00AF1440" w:rsidP="00AF1440">
      <w:pPr>
        <w:pStyle w:val="paragraph"/>
      </w:pPr>
      <w:r w:rsidRPr="00F673EE">
        <w:tab/>
        <w:t>(b)</w:t>
      </w:r>
      <w:r w:rsidRPr="00F673EE">
        <w:tab/>
        <w:t>any document or information as required by section</w:t>
      </w:r>
      <w:r w:rsidR="00F673EE">
        <w:t> </w:t>
      </w:r>
      <w:r w:rsidRPr="00F673EE">
        <w:t xml:space="preserve">18(3) has not been provided or is materially false or misleading; or </w:t>
      </w:r>
    </w:p>
    <w:p w:rsidR="00AF1440" w:rsidRPr="00F673EE" w:rsidRDefault="00AF1440" w:rsidP="00AF1440">
      <w:pPr>
        <w:pStyle w:val="paragraph"/>
      </w:pPr>
      <w:r w:rsidRPr="00F673EE">
        <w:tab/>
        <w:t>(c)</w:t>
      </w:r>
      <w:r w:rsidRPr="00F673EE">
        <w:tab/>
        <w:t>the authority decides that the occupation in which registration is sought is not an equivalent occupation and equivalence cannot be achieved by the imposition of conditions.</w:t>
      </w:r>
    </w:p>
    <w:p w:rsidR="00AF1440" w:rsidRPr="00F673EE" w:rsidRDefault="00AF1440" w:rsidP="00AF1440">
      <w:pPr>
        <w:pStyle w:val="subsection"/>
      </w:pPr>
      <w:r w:rsidRPr="00F673EE">
        <w:tab/>
        <w:t>(2)</w:t>
      </w:r>
      <w:r w:rsidRPr="00F673EE">
        <w:tab/>
        <w:t xml:space="preserve">A decision to refuse to grant registration on the ground that the occupation in which registration is sought is not an equivalent occupation takes effect at the end of a specified period (not less than 2 weeks) after the person is notified of the decision, unless it has been previously revoked or there is an application for review to </w:t>
      </w:r>
      <w:r w:rsidRPr="00F673EE">
        <w:lastRenderedPageBreak/>
        <w:t>the Australian Tribunal, in which case the Tribunal may make whatever orders it considers appropriate.</w:t>
      </w:r>
    </w:p>
    <w:p w:rsidR="00AF1440" w:rsidRPr="00F673EE" w:rsidRDefault="00AF1440" w:rsidP="00AF1440">
      <w:pPr>
        <w:pStyle w:val="ActHead5"/>
      </w:pPr>
      <w:bookmarkStart w:id="28" w:name="_Toc532465245"/>
      <w:r w:rsidRPr="00F673EE">
        <w:rPr>
          <w:rStyle w:val="CharSectno"/>
        </w:rPr>
        <w:t>23</w:t>
      </w:r>
      <w:r w:rsidRPr="00F673EE">
        <w:t xml:space="preserve">  Notification of decision</w:t>
      </w:r>
      <w:bookmarkEnd w:id="28"/>
      <w:r w:rsidRPr="00F673EE">
        <w:t xml:space="preserve"> </w:t>
      </w:r>
    </w:p>
    <w:p w:rsidR="00AF1440" w:rsidRPr="00F673EE" w:rsidRDefault="00AF1440" w:rsidP="00AF1440">
      <w:pPr>
        <w:pStyle w:val="subsection"/>
      </w:pPr>
      <w:r w:rsidRPr="00F673EE">
        <w:tab/>
      </w:r>
      <w:r w:rsidRPr="00F673EE">
        <w:tab/>
        <w:t>A local registration authority must give the person who lodges a notice in accordance with section</w:t>
      </w:r>
      <w:r w:rsidR="00F673EE">
        <w:t> </w:t>
      </w:r>
      <w:r w:rsidRPr="00F673EE">
        <w:t>18 a notice in writing of its decision to grant registration, or to postpone or refuse the grant of registration, or to impose conditions on registration.</w:t>
      </w:r>
    </w:p>
    <w:p w:rsidR="00AF1440" w:rsidRPr="00F673EE" w:rsidRDefault="00AF1440" w:rsidP="00D24366">
      <w:pPr>
        <w:pStyle w:val="ActHead3"/>
        <w:pageBreakBefore/>
      </w:pPr>
      <w:bookmarkStart w:id="29" w:name="_Toc532465246"/>
      <w:r w:rsidRPr="00F673EE">
        <w:rPr>
          <w:rStyle w:val="CharDivNo"/>
        </w:rPr>
        <w:lastRenderedPageBreak/>
        <w:t>Division</w:t>
      </w:r>
      <w:r w:rsidR="00F673EE" w:rsidRPr="00F673EE">
        <w:rPr>
          <w:rStyle w:val="CharDivNo"/>
        </w:rPr>
        <w:t> </w:t>
      </w:r>
      <w:r w:rsidRPr="00F673EE">
        <w:rPr>
          <w:rStyle w:val="CharDivNo"/>
        </w:rPr>
        <w:t>3</w:t>
      </w:r>
      <w:r w:rsidRPr="00F673EE">
        <w:t>—</w:t>
      </w:r>
      <w:r w:rsidRPr="00F673EE">
        <w:rPr>
          <w:rStyle w:val="CharDivText"/>
        </w:rPr>
        <w:t>Interim arrangements</w:t>
      </w:r>
      <w:bookmarkEnd w:id="29"/>
    </w:p>
    <w:p w:rsidR="00AF1440" w:rsidRPr="00F673EE" w:rsidRDefault="00AF1440" w:rsidP="00AF1440">
      <w:pPr>
        <w:pStyle w:val="ActHead5"/>
      </w:pPr>
      <w:bookmarkStart w:id="30" w:name="_Toc532465247"/>
      <w:r w:rsidRPr="00F673EE">
        <w:rPr>
          <w:rStyle w:val="CharSectno"/>
        </w:rPr>
        <w:t>24</w:t>
      </w:r>
      <w:r w:rsidRPr="00F673EE">
        <w:t xml:space="preserve">  Deemed registration</w:t>
      </w:r>
      <w:bookmarkEnd w:id="30"/>
    </w:p>
    <w:p w:rsidR="00AF1440" w:rsidRPr="00F673EE" w:rsidRDefault="00AF1440" w:rsidP="00AF1440">
      <w:pPr>
        <w:pStyle w:val="subsection"/>
      </w:pPr>
      <w:r w:rsidRPr="00F673EE">
        <w:tab/>
        <w:t>(1)</w:t>
      </w:r>
      <w:r w:rsidRPr="00F673EE">
        <w:tab/>
        <w:t>A person who lodges a notice under section</w:t>
      </w:r>
      <w:r w:rsidR="00F673EE">
        <w:t> </w:t>
      </w:r>
      <w:r w:rsidRPr="00F673EE">
        <w:t>18 with a local registration authority of an Australian jurisdiction is, pending the grant or refusal of registration, taken to be registered as provided in section</w:t>
      </w:r>
      <w:r w:rsidR="00F673EE">
        <w:t> </w:t>
      </w:r>
      <w:r w:rsidRPr="00F673EE">
        <w:t>19.</w:t>
      </w:r>
    </w:p>
    <w:p w:rsidR="00AF1440" w:rsidRPr="00F673EE" w:rsidRDefault="00AF1440" w:rsidP="00AF1440">
      <w:pPr>
        <w:pStyle w:val="subsection"/>
      </w:pPr>
      <w:r w:rsidRPr="00F673EE">
        <w:tab/>
        <w:t>(2)</w:t>
      </w:r>
      <w:r w:rsidRPr="00F673EE">
        <w:tab/>
        <w:t xml:space="preserve">Such registration is called </w:t>
      </w:r>
      <w:r w:rsidRPr="00F673EE">
        <w:rPr>
          <w:b/>
          <w:i/>
        </w:rPr>
        <w:t>deemed registration</w:t>
      </w:r>
      <w:r w:rsidRPr="00F673EE">
        <w:t xml:space="preserve"> in this Act.</w:t>
      </w:r>
    </w:p>
    <w:p w:rsidR="00AF1440" w:rsidRPr="00F673EE" w:rsidRDefault="00AF1440" w:rsidP="00AF1440">
      <w:pPr>
        <w:pStyle w:val="subsection"/>
      </w:pPr>
      <w:r w:rsidRPr="00F673EE">
        <w:tab/>
        <w:t>(3)</w:t>
      </w:r>
      <w:r w:rsidRPr="00F673EE">
        <w:tab/>
        <w:t>Deemed registration in one Australian jurisdiction does not of itself provide a basis for registration in another Australian jurisdiction.</w:t>
      </w:r>
    </w:p>
    <w:p w:rsidR="00AF1440" w:rsidRPr="00F673EE" w:rsidRDefault="00AF1440" w:rsidP="00AF1440">
      <w:pPr>
        <w:pStyle w:val="ActHead5"/>
      </w:pPr>
      <w:bookmarkStart w:id="31" w:name="_Toc532465248"/>
      <w:r w:rsidRPr="00F673EE">
        <w:rPr>
          <w:rStyle w:val="CharSectno"/>
        </w:rPr>
        <w:t>25</w:t>
      </w:r>
      <w:r w:rsidRPr="00F673EE">
        <w:t xml:space="preserve">  Duration of deemed registration</w:t>
      </w:r>
      <w:bookmarkEnd w:id="31"/>
    </w:p>
    <w:p w:rsidR="00AF1440" w:rsidRPr="00F673EE" w:rsidRDefault="00AF1440" w:rsidP="00AF1440">
      <w:pPr>
        <w:pStyle w:val="subsection"/>
      </w:pPr>
      <w:r w:rsidRPr="00F673EE">
        <w:tab/>
        <w:t>(1)</w:t>
      </w:r>
      <w:r w:rsidRPr="00F673EE">
        <w:tab/>
        <w:t>A person's deemed registration in an Australian jurisdiction continues until it is cancelled or suspended or otherwise ceases in accordance with this Part.</w:t>
      </w:r>
    </w:p>
    <w:p w:rsidR="00AF1440" w:rsidRPr="00F673EE" w:rsidRDefault="00AF1440" w:rsidP="00AF1440">
      <w:pPr>
        <w:pStyle w:val="subsection"/>
      </w:pPr>
      <w:r w:rsidRPr="00F673EE">
        <w:tab/>
        <w:t>(2)</w:t>
      </w:r>
      <w:r w:rsidRPr="00F673EE">
        <w:tab/>
        <w:t>A person's deemed registration in an Australian jurisdiction ceases if the person becomes substantively registered in the jurisdiction in connection with the occupation concerned.</w:t>
      </w:r>
    </w:p>
    <w:p w:rsidR="00AF1440" w:rsidRPr="00F673EE" w:rsidRDefault="00AF1440" w:rsidP="00AF1440">
      <w:pPr>
        <w:pStyle w:val="subsection"/>
      </w:pPr>
      <w:r w:rsidRPr="00F673EE">
        <w:tab/>
        <w:t>(3)</w:t>
      </w:r>
      <w:r w:rsidRPr="00F673EE">
        <w:tab/>
        <w:t>A person's deemed registration in an Australian jurisdiction ceases if the local registration authority of the jurisdiction refuses to grant registration, subject to any determination of the Australian Tribunal.</w:t>
      </w:r>
    </w:p>
    <w:p w:rsidR="00AF1440" w:rsidRPr="00F673EE" w:rsidRDefault="00AF1440" w:rsidP="00AF1440">
      <w:pPr>
        <w:pStyle w:val="subsection"/>
      </w:pPr>
      <w:r w:rsidRPr="00F673EE">
        <w:tab/>
        <w:t>(4)</w:t>
      </w:r>
      <w:r w:rsidRPr="00F673EE">
        <w:tab/>
        <w:t>A person's deemed registration in an Australian jurisdiction ceases if the person ceases to be substantively registered in every other participating jurisdiction mentioned in the notice as required by section</w:t>
      </w:r>
      <w:r w:rsidR="00F673EE">
        <w:t> </w:t>
      </w:r>
      <w:r w:rsidRPr="00F673EE">
        <w:t>18(2)(c).</w:t>
      </w:r>
    </w:p>
    <w:p w:rsidR="00AF1440" w:rsidRPr="00F673EE" w:rsidRDefault="00AF1440" w:rsidP="00AF1440">
      <w:pPr>
        <w:pStyle w:val="subsection"/>
      </w:pPr>
      <w:r w:rsidRPr="00F673EE">
        <w:tab/>
        <w:t>(5)</w:t>
      </w:r>
      <w:r w:rsidRPr="00F673EE">
        <w:tab/>
        <w:t>A local registration authority of an Australian jurisdiction may cancel a person's deemed registration in the jurisdiction if the person requests cancellation.</w:t>
      </w:r>
    </w:p>
    <w:p w:rsidR="00AF1440" w:rsidRPr="00F673EE" w:rsidRDefault="00AF1440" w:rsidP="00AF1440">
      <w:pPr>
        <w:pStyle w:val="subsection"/>
      </w:pPr>
      <w:r w:rsidRPr="00F673EE">
        <w:lastRenderedPageBreak/>
        <w:tab/>
        <w:t>(6)</w:t>
      </w:r>
      <w:r w:rsidRPr="00F673EE">
        <w:tab/>
        <w:t>Deemed registration is not affected by postponement of the grant of substantive registration.</w:t>
      </w:r>
    </w:p>
    <w:p w:rsidR="00AF1440" w:rsidRPr="00F673EE" w:rsidRDefault="00AF1440" w:rsidP="00AF1440">
      <w:pPr>
        <w:pStyle w:val="ActHead5"/>
      </w:pPr>
      <w:bookmarkStart w:id="32" w:name="_Toc532465249"/>
      <w:r w:rsidRPr="00F673EE">
        <w:rPr>
          <w:rStyle w:val="CharSectno"/>
        </w:rPr>
        <w:t>26</w:t>
      </w:r>
      <w:r w:rsidRPr="00F673EE">
        <w:t xml:space="preserve">  Activities under deemed registration</w:t>
      </w:r>
      <w:bookmarkEnd w:id="32"/>
    </w:p>
    <w:p w:rsidR="00AF1440" w:rsidRPr="00F673EE" w:rsidRDefault="00AF1440" w:rsidP="00AF1440">
      <w:pPr>
        <w:pStyle w:val="subsection"/>
      </w:pPr>
      <w:r w:rsidRPr="00F673EE">
        <w:tab/>
        <w:t>(1)</w:t>
      </w:r>
      <w:r w:rsidRPr="00F673EE">
        <w:tab/>
        <w:t>A person who has deemed registration in an Australian jurisdiction may carry on the occupation in the jurisdiction as if the deemed registration were substantive registration in the jurisdiction.</w:t>
      </w:r>
    </w:p>
    <w:p w:rsidR="00AF1440" w:rsidRPr="00F673EE" w:rsidRDefault="00AF1440" w:rsidP="00AF1440">
      <w:pPr>
        <w:pStyle w:val="subsection"/>
      </w:pPr>
      <w:r w:rsidRPr="00F673EE">
        <w:tab/>
        <w:t>(2)</w:t>
      </w:r>
      <w:r w:rsidRPr="00F673EE">
        <w:tab/>
        <w:t>However, the person may do so only:</w:t>
      </w:r>
    </w:p>
    <w:p w:rsidR="00AF1440" w:rsidRPr="00F673EE" w:rsidRDefault="00AF1440" w:rsidP="00AF1440">
      <w:pPr>
        <w:pStyle w:val="paragraph"/>
      </w:pPr>
      <w:r w:rsidRPr="00F673EE">
        <w:tab/>
        <w:t>(a)</w:t>
      </w:r>
      <w:r w:rsidRPr="00F673EE">
        <w:tab/>
        <w:t xml:space="preserve">within the limits conferred by the person's substantive registration in </w:t>
      </w:r>
      <w:smartTag w:uri="urn:schemas-microsoft-com:office:smarttags" w:element="country-region">
        <w:smartTag w:uri="urn:schemas-microsoft-com:office:smarttags" w:element="place">
          <w:r w:rsidRPr="00F673EE">
            <w:t>New Zealand</w:t>
          </w:r>
        </w:smartTag>
      </w:smartTag>
      <w:r w:rsidRPr="00F673EE">
        <w:t>; and</w:t>
      </w:r>
    </w:p>
    <w:p w:rsidR="00AF1440" w:rsidRPr="00F673EE" w:rsidRDefault="00AF1440" w:rsidP="00AF1440">
      <w:pPr>
        <w:pStyle w:val="paragraph"/>
      </w:pPr>
      <w:r w:rsidRPr="00F673EE">
        <w:tab/>
        <w:t>(b)</w:t>
      </w:r>
      <w:r w:rsidRPr="00F673EE">
        <w:tab/>
        <w:t xml:space="preserve">within the limits conferred by the person's deemed registration in the Australian jurisdiction; and </w:t>
      </w:r>
    </w:p>
    <w:p w:rsidR="00AF1440" w:rsidRPr="00F673EE" w:rsidRDefault="00AF1440" w:rsidP="00AF1440">
      <w:pPr>
        <w:pStyle w:val="paragraph"/>
      </w:pPr>
      <w:r w:rsidRPr="00F673EE">
        <w:tab/>
        <w:t>(c)</w:t>
      </w:r>
      <w:r w:rsidRPr="00F673EE">
        <w:tab/>
        <w:t xml:space="preserve">subject to any conditions or undertakings applying to the person's registration in </w:t>
      </w:r>
      <w:smartTag w:uri="urn:schemas-microsoft-com:office:smarttags" w:element="country-region">
        <w:smartTag w:uri="urn:schemas-microsoft-com:office:smarttags" w:element="place">
          <w:r w:rsidRPr="00F673EE">
            <w:t>New Zealand</w:t>
          </w:r>
        </w:smartTag>
      </w:smartTag>
      <w:r w:rsidRPr="00F673EE">
        <w:t xml:space="preserve">, unless waived by the local registration authority of the Australian jurisdiction under this section; and </w:t>
      </w:r>
    </w:p>
    <w:p w:rsidR="00AF1440" w:rsidRPr="00F673EE" w:rsidRDefault="00AF1440" w:rsidP="00AF1440">
      <w:pPr>
        <w:pStyle w:val="paragraph"/>
      </w:pPr>
      <w:r w:rsidRPr="00F673EE">
        <w:tab/>
        <w:t>(d)</w:t>
      </w:r>
      <w:r w:rsidRPr="00F673EE">
        <w:tab/>
        <w:t>subject to any conditions applying to the person's deemed registration.</w:t>
      </w:r>
    </w:p>
    <w:p w:rsidR="00AF1440" w:rsidRPr="00F673EE" w:rsidRDefault="00AF1440" w:rsidP="00AF1440">
      <w:pPr>
        <w:pStyle w:val="subsection"/>
      </w:pPr>
      <w:r w:rsidRPr="00F673EE">
        <w:tab/>
        <w:t>(3)</w:t>
      </w:r>
      <w:r w:rsidRPr="00F673EE">
        <w:tab/>
        <w:t>Without limiting anything in this Division:</w:t>
      </w:r>
    </w:p>
    <w:p w:rsidR="00AF1440" w:rsidRPr="00F673EE" w:rsidRDefault="00AF1440" w:rsidP="00AF1440">
      <w:pPr>
        <w:pStyle w:val="paragraph"/>
      </w:pPr>
      <w:r w:rsidRPr="00F673EE">
        <w:tab/>
        <w:t>(a)</w:t>
      </w:r>
      <w:r w:rsidRPr="00F673EE">
        <w:tab/>
        <w:t xml:space="preserve">the person may not carry on the occupation in the Australian jurisdiction without complying with any requirements regarding insurance, fidelity funds, trust accounts and the like that are designed to protect the public, clients, customers or others; and </w:t>
      </w:r>
    </w:p>
    <w:p w:rsidR="00AF1440" w:rsidRPr="00F673EE" w:rsidRDefault="00AF1440" w:rsidP="00AF1440">
      <w:pPr>
        <w:pStyle w:val="paragraph"/>
      </w:pPr>
      <w:r w:rsidRPr="00F673EE">
        <w:tab/>
        <w:t>(b)</w:t>
      </w:r>
      <w:r w:rsidRPr="00F673EE">
        <w:tab/>
        <w:t xml:space="preserve">a person who has deemed registration in an occupation in the Australian jurisdiction is subject to any disciplinary provisions and arrangements that are applicable to persons who are substantively registered in the jurisdiction; and </w:t>
      </w:r>
    </w:p>
    <w:p w:rsidR="00AF1440" w:rsidRPr="00F673EE" w:rsidRDefault="00AF1440" w:rsidP="00AF1440">
      <w:pPr>
        <w:pStyle w:val="paragraph"/>
      </w:pPr>
      <w:r w:rsidRPr="00F673EE">
        <w:tab/>
        <w:t>(c)</w:t>
      </w:r>
      <w:r w:rsidRPr="00F673EE">
        <w:tab/>
        <w:t>references in the law of the Australian jurisdiction to persons registered in an occupation under the law of the jurisdiction (however expressed) extend to persons who have deemed registration for the occupation under this Act.</w:t>
      </w:r>
    </w:p>
    <w:p w:rsidR="00AF1440" w:rsidRPr="00F673EE" w:rsidRDefault="00AF1440" w:rsidP="00AF1440">
      <w:pPr>
        <w:pStyle w:val="subsection"/>
      </w:pPr>
      <w:r w:rsidRPr="00F673EE">
        <w:tab/>
        <w:t>(4)</w:t>
      </w:r>
      <w:r w:rsidRPr="00F673EE">
        <w:tab/>
        <w:t xml:space="preserve">However, the local registration authority of the Australian jurisdiction may waive any condition imposed under the law of </w:t>
      </w:r>
      <w:smartTag w:uri="urn:schemas-microsoft-com:office:smarttags" w:element="country-region">
        <w:smartTag w:uri="urn:schemas-microsoft-com:office:smarttags" w:element="place">
          <w:r w:rsidRPr="00F673EE">
            <w:lastRenderedPageBreak/>
            <w:t>New Zealand</w:t>
          </w:r>
        </w:smartTag>
      </w:smartTag>
      <w:r w:rsidRPr="00F673EE">
        <w:t xml:space="preserve">, or any undertaking given to the local registration authority of </w:t>
      </w:r>
      <w:smartTag w:uri="urn:schemas-microsoft-com:office:smarttags" w:element="country-region">
        <w:smartTag w:uri="urn:schemas-microsoft-com:office:smarttags" w:element="place">
          <w:r w:rsidRPr="00F673EE">
            <w:t>New Zealand</w:t>
          </w:r>
        </w:smartTag>
      </w:smartTag>
      <w:r w:rsidRPr="00F673EE">
        <w:t>, if it thinks it appropriate in the circumstances.</w:t>
      </w:r>
    </w:p>
    <w:p w:rsidR="00AF1440" w:rsidRPr="00F673EE" w:rsidRDefault="00AF1440" w:rsidP="00AF1440">
      <w:pPr>
        <w:pStyle w:val="subsection"/>
      </w:pPr>
      <w:r w:rsidRPr="00F673EE">
        <w:tab/>
        <w:t>(5)</w:t>
      </w:r>
      <w:r w:rsidRPr="00F673EE">
        <w:tab/>
        <w:t>The local registration authority of the Australian jurisdiction may impose conditions as if deemed registration were substantive registration, but it must not impose conditions that are more onerous than would be imposed in similar circumstances (having regard to relevant qualifications and experience) if it were registration effected apart from this Part, unless they correspond to conditions or undertakings that apply to the person's registration in New Zealand or that are necessary to achieve equivalence of occupations.</w:t>
      </w:r>
    </w:p>
    <w:p w:rsidR="00AF1440" w:rsidRPr="00F673EE" w:rsidRDefault="00AF1440" w:rsidP="00D24366">
      <w:pPr>
        <w:pStyle w:val="ActHead3"/>
        <w:pageBreakBefore/>
      </w:pPr>
      <w:bookmarkStart w:id="33" w:name="_Toc532465250"/>
      <w:r w:rsidRPr="00F673EE">
        <w:rPr>
          <w:rStyle w:val="CharDivNo"/>
        </w:rPr>
        <w:lastRenderedPageBreak/>
        <w:t>Division</w:t>
      </w:r>
      <w:r w:rsidR="00F673EE" w:rsidRPr="00F673EE">
        <w:rPr>
          <w:rStyle w:val="CharDivNo"/>
        </w:rPr>
        <w:t> </w:t>
      </w:r>
      <w:r w:rsidRPr="00F673EE">
        <w:rPr>
          <w:rStyle w:val="CharDivNo"/>
        </w:rPr>
        <w:t>4</w:t>
      </w:r>
      <w:r w:rsidRPr="00F673EE">
        <w:t>—</w:t>
      </w:r>
      <w:r w:rsidRPr="00F673EE">
        <w:rPr>
          <w:rStyle w:val="CharDivText"/>
        </w:rPr>
        <w:t>Equivalent occupations</w:t>
      </w:r>
      <w:bookmarkEnd w:id="33"/>
    </w:p>
    <w:p w:rsidR="00AF1440" w:rsidRPr="00F673EE" w:rsidRDefault="00AF1440" w:rsidP="00AF1440">
      <w:pPr>
        <w:pStyle w:val="ActHead5"/>
      </w:pPr>
      <w:bookmarkStart w:id="34" w:name="_Toc532465251"/>
      <w:r w:rsidRPr="00F673EE">
        <w:rPr>
          <w:rStyle w:val="CharSectno"/>
        </w:rPr>
        <w:t>27</w:t>
      </w:r>
      <w:r w:rsidRPr="00F673EE">
        <w:t xml:space="preserve">  Equivalent occupations</w:t>
      </w:r>
      <w:bookmarkEnd w:id="34"/>
    </w:p>
    <w:p w:rsidR="00AF1440" w:rsidRPr="00F673EE" w:rsidRDefault="00AF1440" w:rsidP="00AF1440">
      <w:pPr>
        <w:pStyle w:val="subsection"/>
      </w:pPr>
      <w:r w:rsidRPr="00F673EE">
        <w:tab/>
      </w:r>
      <w:r w:rsidRPr="00F673EE">
        <w:tab/>
        <w:t>The equivalence of occupations carried on in different participating jurisdictions is, for the purposes of this Act, to be determined in accordance with this Part.</w:t>
      </w:r>
    </w:p>
    <w:p w:rsidR="00AF1440" w:rsidRPr="00F673EE" w:rsidRDefault="00AF1440" w:rsidP="00AF1440">
      <w:pPr>
        <w:pStyle w:val="ActHead5"/>
      </w:pPr>
      <w:bookmarkStart w:id="35" w:name="_Toc532465252"/>
      <w:r w:rsidRPr="00F673EE">
        <w:rPr>
          <w:rStyle w:val="CharSectno"/>
        </w:rPr>
        <w:t>28</w:t>
      </w:r>
      <w:r w:rsidRPr="00F673EE">
        <w:t xml:space="preserve">  General principle</w:t>
      </w:r>
      <w:bookmarkEnd w:id="35"/>
    </w:p>
    <w:p w:rsidR="00AF1440" w:rsidRPr="00F673EE" w:rsidRDefault="00AF1440" w:rsidP="00AF1440">
      <w:pPr>
        <w:pStyle w:val="subsection"/>
      </w:pPr>
      <w:r w:rsidRPr="00F673EE">
        <w:tab/>
        <w:t>(1)</w:t>
      </w:r>
      <w:r w:rsidRPr="00F673EE">
        <w:tab/>
        <w:t xml:space="preserve">An occupation for which persons may be registered in </w:t>
      </w:r>
      <w:smartTag w:uri="urn:schemas-microsoft-com:office:smarttags" w:element="country-region">
        <w:smartTag w:uri="urn:schemas-microsoft-com:office:smarttags" w:element="place">
          <w:r w:rsidRPr="00F673EE">
            <w:t>New Zealand</w:t>
          </w:r>
        </w:smartTag>
      </w:smartTag>
      <w:r w:rsidRPr="00F673EE">
        <w:t xml:space="preserve"> is taken to be equivalent to an occupation for which persons may be registered in an Australian jurisdiction if the activities authorised to be carried out under each registration are substantially the same (whether or not this result is achieved by means of the imposition of conditions).</w:t>
      </w:r>
    </w:p>
    <w:p w:rsidR="00AF1440" w:rsidRPr="00F673EE" w:rsidRDefault="00AF1440" w:rsidP="00AF1440">
      <w:pPr>
        <w:pStyle w:val="subsection"/>
      </w:pPr>
      <w:r w:rsidRPr="00F673EE">
        <w:tab/>
        <w:t>(2)</w:t>
      </w:r>
      <w:r w:rsidRPr="00F673EE">
        <w:tab/>
        <w:t>Conditions may be imposed on registration under this Part so as to achieve equivalence between occupations in different participating jurisdictions.</w:t>
      </w:r>
    </w:p>
    <w:p w:rsidR="00AF1440" w:rsidRPr="00F673EE" w:rsidRDefault="00AF1440" w:rsidP="00AF1440">
      <w:pPr>
        <w:pStyle w:val="subsection"/>
      </w:pPr>
      <w:r w:rsidRPr="00F673EE">
        <w:tab/>
        <w:t>(3)</w:t>
      </w:r>
      <w:r w:rsidRPr="00F673EE">
        <w:tab/>
        <w:t>This section has effect subject to any relevant declarations in force under this Division.</w:t>
      </w:r>
    </w:p>
    <w:p w:rsidR="00AF1440" w:rsidRPr="00F673EE" w:rsidRDefault="00AF1440" w:rsidP="00AF1440">
      <w:pPr>
        <w:pStyle w:val="ActHead5"/>
      </w:pPr>
      <w:bookmarkStart w:id="36" w:name="_Toc532465253"/>
      <w:r w:rsidRPr="00F673EE">
        <w:rPr>
          <w:rStyle w:val="CharSectno"/>
        </w:rPr>
        <w:t>29</w:t>
      </w:r>
      <w:r w:rsidRPr="00F673EE">
        <w:t xml:space="preserve">  Declarations as to equivalent occupations</w:t>
      </w:r>
      <w:bookmarkEnd w:id="36"/>
    </w:p>
    <w:p w:rsidR="00AF1440" w:rsidRPr="00F673EE" w:rsidRDefault="00AF1440" w:rsidP="00AF1440">
      <w:pPr>
        <w:pStyle w:val="subsection"/>
      </w:pPr>
      <w:r w:rsidRPr="00F673EE">
        <w:tab/>
        <w:t>(1)</w:t>
      </w:r>
      <w:r w:rsidRPr="00F673EE">
        <w:tab/>
        <w:t>This Part is to be given effect in accordance with relevant declarations (if any) made under this Division regarding equivalent occupations.</w:t>
      </w:r>
    </w:p>
    <w:p w:rsidR="00AF1440" w:rsidRPr="00F673EE" w:rsidRDefault="00AF1440" w:rsidP="00AF1440">
      <w:pPr>
        <w:pStyle w:val="subsection"/>
      </w:pPr>
      <w:r w:rsidRPr="00F673EE">
        <w:tab/>
        <w:t>(2)</w:t>
      </w:r>
      <w:r w:rsidRPr="00F673EE">
        <w:tab/>
        <w:t>If a declaration made by the Australian Tribunal under section</w:t>
      </w:r>
      <w:r w:rsidR="00F673EE">
        <w:t> </w:t>
      </w:r>
      <w:r w:rsidRPr="00F673EE">
        <w:t>30 and a declaration made by Ministers under section</w:t>
      </w:r>
      <w:r w:rsidR="00F673EE">
        <w:t> </w:t>
      </w:r>
      <w:r w:rsidRPr="00F673EE">
        <w:t>31 are inconsistent, the ministerial declaration prevails.</w:t>
      </w:r>
    </w:p>
    <w:p w:rsidR="00AF1440" w:rsidRPr="00F673EE" w:rsidRDefault="00AF1440" w:rsidP="00AF1440">
      <w:pPr>
        <w:pStyle w:val="subsection"/>
      </w:pPr>
      <w:r w:rsidRPr="00F673EE">
        <w:tab/>
        <w:t>(3)</w:t>
      </w:r>
      <w:r w:rsidRPr="00F673EE">
        <w:tab/>
        <w:t>A declaration under this Part does not affect the registration of any person already registered (except in the case of a declaration made by the Australian Tribunal in relation to that person specifically).</w:t>
      </w:r>
    </w:p>
    <w:p w:rsidR="00AF1440" w:rsidRPr="00F673EE" w:rsidRDefault="00AF1440" w:rsidP="00AF1440">
      <w:pPr>
        <w:pStyle w:val="ActHead5"/>
      </w:pPr>
      <w:bookmarkStart w:id="37" w:name="_Toc532465254"/>
      <w:r w:rsidRPr="00F673EE">
        <w:rPr>
          <w:rStyle w:val="CharSectno"/>
        </w:rPr>
        <w:lastRenderedPageBreak/>
        <w:t>30</w:t>
      </w:r>
      <w:r w:rsidRPr="00F673EE">
        <w:t xml:space="preserve">  Declarations by Australian Tribunal</w:t>
      </w:r>
      <w:bookmarkEnd w:id="37"/>
    </w:p>
    <w:p w:rsidR="00AF1440" w:rsidRPr="00F673EE" w:rsidRDefault="00AF1440" w:rsidP="00AF1440">
      <w:pPr>
        <w:pStyle w:val="subsection"/>
      </w:pPr>
      <w:r w:rsidRPr="00F673EE">
        <w:tab/>
        <w:t>(1)</w:t>
      </w:r>
      <w:r w:rsidRPr="00F673EE">
        <w:tab/>
        <w:t xml:space="preserve">On a review, the Australian Tribunal may make an order that a person who is registered in a particular occupation in </w:t>
      </w:r>
      <w:smartTag w:uri="urn:schemas-microsoft-com:office:smarttags" w:element="country-region">
        <w:smartTag w:uri="urn:schemas-microsoft-com:office:smarttags" w:element="place">
          <w:r w:rsidRPr="00F673EE">
            <w:t>New Zealand</w:t>
          </w:r>
        </w:smartTag>
      </w:smartTag>
      <w:r w:rsidRPr="00F673EE">
        <w:t xml:space="preserve"> is or is not entitled to registration in an Australian jurisdiction in a particular occupation, and may specify or describe conditions that will achieve equivalence.</w:t>
      </w:r>
    </w:p>
    <w:p w:rsidR="00AF1440" w:rsidRPr="00F673EE" w:rsidRDefault="00AF1440" w:rsidP="00AF1440">
      <w:pPr>
        <w:pStyle w:val="subsection"/>
      </w:pPr>
      <w:r w:rsidRPr="00F673EE">
        <w:tab/>
        <w:t>(2)</w:t>
      </w:r>
      <w:r w:rsidRPr="00F673EE">
        <w:tab/>
        <w:t xml:space="preserve">On a review, the Australian Tribunal may make a declaration that occupations carried on in </w:t>
      </w:r>
      <w:smartTag w:uri="urn:schemas-microsoft-com:office:smarttags" w:element="country-region">
        <w:smartTag w:uri="urn:schemas-microsoft-com:office:smarttags" w:element="place">
          <w:r w:rsidRPr="00F673EE">
            <w:t>New Zealand</w:t>
          </w:r>
        </w:smartTag>
      </w:smartTag>
      <w:r w:rsidRPr="00F673EE">
        <w:t xml:space="preserve"> and an Australian jurisdiction are not equivalent, but only if the Australian Tribunal is satisfied that:</w:t>
      </w:r>
    </w:p>
    <w:p w:rsidR="00AF1440" w:rsidRPr="00F673EE" w:rsidRDefault="00AF1440" w:rsidP="00AF1440">
      <w:pPr>
        <w:pStyle w:val="paragraph"/>
      </w:pPr>
      <w:r w:rsidRPr="00F673EE">
        <w:tab/>
        <w:t>(a)</w:t>
      </w:r>
      <w:r w:rsidRPr="00F673EE">
        <w:tab/>
        <w:t>the activities involved in the occupations are not substantially the same (even with the imposition of conditions); or</w:t>
      </w:r>
    </w:p>
    <w:p w:rsidR="00AF1440" w:rsidRPr="00F673EE" w:rsidRDefault="00AF1440" w:rsidP="00AF1440">
      <w:pPr>
        <w:pStyle w:val="paragraph"/>
      </w:pPr>
      <w:r w:rsidRPr="00F673EE">
        <w:tab/>
        <w:t>(b)</w:t>
      </w:r>
      <w:r w:rsidRPr="00F673EE">
        <w:tab/>
        <w:t xml:space="preserve">registration in </w:t>
      </w:r>
      <w:smartTag w:uri="urn:schemas-microsoft-com:office:smarttags" w:element="country-region">
        <w:smartTag w:uri="urn:schemas-microsoft-com:office:smarttags" w:element="place">
          <w:r w:rsidRPr="00F673EE">
            <w:t>New Zealand</w:t>
          </w:r>
        </w:smartTag>
      </w:smartTag>
      <w:r w:rsidRPr="00F673EE">
        <w:t xml:space="preserve"> should not entitle registered persons to carry on a particular activity or class of activity in an Australian jurisdiction, where:</w:t>
      </w:r>
    </w:p>
    <w:p w:rsidR="00AF1440" w:rsidRPr="00F673EE" w:rsidRDefault="00AF1440" w:rsidP="00AF1440">
      <w:pPr>
        <w:pStyle w:val="paragraphsub"/>
      </w:pPr>
      <w:r w:rsidRPr="00F673EE">
        <w:tab/>
        <w:t>(i)</w:t>
      </w:r>
      <w:r w:rsidRPr="00F673EE">
        <w:tab/>
        <w:t xml:space="preserve">the activity or class of activity is a material part of the practice of a person registered in </w:t>
      </w:r>
      <w:smartTag w:uri="urn:schemas-microsoft-com:office:smarttags" w:element="country-region">
        <w:smartTag w:uri="urn:schemas-microsoft-com:office:smarttags" w:element="place">
          <w:r w:rsidRPr="00F673EE">
            <w:t>New Zealand</w:t>
          </w:r>
        </w:smartTag>
      </w:smartTag>
      <w:r w:rsidRPr="00F673EE">
        <w:t xml:space="preserve"> for the occupation; and</w:t>
      </w:r>
    </w:p>
    <w:p w:rsidR="00AF1440" w:rsidRPr="00F673EE" w:rsidRDefault="00AF1440" w:rsidP="00AF1440">
      <w:pPr>
        <w:pStyle w:val="paragraphsub"/>
      </w:pPr>
      <w:r w:rsidRPr="00F673EE">
        <w:tab/>
        <w:t>(ii)</w:t>
      </w:r>
      <w:r w:rsidRPr="00F673EE">
        <w:tab/>
        <w:t>the activity or class of activity, if carried out by a person not conforming to the appropriate standards, could reasonably be expected to expose persons in the Australian jurisdiction to a real threat to their health or safety or could reasonably be expected to cause significant environmental pollution (including air, water, noise or soil pollution); and</w:t>
      </w:r>
    </w:p>
    <w:p w:rsidR="00AF1440" w:rsidRPr="00F673EE" w:rsidRDefault="00AF1440" w:rsidP="00AF1440">
      <w:pPr>
        <w:pStyle w:val="paragraphsub"/>
      </w:pPr>
      <w:r w:rsidRPr="00F673EE">
        <w:tab/>
        <w:t>(iii)</w:t>
      </w:r>
      <w:r w:rsidRPr="00F673EE">
        <w:tab/>
        <w:t>it is not practicable to protect the health or safety of such persons from that threat or the environment from such pollution by regulating the manner in which services in the occupation are provided.</w:t>
      </w:r>
    </w:p>
    <w:p w:rsidR="00AF1440" w:rsidRPr="00F673EE" w:rsidRDefault="00AF1440" w:rsidP="00AF1440">
      <w:pPr>
        <w:pStyle w:val="subsection"/>
      </w:pPr>
      <w:r w:rsidRPr="00F673EE">
        <w:tab/>
        <w:t>(3)</w:t>
      </w:r>
      <w:r w:rsidRPr="00F673EE">
        <w:tab/>
        <w:t xml:space="preserve">The Registrar or other proper officer of the Australian Tribunal must cause a notice setting out the terms of a declaration under this section to be promptly published in the </w:t>
      </w:r>
      <w:r w:rsidRPr="00F673EE">
        <w:rPr>
          <w:i/>
        </w:rPr>
        <w:t>Commonwealth of Australia Gazette</w:t>
      </w:r>
      <w:r w:rsidRPr="00F673EE">
        <w:t>.</w:t>
      </w:r>
    </w:p>
    <w:p w:rsidR="00AF1440" w:rsidRPr="00F673EE" w:rsidRDefault="00AF1440" w:rsidP="00AF1440">
      <w:pPr>
        <w:pStyle w:val="subsection"/>
      </w:pPr>
      <w:r w:rsidRPr="00F673EE">
        <w:lastRenderedPageBreak/>
        <w:tab/>
        <w:t>(4)</w:t>
      </w:r>
      <w:r w:rsidRPr="00F673EE">
        <w:tab/>
        <w:t xml:space="preserve">A declaration made on the basis of </w:t>
      </w:r>
      <w:r w:rsidR="00F673EE">
        <w:t>paragraph (</w:t>
      </w:r>
      <w:r w:rsidRPr="00F673EE">
        <w:t>2)(b) has effect for no longer than 12 months, and the local registration authority must promptly notify appropriate authorities in each other participating jurisdiction of the declaration.</w:t>
      </w:r>
    </w:p>
    <w:p w:rsidR="00AF1440" w:rsidRPr="00F673EE" w:rsidRDefault="00AF1440" w:rsidP="00AF1440">
      <w:pPr>
        <w:pStyle w:val="subsection"/>
      </w:pPr>
      <w:r w:rsidRPr="00F673EE">
        <w:tab/>
        <w:t>(5)</w:t>
      </w:r>
      <w:r w:rsidRPr="00F673EE">
        <w:tab/>
        <w:t>The local registration authority is to give effect to the decision on the review, and must thereafter act in conformity with the decision in relation to other persons seeking registration.</w:t>
      </w:r>
    </w:p>
    <w:p w:rsidR="00AF1440" w:rsidRPr="00F673EE" w:rsidRDefault="00AF1440" w:rsidP="00AF1440">
      <w:pPr>
        <w:pStyle w:val="ActHead5"/>
      </w:pPr>
      <w:bookmarkStart w:id="38" w:name="_Toc532465255"/>
      <w:r w:rsidRPr="00F673EE">
        <w:rPr>
          <w:rStyle w:val="CharSectno"/>
        </w:rPr>
        <w:t>31</w:t>
      </w:r>
      <w:r w:rsidRPr="00F673EE">
        <w:t xml:space="preserve">  Declarations by Ministers</w:t>
      </w:r>
      <w:bookmarkEnd w:id="38"/>
    </w:p>
    <w:p w:rsidR="00AF1440" w:rsidRPr="00F673EE" w:rsidRDefault="00AF1440" w:rsidP="00AF1440">
      <w:pPr>
        <w:pStyle w:val="subsection"/>
      </w:pPr>
      <w:r w:rsidRPr="00F673EE">
        <w:tab/>
        <w:t>(1)</w:t>
      </w:r>
      <w:r w:rsidRPr="00F673EE">
        <w:tab/>
        <w:t xml:space="preserve">A Minister from </w:t>
      </w:r>
      <w:smartTag w:uri="urn:schemas-microsoft-com:office:smarttags" w:element="country-region">
        <w:smartTag w:uri="urn:schemas-microsoft-com:office:smarttags" w:element="place">
          <w:r w:rsidRPr="00F673EE">
            <w:t>New Zealand</w:t>
          </w:r>
        </w:smartTag>
      </w:smartTag>
      <w:r w:rsidRPr="00F673EE">
        <w:t xml:space="preserve"> and a Minister from each of one or more Australian jurisdictions may jointly declare, by notice in the </w:t>
      </w:r>
      <w:smartTag w:uri="urn:schemas-microsoft-com:office:smarttags" w:element="place">
        <w:smartTag w:uri="urn:schemas-microsoft-com:office:smarttags" w:element="PlaceType">
          <w:r w:rsidRPr="00F673EE">
            <w:rPr>
              <w:i/>
            </w:rPr>
            <w:t>Commonwealth</w:t>
          </w:r>
        </w:smartTag>
        <w:r w:rsidRPr="00F673EE">
          <w:rPr>
            <w:i/>
          </w:rPr>
          <w:t xml:space="preserve"> of </w:t>
        </w:r>
        <w:smartTag w:uri="urn:schemas-microsoft-com:office:smarttags" w:element="PlaceName">
          <w:r w:rsidRPr="00F673EE">
            <w:rPr>
              <w:i/>
            </w:rPr>
            <w:t>Australia Gazette</w:t>
          </w:r>
        </w:smartTag>
      </w:smartTag>
      <w:r w:rsidRPr="00F673EE">
        <w:t>, that specified occupations are equivalent, and may specify or describe conditions that will achieve equivalence.</w:t>
      </w:r>
    </w:p>
    <w:p w:rsidR="00AF1440" w:rsidRPr="00F673EE" w:rsidRDefault="00AF1440" w:rsidP="00AF1440">
      <w:pPr>
        <w:pStyle w:val="subsection"/>
      </w:pPr>
      <w:r w:rsidRPr="00F673EE">
        <w:tab/>
        <w:t>(2)</w:t>
      </w:r>
      <w:r w:rsidRPr="00F673EE">
        <w:tab/>
        <w:t>The declaration may be amended or rescinded in the same way.</w:t>
      </w:r>
    </w:p>
    <w:p w:rsidR="00AF1440" w:rsidRPr="00F673EE" w:rsidRDefault="00AF1440" w:rsidP="00AF1440">
      <w:pPr>
        <w:pStyle w:val="subsection"/>
      </w:pPr>
      <w:r w:rsidRPr="00F673EE">
        <w:tab/>
        <w:t>(3)</w:t>
      </w:r>
      <w:r w:rsidRPr="00F673EE">
        <w:tab/>
        <w:t>The declaration has effect only in relation to the participating jurisdictions concerned.</w:t>
      </w:r>
    </w:p>
    <w:p w:rsidR="00AF1440" w:rsidRPr="00F673EE" w:rsidRDefault="00AF1440" w:rsidP="00AF1440">
      <w:pPr>
        <w:pStyle w:val="subsection"/>
      </w:pPr>
      <w:r w:rsidRPr="00F673EE">
        <w:tab/>
        <w:t>(4)</w:t>
      </w:r>
      <w:r w:rsidRPr="00F673EE">
        <w:tab/>
        <w:t>The appropriate local registration authority is to give effect to the declaration.</w:t>
      </w:r>
    </w:p>
    <w:p w:rsidR="00AF1440" w:rsidRPr="00F673EE" w:rsidRDefault="00AF1440" w:rsidP="00D24366">
      <w:pPr>
        <w:pStyle w:val="ActHead3"/>
        <w:pageBreakBefore/>
      </w:pPr>
      <w:bookmarkStart w:id="39" w:name="_Toc532465256"/>
      <w:r w:rsidRPr="00F673EE">
        <w:rPr>
          <w:rStyle w:val="CharDivNo"/>
        </w:rPr>
        <w:lastRenderedPageBreak/>
        <w:t>Division</w:t>
      </w:r>
      <w:r w:rsidR="00F673EE" w:rsidRPr="00F673EE">
        <w:rPr>
          <w:rStyle w:val="CharDivNo"/>
        </w:rPr>
        <w:t> </w:t>
      </w:r>
      <w:r w:rsidRPr="00F673EE">
        <w:rPr>
          <w:rStyle w:val="CharDivNo"/>
        </w:rPr>
        <w:t>5</w:t>
      </w:r>
      <w:r w:rsidRPr="00F673EE">
        <w:t>—</w:t>
      </w:r>
      <w:r w:rsidRPr="00F673EE">
        <w:rPr>
          <w:rStyle w:val="CharDivText"/>
        </w:rPr>
        <w:t>General provisions</w:t>
      </w:r>
      <w:bookmarkEnd w:id="39"/>
    </w:p>
    <w:p w:rsidR="00AF1440" w:rsidRPr="00F673EE" w:rsidRDefault="00AF1440" w:rsidP="00AF1440">
      <w:pPr>
        <w:pStyle w:val="ActHead5"/>
      </w:pPr>
      <w:bookmarkStart w:id="40" w:name="_Toc532465257"/>
      <w:r w:rsidRPr="00F673EE">
        <w:rPr>
          <w:rStyle w:val="CharSectno"/>
        </w:rPr>
        <w:t>32</w:t>
      </w:r>
      <w:r w:rsidRPr="00F673EE">
        <w:t xml:space="preserve">  Disciplinary action</w:t>
      </w:r>
      <w:bookmarkEnd w:id="40"/>
    </w:p>
    <w:p w:rsidR="00AF1440" w:rsidRPr="00F673EE" w:rsidRDefault="00AF1440" w:rsidP="00AF1440">
      <w:pPr>
        <w:pStyle w:val="subsection"/>
      </w:pPr>
      <w:r w:rsidRPr="00F673EE">
        <w:tab/>
        <w:t>(1)</w:t>
      </w:r>
      <w:r w:rsidRPr="00F673EE">
        <w:tab/>
        <w:t xml:space="preserve">If a person's registration in an occupation in </w:t>
      </w:r>
      <w:smartTag w:uri="urn:schemas-microsoft-com:office:smarttags" w:element="country-region">
        <w:smartTag w:uri="urn:schemas-microsoft-com:office:smarttags" w:element="place">
          <w:r w:rsidRPr="00F673EE">
            <w:t>New Zealand</w:t>
          </w:r>
        </w:smartTag>
      </w:smartTag>
      <w:r w:rsidRPr="00F673EE">
        <w:t>:</w:t>
      </w:r>
    </w:p>
    <w:p w:rsidR="00AF1440" w:rsidRPr="00F673EE" w:rsidRDefault="00AF1440" w:rsidP="00AF1440">
      <w:pPr>
        <w:pStyle w:val="paragraph"/>
      </w:pPr>
      <w:r w:rsidRPr="00F673EE">
        <w:tab/>
        <w:t>(a)</w:t>
      </w:r>
      <w:r w:rsidRPr="00F673EE">
        <w:tab/>
        <w:t>is cancelled or suspended; or</w:t>
      </w:r>
    </w:p>
    <w:p w:rsidR="00AF1440" w:rsidRPr="00F673EE" w:rsidRDefault="00AF1440" w:rsidP="00AF1440">
      <w:pPr>
        <w:pStyle w:val="paragraph"/>
      </w:pPr>
      <w:r w:rsidRPr="00F673EE">
        <w:tab/>
        <w:t>(b)</w:t>
      </w:r>
      <w:r w:rsidRPr="00F673EE">
        <w:tab/>
        <w:t>is subject to a condition;</w:t>
      </w:r>
    </w:p>
    <w:p w:rsidR="00AF1440" w:rsidRPr="00F673EE" w:rsidRDefault="00AF1440" w:rsidP="00AF1440">
      <w:pPr>
        <w:pStyle w:val="subsection2"/>
      </w:pPr>
      <w:r w:rsidRPr="00F673EE">
        <w:t>on disciplinary grounds, or as a result of or in anticipation of criminal, civil or disciplinary proceedings, then the person's registration in the equivalent occupation in an Australian jurisdiction is affected in the same way.</w:t>
      </w:r>
    </w:p>
    <w:p w:rsidR="00AF1440" w:rsidRPr="00F673EE" w:rsidRDefault="00AF1440" w:rsidP="00AF1440">
      <w:pPr>
        <w:pStyle w:val="subsection"/>
      </w:pPr>
      <w:r w:rsidRPr="00F673EE">
        <w:tab/>
        <w:t>(2)</w:t>
      </w:r>
      <w:r w:rsidRPr="00F673EE">
        <w:tab/>
        <w:t>However, the local registration authority of the Australian jurisdiction may reinstate any cancelled or suspended registration or waive any such condition if it thinks it appropriate in the circumstances.</w:t>
      </w:r>
    </w:p>
    <w:p w:rsidR="00AF1440" w:rsidRPr="00F673EE" w:rsidRDefault="00AF1440" w:rsidP="00AF1440">
      <w:pPr>
        <w:pStyle w:val="subsection"/>
      </w:pPr>
      <w:r w:rsidRPr="00F673EE">
        <w:tab/>
        <w:t>(3)</w:t>
      </w:r>
      <w:r w:rsidRPr="00F673EE">
        <w:tab/>
        <w:t>This section extends to registration effected apart from this Act.</w:t>
      </w:r>
    </w:p>
    <w:p w:rsidR="00AF1440" w:rsidRPr="00F673EE" w:rsidRDefault="00AF1440" w:rsidP="00AF1440">
      <w:pPr>
        <w:pStyle w:val="subsection"/>
      </w:pPr>
      <w:r w:rsidRPr="00F673EE">
        <w:tab/>
        <w:t>(4)</w:t>
      </w:r>
      <w:r w:rsidRPr="00F673EE">
        <w:tab/>
        <w:t>This section has effect despite any other provisions of this Part.</w:t>
      </w:r>
    </w:p>
    <w:p w:rsidR="00AF1440" w:rsidRPr="00F673EE" w:rsidRDefault="00AF1440" w:rsidP="00AF1440">
      <w:pPr>
        <w:pStyle w:val="ActHead5"/>
      </w:pPr>
      <w:bookmarkStart w:id="41" w:name="_Toc532465258"/>
      <w:r w:rsidRPr="00F673EE">
        <w:rPr>
          <w:rStyle w:val="CharSectno"/>
        </w:rPr>
        <w:t>33</w:t>
      </w:r>
      <w:r w:rsidRPr="00F673EE">
        <w:t xml:space="preserve">  Review of decisions</w:t>
      </w:r>
      <w:bookmarkEnd w:id="41"/>
    </w:p>
    <w:p w:rsidR="00AF1440" w:rsidRPr="00F673EE" w:rsidRDefault="00AF1440" w:rsidP="00AF1440">
      <w:pPr>
        <w:pStyle w:val="subsection"/>
      </w:pPr>
      <w:r w:rsidRPr="00F673EE">
        <w:tab/>
        <w:t>(1)</w:t>
      </w:r>
      <w:r w:rsidRPr="00F673EE">
        <w:tab/>
        <w:t xml:space="preserve">Subject to the </w:t>
      </w:r>
      <w:r w:rsidRPr="00F673EE">
        <w:rPr>
          <w:i/>
        </w:rPr>
        <w:t>Administrative Appeals Tribunal Act 1975</w:t>
      </w:r>
      <w:r w:rsidRPr="00F673EE">
        <w:t>, application may be made to the Australian Tribunal for review of a decision of a local registration authority of an Australian jurisdiction in relation to its functions under this Act.</w:t>
      </w:r>
    </w:p>
    <w:p w:rsidR="00AF1440" w:rsidRPr="00F673EE" w:rsidRDefault="00AF1440" w:rsidP="00AF1440">
      <w:pPr>
        <w:pStyle w:val="subsection"/>
      </w:pPr>
      <w:r w:rsidRPr="00F673EE">
        <w:tab/>
        <w:t>(2)</w:t>
      </w:r>
      <w:r w:rsidRPr="00F673EE">
        <w:tab/>
        <w:t xml:space="preserve">In </w:t>
      </w:r>
      <w:r w:rsidR="00F673EE">
        <w:t>subsection (</w:t>
      </w:r>
      <w:r w:rsidRPr="00F673EE">
        <w:t>1):</w:t>
      </w:r>
    </w:p>
    <w:p w:rsidR="00AF1440" w:rsidRPr="00F673EE" w:rsidRDefault="00AF1440" w:rsidP="00AF1440">
      <w:pPr>
        <w:pStyle w:val="Definition"/>
      </w:pPr>
      <w:r w:rsidRPr="00F673EE">
        <w:rPr>
          <w:b/>
          <w:i/>
        </w:rPr>
        <w:t>decision</w:t>
      </w:r>
      <w:r w:rsidRPr="00F673EE">
        <w:rPr>
          <w:i/>
        </w:rPr>
        <w:t xml:space="preserve"> </w:t>
      </w:r>
      <w:r w:rsidRPr="00F673EE">
        <w:t xml:space="preserve">has the same meaning as in the </w:t>
      </w:r>
      <w:r w:rsidRPr="00F673EE">
        <w:rPr>
          <w:i/>
        </w:rPr>
        <w:t>Administrative Appeals Tribunal Act 1975</w:t>
      </w:r>
      <w:r w:rsidRPr="00F673EE">
        <w:t>.</w:t>
      </w:r>
    </w:p>
    <w:p w:rsidR="00AF1440" w:rsidRPr="00F673EE" w:rsidRDefault="00AF1440" w:rsidP="00AF1440">
      <w:pPr>
        <w:pStyle w:val="subsection"/>
      </w:pPr>
      <w:r w:rsidRPr="00F673EE">
        <w:tab/>
        <w:t>(3)</w:t>
      </w:r>
      <w:r w:rsidRPr="00F673EE">
        <w:tab/>
        <w:t xml:space="preserve">If a local registration authority gives a person written notice of the making of a decision referred to in </w:t>
      </w:r>
      <w:r w:rsidR="00F673EE">
        <w:t>subsection (</w:t>
      </w:r>
      <w:r w:rsidRPr="00F673EE">
        <w:t>1), the notice must include a statement to the effect that:</w:t>
      </w:r>
    </w:p>
    <w:p w:rsidR="00AF1440" w:rsidRPr="00F673EE" w:rsidRDefault="00AF1440" w:rsidP="00AF1440">
      <w:pPr>
        <w:pStyle w:val="paragraph"/>
      </w:pPr>
      <w:r w:rsidRPr="00F673EE">
        <w:tab/>
        <w:t>(a)</w:t>
      </w:r>
      <w:r w:rsidRPr="00F673EE">
        <w:tab/>
        <w:t xml:space="preserve">subject to the </w:t>
      </w:r>
      <w:r w:rsidRPr="00F673EE">
        <w:rPr>
          <w:i/>
        </w:rPr>
        <w:t>Administrative Appeals Tribunal Act 1975</w:t>
      </w:r>
      <w:r w:rsidRPr="00F673EE">
        <w:t xml:space="preserve">, application for review of the decision may be made to the </w:t>
      </w:r>
      <w:r w:rsidRPr="00F673EE">
        <w:lastRenderedPageBreak/>
        <w:t>Australian Tribunal by a person whose interests are affected by the decision; and</w:t>
      </w:r>
    </w:p>
    <w:p w:rsidR="00AF1440" w:rsidRPr="00F673EE" w:rsidRDefault="00AF1440" w:rsidP="00AF1440">
      <w:pPr>
        <w:pStyle w:val="paragraph"/>
      </w:pPr>
      <w:r w:rsidRPr="00F673EE">
        <w:tab/>
        <w:t>(b)</w:t>
      </w:r>
      <w:r w:rsidRPr="00F673EE">
        <w:tab/>
        <w:t>except where subsection</w:t>
      </w:r>
      <w:r w:rsidR="00F673EE">
        <w:t> </w:t>
      </w:r>
      <w:r w:rsidRPr="00F673EE">
        <w:t>28(4) of that Act applies, application may be made in accordance with section</w:t>
      </w:r>
      <w:r w:rsidR="00F673EE">
        <w:t> </w:t>
      </w:r>
      <w:r w:rsidRPr="00F673EE">
        <w:t>28 of that Act by or on behalf of that person for a statement in writing setting out the findings on material questions of fact, referring to the evidence or other material on which those findings were based, and giving the reasons for the decision.</w:t>
      </w:r>
    </w:p>
    <w:p w:rsidR="00AF1440" w:rsidRPr="00F673EE" w:rsidRDefault="00AF1440" w:rsidP="00AF1440">
      <w:pPr>
        <w:pStyle w:val="subsection"/>
      </w:pPr>
      <w:r w:rsidRPr="00F673EE">
        <w:tab/>
        <w:t>(4)</w:t>
      </w:r>
      <w:r w:rsidRPr="00F673EE">
        <w:tab/>
        <w:t xml:space="preserve">Any failure to comply with a requirement of </w:t>
      </w:r>
      <w:r w:rsidR="00F673EE">
        <w:t>subsection (</w:t>
      </w:r>
      <w:r w:rsidRPr="00F673EE">
        <w:t>3) does not affect the validity of the decision.</w:t>
      </w:r>
    </w:p>
    <w:p w:rsidR="00AF1440" w:rsidRPr="00F673EE" w:rsidRDefault="00AF1440" w:rsidP="00AF1440">
      <w:pPr>
        <w:pStyle w:val="ActHead5"/>
      </w:pPr>
      <w:bookmarkStart w:id="42" w:name="_Toc532465259"/>
      <w:r w:rsidRPr="00F673EE">
        <w:rPr>
          <w:rStyle w:val="CharSectno"/>
        </w:rPr>
        <w:t>34</w:t>
      </w:r>
      <w:r w:rsidRPr="00F673EE">
        <w:t xml:space="preserve">  Costs</w:t>
      </w:r>
      <w:bookmarkEnd w:id="42"/>
    </w:p>
    <w:p w:rsidR="00AF1440" w:rsidRPr="00F673EE" w:rsidRDefault="00AF1440" w:rsidP="00AF1440">
      <w:pPr>
        <w:pStyle w:val="subsection"/>
      </w:pPr>
      <w:r w:rsidRPr="00F673EE">
        <w:tab/>
      </w:r>
      <w:r w:rsidRPr="00F673EE">
        <w:tab/>
        <w:t>The Australian Tribunal may order a party in proceedings before it to pay costs if the party has acted unreasonably.</w:t>
      </w:r>
    </w:p>
    <w:p w:rsidR="00AF1440" w:rsidRPr="00F673EE" w:rsidRDefault="00AF1440" w:rsidP="00AF1440">
      <w:pPr>
        <w:pStyle w:val="ActHead5"/>
      </w:pPr>
      <w:bookmarkStart w:id="43" w:name="_Toc532465260"/>
      <w:r w:rsidRPr="00F673EE">
        <w:rPr>
          <w:rStyle w:val="CharSectno"/>
        </w:rPr>
        <w:t>35</w:t>
      </w:r>
      <w:r w:rsidRPr="00F673EE">
        <w:t xml:space="preserve">  Co</w:t>
      </w:r>
      <w:r w:rsidR="00F673EE">
        <w:noBreakHyphen/>
      </w:r>
      <w:r w:rsidRPr="00F673EE">
        <w:t>operation with and membership of Trans</w:t>
      </w:r>
      <w:r w:rsidR="00F673EE">
        <w:noBreakHyphen/>
      </w:r>
      <w:r w:rsidRPr="00F673EE">
        <w:t>Tasman Occupations Tribunal (NZ)</w:t>
      </w:r>
      <w:bookmarkEnd w:id="43"/>
    </w:p>
    <w:p w:rsidR="00AF1440" w:rsidRPr="00F673EE" w:rsidRDefault="00AF1440" w:rsidP="00AF1440">
      <w:pPr>
        <w:pStyle w:val="subsection"/>
      </w:pPr>
      <w:r w:rsidRPr="00F673EE">
        <w:tab/>
        <w:t>(1)</w:t>
      </w:r>
      <w:r w:rsidRPr="00F673EE">
        <w:tab/>
        <w:t>The purpose of this section is to promote consistency between decisions made by the Australian Tribunal for the purposes of this Act and decisions made by the New Zealand Tribunal for the purposes of the New Zealand Act.</w:t>
      </w:r>
    </w:p>
    <w:p w:rsidR="00AF1440" w:rsidRPr="00F673EE" w:rsidRDefault="00AF1440" w:rsidP="00AF1440">
      <w:pPr>
        <w:pStyle w:val="subsection"/>
      </w:pPr>
      <w:r w:rsidRPr="00F673EE">
        <w:tab/>
        <w:t>(2)</w:t>
      </w:r>
      <w:r w:rsidRPr="00F673EE">
        <w:tab/>
        <w:t>In making decisions for the purposes of this Act, the Australian Tribunal is to have regard to decisions of the New Zealand Tribunal.</w:t>
      </w:r>
    </w:p>
    <w:p w:rsidR="00AF1440" w:rsidRPr="00F673EE" w:rsidRDefault="00AF1440" w:rsidP="00AF1440">
      <w:pPr>
        <w:pStyle w:val="subsection"/>
      </w:pPr>
      <w:r w:rsidRPr="00F673EE">
        <w:tab/>
        <w:t>(3)</w:t>
      </w:r>
      <w:r w:rsidRPr="00F673EE">
        <w:tab/>
        <w:t>For the purposes of a review of a decision referred to in subsection</w:t>
      </w:r>
      <w:r w:rsidR="00F673EE">
        <w:t> </w:t>
      </w:r>
      <w:r w:rsidRPr="00F673EE">
        <w:t xml:space="preserve">33(1) of this Act, the President of the Australian Tribunal may, in the exercise of the power under </w:t>
      </w:r>
      <w:r w:rsidR="00D72B0C" w:rsidRPr="00F673EE">
        <w:t>paragraph</w:t>
      </w:r>
      <w:r w:rsidR="00F673EE">
        <w:t> </w:t>
      </w:r>
      <w:r w:rsidR="00D72B0C" w:rsidRPr="00F673EE">
        <w:t>19A(1)(a)</w:t>
      </w:r>
      <w:r w:rsidRPr="00F673EE">
        <w:t xml:space="preserve"> of the </w:t>
      </w:r>
      <w:r w:rsidRPr="00F673EE">
        <w:rPr>
          <w:i/>
        </w:rPr>
        <w:t>Administrative Appeals Tribunal Act 1975</w:t>
      </w:r>
      <w:r w:rsidRPr="00F673EE">
        <w:t>, direct that the persons who are to constitute the Australian Tribunal for the purposes of that review include:</w:t>
      </w:r>
    </w:p>
    <w:p w:rsidR="00AF1440" w:rsidRPr="00F673EE" w:rsidRDefault="00AF1440" w:rsidP="00AF1440">
      <w:pPr>
        <w:pStyle w:val="paragraph"/>
      </w:pPr>
      <w:r w:rsidRPr="00F673EE">
        <w:tab/>
        <w:t>(a)</w:t>
      </w:r>
      <w:r w:rsidRPr="00F673EE">
        <w:tab/>
        <w:t xml:space="preserve">the Chairperson of the </w:t>
      </w:r>
      <w:smartTag w:uri="urn:schemas-microsoft-com:office:smarttags" w:element="country-region">
        <w:smartTag w:uri="urn:schemas-microsoft-com:office:smarttags" w:element="place">
          <w:r w:rsidRPr="00F673EE">
            <w:t>New Zealand</w:t>
          </w:r>
        </w:smartTag>
      </w:smartTag>
      <w:r w:rsidRPr="00F673EE">
        <w:t xml:space="preserve"> Tribunal; or</w:t>
      </w:r>
    </w:p>
    <w:p w:rsidR="00AF1440" w:rsidRPr="00F673EE" w:rsidRDefault="00AF1440" w:rsidP="00AF1440">
      <w:pPr>
        <w:pStyle w:val="paragraph"/>
      </w:pPr>
      <w:r w:rsidRPr="00F673EE">
        <w:tab/>
        <w:t>(b)</w:t>
      </w:r>
      <w:r w:rsidRPr="00F673EE">
        <w:tab/>
        <w:t>a person included on the panel maintained under the New Zealand Act who is nominated by the Chairperson of the New Zealand Tribunal for the purposes of that review.</w:t>
      </w:r>
    </w:p>
    <w:p w:rsidR="00AF1440" w:rsidRPr="00F673EE" w:rsidRDefault="00AF1440" w:rsidP="00AF1440">
      <w:pPr>
        <w:pStyle w:val="subsection"/>
      </w:pPr>
      <w:r w:rsidRPr="00F673EE">
        <w:lastRenderedPageBreak/>
        <w:tab/>
        <w:t>(4)</w:t>
      </w:r>
      <w:r w:rsidRPr="00F673EE">
        <w:tab/>
        <w:t xml:space="preserve">The President of the Australian Tribunal must exercise the power given by </w:t>
      </w:r>
      <w:r w:rsidR="00F673EE">
        <w:t>subsection (</w:t>
      </w:r>
      <w:r w:rsidRPr="00F673EE">
        <w:t>3) in accordance with arrangements made from time to time between the President and the Chairperson of the New Zealand Tribunal.</w:t>
      </w:r>
    </w:p>
    <w:p w:rsidR="00AF1440" w:rsidRPr="00F673EE" w:rsidRDefault="00AF1440" w:rsidP="00AF1440">
      <w:pPr>
        <w:pStyle w:val="subsection"/>
      </w:pPr>
      <w:r w:rsidRPr="00F673EE">
        <w:tab/>
        <w:t>(5)</w:t>
      </w:r>
      <w:r w:rsidRPr="00F673EE">
        <w:tab/>
        <w:t xml:space="preserve">A reference in any of the following provisions to a member includes a reference to a person included in a direction under </w:t>
      </w:r>
      <w:r w:rsidR="00F673EE">
        <w:t>subsection (</w:t>
      </w:r>
      <w:r w:rsidRPr="00F673EE">
        <w:t>3) of this section:</w:t>
      </w:r>
    </w:p>
    <w:p w:rsidR="00AF1440" w:rsidRPr="00F673EE" w:rsidRDefault="00AF1440" w:rsidP="00AF1440">
      <w:pPr>
        <w:pStyle w:val="paragraph"/>
      </w:pPr>
      <w:r w:rsidRPr="00F673EE">
        <w:tab/>
        <w:t>(a)</w:t>
      </w:r>
      <w:r w:rsidRPr="00F673EE">
        <w:tab/>
        <w:t xml:space="preserve">the definition of </w:t>
      </w:r>
      <w:r w:rsidRPr="00F673EE">
        <w:rPr>
          <w:b/>
          <w:i/>
        </w:rPr>
        <w:t>authorised member</w:t>
      </w:r>
      <w:r w:rsidRPr="00F673EE">
        <w:t xml:space="preserve"> in subsection</w:t>
      </w:r>
      <w:r w:rsidR="00F673EE">
        <w:t> </w:t>
      </w:r>
      <w:r w:rsidRPr="00F673EE">
        <w:t xml:space="preserve">3(1) of the </w:t>
      </w:r>
      <w:r w:rsidRPr="00F673EE">
        <w:rPr>
          <w:i/>
        </w:rPr>
        <w:t>Administrative Appeals Tribunal Act 1975</w:t>
      </w:r>
      <w:r w:rsidRPr="00F673EE">
        <w:t>;</w:t>
      </w:r>
    </w:p>
    <w:p w:rsidR="00AF1440" w:rsidRPr="00F673EE" w:rsidRDefault="00AF1440" w:rsidP="00AF1440">
      <w:pPr>
        <w:pStyle w:val="paragraph"/>
      </w:pPr>
      <w:r w:rsidRPr="00F673EE">
        <w:tab/>
        <w:t>(b)</w:t>
      </w:r>
      <w:r w:rsidRPr="00F673EE">
        <w:tab/>
        <w:t xml:space="preserve">Part III, IIIA, IV or VI of the </w:t>
      </w:r>
      <w:r w:rsidRPr="00F673EE">
        <w:rPr>
          <w:i/>
        </w:rPr>
        <w:t>Administrative Appeals Tribunal Act 1975</w:t>
      </w:r>
      <w:r w:rsidRPr="00F673EE">
        <w:t>.</w:t>
      </w:r>
    </w:p>
    <w:p w:rsidR="00AF1440" w:rsidRPr="00F673EE" w:rsidRDefault="00AF1440" w:rsidP="00AF1440">
      <w:pPr>
        <w:pStyle w:val="subsection"/>
      </w:pPr>
      <w:r w:rsidRPr="00F673EE">
        <w:tab/>
        <w:t>(6)</w:t>
      </w:r>
      <w:r w:rsidRPr="00F673EE">
        <w:tab/>
        <w:t>In spite of anything in any other Act, the Chairperson of the New Zealand Tribunal, or a person included on the panel maintained under the New Zealand Act, is not entitled to remuneration or allowances in respect of service as a member of the Australian Tribunal as permitted by this Act.</w:t>
      </w:r>
    </w:p>
    <w:p w:rsidR="00AF1440" w:rsidRPr="00F673EE" w:rsidRDefault="00AF1440" w:rsidP="00AF1440">
      <w:pPr>
        <w:pStyle w:val="subsection"/>
      </w:pPr>
      <w:r w:rsidRPr="00F673EE">
        <w:tab/>
        <w:t>(7)</w:t>
      </w:r>
      <w:r w:rsidRPr="00F673EE">
        <w:tab/>
        <w:t>Service by a member of the Australian Tribunal on the New Zealand Tribunal under the New Zealand Act is taken for all purposes of Australian law to be service as a member of the Australian Tribunal.</w:t>
      </w:r>
    </w:p>
    <w:p w:rsidR="00AF1440" w:rsidRPr="00F673EE" w:rsidRDefault="00AF1440" w:rsidP="00AF1440">
      <w:pPr>
        <w:pStyle w:val="ActHead5"/>
      </w:pPr>
      <w:bookmarkStart w:id="44" w:name="_Toc532465261"/>
      <w:r w:rsidRPr="00F673EE">
        <w:rPr>
          <w:rStyle w:val="CharSectno"/>
        </w:rPr>
        <w:t>36</w:t>
      </w:r>
      <w:r w:rsidRPr="00F673EE">
        <w:t xml:space="preserve">  Residence or domicile</w:t>
      </w:r>
      <w:bookmarkEnd w:id="44"/>
    </w:p>
    <w:p w:rsidR="00AF1440" w:rsidRPr="00F673EE" w:rsidRDefault="00AF1440" w:rsidP="00AF1440">
      <w:pPr>
        <w:pStyle w:val="subsection"/>
      </w:pPr>
      <w:r w:rsidRPr="00F673EE">
        <w:tab/>
      </w:r>
      <w:r w:rsidRPr="00F673EE">
        <w:tab/>
        <w:t>Residence or domicile in a particular participating jurisdiction is not to be a prerequisite for or a factor in entitlement to the grant, renewal or continuation of registration arising under this Part.</w:t>
      </w:r>
    </w:p>
    <w:p w:rsidR="00AF1440" w:rsidRPr="00F673EE" w:rsidRDefault="00AF1440" w:rsidP="00AF1440">
      <w:pPr>
        <w:pStyle w:val="ActHead5"/>
      </w:pPr>
      <w:bookmarkStart w:id="45" w:name="_Toc532465262"/>
      <w:r w:rsidRPr="00F673EE">
        <w:rPr>
          <w:rStyle w:val="CharSectno"/>
        </w:rPr>
        <w:t>37</w:t>
      </w:r>
      <w:r w:rsidRPr="00F673EE">
        <w:t xml:space="preserve">  Furnishing information</w:t>
      </w:r>
      <w:bookmarkEnd w:id="45"/>
    </w:p>
    <w:p w:rsidR="00AF1440" w:rsidRPr="00F673EE" w:rsidRDefault="00AF1440" w:rsidP="00AF1440">
      <w:pPr>
        <w:pStyle w:val="subsection"/>
      </w:pPr>
      <w:r w:rsidRPr="00F673EE">
        <w:tab/>
        <w:t>(1)</w:t>
      </w:r>
      <w:r w:rsidRPr="00F673EE">
        <w:tab/>
        <w:t>A local registration authority of an Australian jurisdiction must furnish without delay any information reasonably required by a local registration authority of another participating jurisdiction about a person substantively registered under a law of the Australian jurisdiction.</w:t>
      </w:r>
    </w:p>
    <w:p w:rsidR="00AF1440" w:rsidRPr="00F673EE" w:rsidRDefault="00AF1440" w:rsidP="00AF1440">
      <w:pPr>
        <w:pStyle w:val="subsection"/>
      </w:pPr>
      <w:r w:rsidRPr="00F673EE">
        <w:lastRenderedPageBreak/>
        <w:tab/>
        <w:t>(2)</w:t>
      </w:r>
      <w:r w:rsidRPr="00F673EE">
        <w:tab/>
        <w:t>The obligation imposed under this section does not apply unless the authority of the other participating jurisdiction notifies the authority of the firstmentioned jurisdiction that the information is required in connection with:</w:t>
      </w:r>
    </w:p>
    <w:p w:rsidR="00AF1440" w:rsidRPr="00F673EE" w:rsidRDefault="00AF1440" w:rsidP="00AF1440">
      <w:pPr>
        <w:pStyle w:val="paragraph"/>
      </w:pPr>
      <w:r w:rsidRPr="00F673EE">
        <w:tab/>
        <w:t>(a)</w:t>
      </w:r>
      <w:r w:rsidRPr="00F673EE">
        <w:tab/>
        <w:t>a notice lodged by a person seeking registration; or</w:t>
      </w:r>
    </w:p>
    <w:p w:rsidR="00AF1440" w:rsidRPr="00F673EE" w:rsidRDefault="00AF1440" w:rsidP="00AF1440">
      <w:pPr>
        <w:pStyle w:val="paragraph"/>
      </w:pPr>
      <w:r w:rsidRPr="00F673EE">
        <w:tab/>
        <w:t>(b)</w:t>
      </w:r>
      <w:r w:rsidRPr="00F673EE">
        <w:tab/>
        <w:t>a person's deemed registration; or</w:t>
      </w:r>
    </w:p>
    <w:p w:rsidR="00AF1440" w:rsidRPr="00F673EE" w:rsidRDefault="00AF1440" w:rsidP="00AF1440">
      <w:pPr>
        <w:pStyle w:val="paragraph"/>
      </w:pPr>
      <w:r w:rsidRPr="00F673EE">
        <w:tab/>
        <w:t>(c)</w:t>
      </w:r>
      <w:r w:rsidRPr="00F673EE">
        <w:tab/>
        <w:t>actual or possible disciplinary action against the person.</w:t>
      </w:r>
    </w:p>
    <w:p w:rsidR="00AF1440" w:rsidRPr="00F673EE" w:rsidRDefault="00AF1440" w:rsidP="00AF1440">
      <w:pPr>
        <w:pStyle w:val="subsection"/>
      </w:pPr>
      <w:r w:rsidRPr="00F673EE">
        <w:tab/>
        <w:t>(3)</w:t>
      </w:r>
      <w:r w:rsidRPr="00F673EE">
        <w:tab/>
        <w:t>The authority of the firstmentioned jurisdiction is empowered to provide the information, despite any law relating to secrecy, confidentiality or privacy.</w:t>
      </w:r>
    </w:p>
    <w:p w:rsidR="00AF1440" w:rsidRPr="00F673EE" w:rsidRDefault="00AF1440" w:rsidP="00AF1440">
      <w:pPr>
        <w:pStyle w:val="subsection"/>
      </w:pPr>
      <w:r w:rsidRPr="00F673EE">
        <w:tab/>
        <w:t>(4)</w:t>
      </w:r>
      <w:r w:rsidRPr="00F673EE">
        <w:tab/>
        <w:t>Nothing in this section affects any obligation or power to provide information apart from this section.</w:t>
      </w:r>
    </w:p>
    <w:p w:rsidR="00AF1440" w:rsidRPr="00F673EE" w:rsidRDefault="00AF1440" w:rsidP="00AF1440">
      <w:pPr>
        <w:pStyle w:val="ActHead5"/>
      </w:pPr>
      <w:bookmarkStart w:id="46" w:name="_Toc532465263"/>
      <w:r w:rsidRPr="00F673EE">
        <w:rPr>
          <w:rStyle w:val="CharSectno"/>
        </w:rPr>
        <w:t>38</w:t>
      </w:r>
      <w:r w:rsidRPr="00F673EE">
        <w:t xml:space="preserve">  Receiving information</w:t>
      </w:r>
      <w:bookmarkEnd w:id="46"/>
    </w:p>
    <w:p w:rsidR="00AF1440" w:rsidRPr="00F673EE" w:rsidRDefault="00AF1440" w:rsidP="00AF1440">
      <w:pPr>
        <w:pStyle w:val="subsection"/>
      </w:pPr>
      <w:r w:rsidRPr="00F673EE">
        <w:tab/>
      </w:r>
      <w:r w:rsidRPr="00F673EE">
        <w:tab/>
        <w:t>If a local registration authority of an Australian jurisdiction receives information under section</w:t>
      </w:r>
      <w:r w:rsidR="00F673EE">
        <w:t> </w:t>
      </w:r>
      <w:r w:rsidRPr="00F673EE">
        <w:t>37 of this Act or the corresponding provision of the New Zealand Act, the information is subject to any law relating to secrecy, confidentiality or privacy that would apply if the information were provided under the law of the jurisdiction under which the authority is constituted or exercises its functions.</w:t>
      </w:r>
    </w:p>
    <w:p w:rsidR="00AF1440" w:rsidRPr="00F673EE" w:rsidRDefault="00AF1440" w:rsidP="00AF1440">
      <w:pPr>
        <w:pStyle w:val="ActHead5"/>
      </w:pPr>
      <w:bookmarkStart w:id="47" w:name="_Toc532465264"/>
      <w:r w:rsidRPr="00F673EE">
        <w:rPr>
          <w:rStyle w:val="CharSectno"/>
        </w:rPr>
        <w:t>39</w:t>
      </w:r>
      <w:r w:rsidRPr="00F673EE">
        <w:t xml:space="preserve">  General responsibilities of local registration authorities</w:t>
      </w:r>
      <w:bookmarkEnd w:id="47"/>
    </w:p>
    <w:p w:rsidR="00AF1440" w:rsidRPr="00F673EE" w:rsidRDefault="00AF1440" w:rsidP="00AF1440">
      <w:pPr>
        <w:pStyle w:val="subsection"/>
      </w:pPr>
      <w:r w:rsidRPr="00F673EE">
        <w:tab/>
        <w:t>(1)</w:t>
      </w:r>
      <w:r w:rsidRPr="00F673EE">
        <w:tab/>
        <w:t>It is the duty of each local registration authority of an Australian jurisdiction to facilitate the operation of this Part in relation to the occupations for which the authority is responsible, and in particular to make use of the power to impose conditions in such a way as to promote the Trans</w:t>
      </w:r>
      <w:r w:rsidR="00F673EE">
        <w:noBreakHyphen/>
      </w:r>
      <w:r w:rsidRPr="00F673EE">
        <w:t>Tasman mutual recognition principle.</w:t>
      </w:r>
    </w:p>
    <w:p w:rsidR="00AF1440" w:rsidRPr="00F673EE" w:rsidRDefault="00AF1440" w:rsidP="00AF1440">
      <w:pPr>
        <w:pStyle w:val="subsection"/>
      </w:pPr>
      <w:r w:rsidRPr="00F673EE">
        <w:tab/>
        <w:t>(2)</w:t>
      </w:r>
      <w:r w:rsidRPr="00F673EE">
        <w:tab/>
        <w:t>It is the duty of each local registration authority of an Australian jurisdiction to prepare and make available guidelines and information regarding the operation of this Part in relation to the occupations for which the authority is responsible.</w:t>
      </w:r>
    </w:p>
    <w:p w:rsidR="00AF1440" w:rsidRPr="00F673EE" w:rsidRDefault="00AF1440" w:rsidP="00AF1440">
      <w:pPr>
        <w:pStyle w:val="subsection"/>
      </w:pPr>
      <w:r w:rsidRPr="00F673EE">
        <w:lastRenderedPageBreak/>
        <w:tab/>
        <w:t>(3)</w:t>
      </w:r>
      <w:r w:rsidRPr="00F673EE">
        <w:tab/>
        <w:t>The first such guidelines and information are to be available within 6 months after the commencement of this section.</w:t>
      </w:r>
    </w:p>
    <w:p w:rsidR="00AF1440" w:rsidRPr="00F673EE" w:rsidRDefault="00AF1440" w:rsidP="00AF1440">
      <w:pPr>
        <w:pStyle w:val="subsection"/>
      </w:pPr>
      <w:r w:rsidRPr="00F673EE">
        <w:tab/>
        <w:t>(4)</w:t>
      </w:r>
      <w:r w:rsidRPr="00F673EE">
        <w:tab/>
        <w:t>In dealing with information obtained or to be obtained under this Act, a local registration authority of an Australian jurisdiction must have regard to the principles relating to information privacy set out in Schedule</w:t>
      </w:r>
      <w:r w:rsidR="00F673EE">
        <w:t> </w:t>
      </w:r>
      <w:r w:rsidRPr="00F673EE">
        <w:t>5.</w:t>
      </w:r>
    </w:p>
    <w:p w:rsidR="00AF1440" w:rsidRPr="00F673EE" w:rsidRDefault="00AF1440" w:rsidP="00AF1440">
      <w:pPr>
        <w:pStyle w:val="subsection"/>
      </w:pPr>
      <w:r w:rsidRPr="00F673EE">
        <w:tab/>
        <w:t>(5)</w:t>
      </w:r>
      <w:r w:rsidRPr="00F673EE">
        <w:tab/>
        <w:t xml:space="preserve">Nothing in </w:t>
      </w:r>
      <w:r w:rsidR="00F673EE">
        <w:t>subsection (</w:t>
      </w:r>
      <w:r w:rsidRPr="00F673EE">
        <w:t>4) or in Schedule</w:t>
      </w:r>
      <w:r w:rsidR="00F673EE">
        <w:t> </w:t>
      </w:r>
      <w:r w:rsidRPr="00F673EE">
        <w:t>5:</w:t>
      </w:r>
    </w:p>
    <w:p w:rsidR="00AF1440" w:rsidRPr="00F673EE" w:rsidRDefault="00AF1440" w:rsidP="00AF1440">
      <w:pPr>
        <w:pStyle w:val="paragraph"/>
      </w:pPr>
      <w:r w:rsidRPr="00F673EE">
        <w:tab/>
        <w:t>(a)</w:t>
      </w:r>
      <w:r w:rsidRPr="00F673EE">
        <w:tab/>
        <w:t>affects the operation or validity of any decision or other action taken under this Act; or</w:t>
      </w:r>
    </w:p>
    <w:p w:rsidR="00AF1440" w:rsidRPr="00F673EE" w:rsidRDefault="00AF1440" w:rsidP="00AF1440">
      <w:pPr>
        <w:pStyle w:val="paragraph"/>
      </w:pPr>
      <w:r w:rsidRPr="00F673EE">
        <w:tab/>
        <w:t>(b)</w:t>
      </w:r>
      <w:r w:rsidRPr="00F673EE">
        <w:tab/>
        <w:t>gives rise to, or can be taken into account in, any civil cause of action; or</w:t>
      </w:r>
    </w:p>
    <w:p w:rsidR="00AF1440" w:rsidRPr="00F673EE" w:rsidRDefault="00AF1440" w:rsidP="00AF1440">
      <w:pPr>
        <w:pStyle w:val="paragraph"/>
      </w:pPr>
      <w:r w:rsidRPr="00F673EE">
        <w:tab/>
        <w:t>(c)</w:t>
      </w:r>
      <w:r w:rsidRPr="00F673EE">
        <w:tab/>
        <w:t>creates rights or duties that are enforceable in judicial or other proceedings.</w:t>
      </w:r>
    </w:p>
    <w:p w:rsidR="00AF1440" w:rsidRPr="00F673EE" w:rsidRDefault="00AF1440" w:rsidP="00AF1440">
      <w:pPr>
        <w:pStyle w:val="ActHead5"/>
      </w:pPr>
      <w:bookmarkStart w:id="48" w:name="_Toc532465265"/>
      <w:r w:rsidRPr="00F673EE">
        <w:rPr>
          <w:rStyle w:val="CharSectno"/>
        </w:rPr>
        <w:t>40</w:t>
      </w:r>
      <w:r w:rsidRPr="00F673EE">
        <w:t xml:space="preserve">  Fees</w:t>
      </w:r>
      <w:bookmarkEnd w:id="48"/>
    </w:p>
    <w:p w:rsidR="00AF1440" w:rsidRPr="00F673EE" w:rsidRDefault="00AF1440" w:rsidP="00AF1440">
      <w:pPr>
        <w:pStyle w:val="subsection"/>
      </w:pPr>
      <w:r w:rsidRPr="00F673EE">
        <w:tab/>
        <w:t>(1)</w:t>
      </w:r>
      <w:r w:rsidRPr="00F673EE">
        <w:tab/>
        <w:t>A local registration authority of an Australian jurisdiction has power to impose fees in relation to substantive or deemed registration or the continuance of registration arising under this Part, but any such fees may not be greater than are applicable for registration apart from this Part.</w:t>
      </w:r>
    </w:p>
    <w:p w:rsidR="00AF1440" w:rsidRPr="00F673EE" w:rsidRDefault="00AF1440" w:rsidP="00AF1440">
      <w:pPr>
        <w:pStyle w:val="subsection"/>
      </w:pPr>
      <w:r w:rsidRPr="00F673EE">
        <w:tab/>
        <w:t>(2)</w:t>
      </w:r>
      <w:r w:rsidRPr="00F673EE">
        <w:tab/>
        <w:t>Nothing in this section prevents the fixing or prescribing of fees referred to in this section under any other law of an Australian jurisdiction, but the fees may not be greater than can be imposed under this section.</w:t>
      </w:r>
    </w:p>
    <w:p w:rsidR="00AF1440" w:rsidRPr="00F673EE" w:rsidRDefault="00AF1440" w:rsidP="00AF1440">
      <w:pPr>
        <w:pStyle w:val="subsection"/>
      </w:pPr>
      <w:r w:rsidRPr="00F673EE">
        <w:tab/>
        <w:t>(3)</w:t>
      </w:r>
      <w:r w:rsidRPr="00F673EE">
        <w:tab/>
        <w:t>The local registration authority may impose a condition on substantive or deemed registration arising under this Part to the effect that a person may not carry out activities under registration unless a fee or other payment has been paid, but such a condition may not be imposed unless it corresponds to a requirement attaching to registration apart from this Part.</w:t>
      </w:r>
    </w:p>
    <w:p w:rsidR="00AF1440" w:rsidRPr="00F673EE" w:rsidRDefault="00AF1440" w:rsidP="00AF1440">
      <w:pPr>
        <w:pStyle w:val="subsection"/>
      </w:pPr>
      <w:r w:rsidRPr="00F673EE">
        <w:tab/>
        <w:t>(4)</w:t>
      </w:r>
      <w:r w:rsidRPr="00F673EE">
        <w:tab/>
        <w:t>This section does not authorise the imposition of a tax.</w:t>
      </w:r>
    </w:p>
    <w:p w:rsidR="00AF1440" w:rsidRPr="00F673EE" w:rsidRDefault="00AF1440" w:rsidP="00AF1440">
      <w:pPr>
        <w:pStyle w:val="ActHead5"/>
      </w:pPr>
      <w:bookmarkStart w:id="49" w:name="_Toc532465266"/>
      <w:r w:rsidRPr="00F673EE">
        <w:rPr>
          <w:rStyle w:val="CharSectno"/>
        </w:rPr>
        <w:lastRenderedPageBreak/>
        <w:t>41</w:t>
      </w:r>
      <w:r w:rsidRPr="00F673EE">
        <w:t xml:space="preserve">  Formalities requiring personal attendance</w:t>
      </w:r>
      <w:bookmarkEnd w:id="49"/>
    </w:p>
    <w:p w:rsidR="00AF1440" w:rsidRPr="00F673EE" w:rsidRDefault="00AF1440" w:rsidP="00AF1440">
      <w:pPr>
        <w:pStyle w:val="subsection"/>
      </w:pPr>
      <w:r w:rsidRPr="00F673EE">
        <w:tab/>
        <w:t>(1)</w:t>
      </w:r>
      <w:r w:rsidRPr="00F673EE">
        <w:tab/>
        <w:t>Neither substantive or deemed registration, nor entitlement to registration, under this Part requires compliance with any statutory or other formalities requiring personal attendance in the Australian jurisdiction concerned.</w:t>
      </w:r>
    </w:p>
    <w:p w:rsidR="00AF1440" w:rsidRPr="00F673EE" w:rsidRDefault="00AF1440" w:rsidP="00AF1440">
      <w:pPr>
        <w:pStyle w:val="subsection"/>
      </w:pPr>
      <w:r w:rsidRPr="00F673EE">
        <w:tab/>
        <w:t>(2)</w:t>
      </w:r>
      <w:r w:rsidRPr="00F673EE">
        <w:tab/>
        <w:t>This section applies to formalities that would otherwise have to be complied with before, at or after registration.</w:t>
      </w:r>
    </w:p>
    <w:p w:rsidR="00AF1440" w:rsidRPr="00F673EE" w:rsidRDefault="00AF1440" w:rsidP="00AF1440">
      <w:pPr>
        <w:pStyle w:val="ActHead5"/>
      </w:pPr>
      <w:bookmarkStart w:id="50" w:name="_Toc532465267"/>
      <w:r w:rsidRPr="00F673EE">
        <w:rPr>
          <w:rStyle w:val="CharSectno"/>
        </w:rPr>
        <w:t>42</w:t>
      </w:r>
      <w:r w:rsidRPr="00F673EE">
        <w:t xml:space="preserve">  Saving</w:t>
      </w:r>
      <w:bookmarkEnd w:id="50"/>
    </w:p>
    <w:p w:rsidR="00AF1440" w:rsidRPr="00F673EE" w:rsidRDefault="00AF1440" w:rsidP="00AF1440">
      <w:pPr>
        <w:pStyle w:val="subsection"/>
      </w:pPr>
      <w:r w:rsidRPr="00F673EE">
        <w:tab/>
      </w:r>
      <w:r w:rsidRPr="00F673EE">
        <w:tab/>
        <w:t>Nothing in this Part prevents a person from seeking registration or being registered for an occupation under a law apart from this Part.</w:t>
      </w:r>
    </w:p>
    <w:p w:rsidR="00AF1440" w:rsidRPr="00F673EE" w:rsidRDefault="00AF1440" w:rsidP="00D24366">
      <w:pPr>
        <w:pStyle w:val="ActHead2"/>
        <w:pageBreakBefore/>
      </w:pPr>
      <w:bookmarkStart w:id="51" w:name="_Toc532465268"/>
      <w:r w:rsidRPr="00F673EE">
        <w:rPr>
          <w:rStyle w:val="CharPartNo"/>
        </w:rPr>
        <w:lastRenderedPageBreak/>
        <w:t>Part</w:t>
      </w:r>
      <w:r w:rsidR="00F673EE" w:rsidRPr="00F673EE">
        <w:rPr>
          <w:rStyle w:val="CharPartNo"/>
        </w:rPr>
        <w:t> </w:t>
      </w:r>
      <w:r w:rsidRPr="00F673EE">
        <w:rPr>
          <w:rStyle w:val="CharPartNo"/>
        </w:rPr>
        <w:t>4</w:t>
      </w:r>
      <w:r w:rsidRPr="00F673EE">
        <w:t>—</w:t>
      </w:r>
      <w:r w:rsidRPr="00F673EE">
        <w:rPr>
          <w:rStyle w:val="CharPartText"/>
        </w:rPr>
        <w:t>Exclusions and exemptions</w:t>
      </w:r>
      <w:bookmarkEnd w:id="51"/>
    </w:p>
    <w:p w:rsidR="00AF1440" w:rsidRPr="00F673EE" w:rsidRDefault="0074383C" w:rsidP="00AF1440">
      <w:pPr>
        <w:pStyle w:val="Header"/>
      </w:pPr>
      <w:r w:rsidRPr="00F673EE">
        <w:rPr>
          <w:rStyle w:val="CharDivNo"/>
        </w:rPr>
        <w:t xml:space="preserve"> </w:t>
      </w:r>
      <w:r w:rsidRPr="00F673EE">
        <w:rPr>
          <w:rStyle w:val="CharDivText"/>
        </w:rPr>
        <w:t xml:space="preserve"> </w:t>
      </w:r>
    </w:p>
    <w:p w:rsidR="00AF1440" w:rsidRPr="00F673EE" w:rsidRDefault="00AF1440" w:rsidP="00AF1440">
      <w:pPr>
        <w:pStyle w:val="ActHead5"/>
      </w:pPr>
      <w:bookmarkStart w:id="52" w:name="_Toc532465269"/>
      <w:r w:rsidRPr="00F673EE">
        <w:rPr>
          <w:rStyle w:val="CharSectno"/>
        </w:rPr>
        <w:t>43</w:t>
      </w:r>
      <w:r w:rsidRPr="00F673EE">
        <w:t xml:space="preserve">  References to endorsing a proposed regulation</w:t>
      </w:r>
      <w:bookmarkEnd w:id="52"/>
    </w:p>
    <w:p w:rsidR="00AF1440" w:rsidRPr="00F673EE" w:rsidRDefault="00AF1440" w:rsidP="00AF1440">
      <w:pPr>
        <w:pStyle w:val="subsection"/>
      </w:pPr>
      <w:r w:rsidRPr="00F673EE">
        <w:tab/>
        <w:t>(1)</w:t>
      </w:r>
      <w:r w:rsidRPr="00F673EE">
        <w:tab/>
        <w:t>For the purposes of this Part, a jurisdiction endorses a regulation if the designated person for the jurisdiction publishes a notice in the official gazette of the jurisdiction setting out and endorsing the terms of the regulation before it is made.</w:t>
      </w:r>
    </w:p>
    <w:p w:rsidR="00AF1440" w:rsidRPr="00F673EE" w:rsidRDefault="00AF1440" w:rsidP="00AF1440">
      <w:pPr>
        <w:pStyle w:val="subsection"/>
      </w:pPr>
      <w:r w:rsidRPr="00F673EE">
        <w:tab/>
        <w:t>(2)</w:t>
      </w:r>
      <w:r w:rsidRPr="00F673EE">
        <w:tab/>
        <w:t>However, the making of a recommendation by a Minister to the Governor</w:t>
      </w:r>
      <w:r w:rsidR="00F673EE">
        <w:noBreakHyphen/>
      </w:r>
      <w:r w:rsidRPr="00F673EE">
        <w:t>General for the making of a regulation amounts to endorsement of the regulation by the Commonwealth, and the Commonwealth is taken to have endorsed the regulation for the purposes of this Part if the regulation is in fact made.</w:t>
      </w:r>
    </w:p>
    <w:p w:rsidR="00AF1440" w:rsidRPr="00F673EE" w:rsidRDefault="00AF1440" w:rsidP="00AF1440">
      <w:pPr>
        <w:pStyle w:val="ActHead5"/>
      </w:pPr>
      <w:bookmarkStart w:id="53" w:name="_Toc532465270"/>
      <w:r w:rsidRPr="00F673EE">
        <w:rPr>
          <w:rStyle w:val="CharSectno"/>
        </w:rPr>
        <w:t>44</w:t>
      </w:r>
      <w:r w:rsidRPr="00F673EE">
        <w:t xml:space="preserve">  Exclusions</w:t>
      </w:r>
      <w:bookmarkEnd w:id="53"/>
    </w:p>
    <w:p w:rsidR="00AF1440" w:rsidRPr="00F673EE" w:rsidRDefault="00AF1440" w:rsidP="00AF1440">
      <w:pPr>
        <w:pStyle w:val="subsection"/>
      </w:pPr>
      <w:r w:rsidRPr="00F673EE">
        <w:tab/>
        <w:t>(1)</w:t>
      </w:r>
      <w:r w:rsidRPr="00F673EE">
        <w:tab/>
        <w:t>This Act does not affect laws of an Australian jurisdiction specified or described in Schedule</w:t>
      </w:r>
      <w:r w:rsidR="00F673EE">
        <w:t> </w:t>
      </w:r>
      <w:r w:rsidRPr="00F673EE">
        <w:t>1, to the extent that Schedule</w:t>
      </w:r>
      <w:r w:rsidR="00F673EE">
        <w:t> </w:t>
      </w:r>
      <w:r w:rsidRPr="00F673EE">
        <w:t>1 indicates that they are excluded from the operation of this Act.</w:t>
      </w:r>
    </w:p>
    <w:p w:rsidR="00AF1440" w:rsidRPr="00F673EE" w:rsidRDefault="00AF1440" w:rsidP="00AF1440">
      <w:pPr>
        <w:pStyle w:val="subsection"/>
      </w:pPr>
      <w:r w:rsidRPr="00F673EE">
        <w:tab/>
        <w:t>(2)</w:t>
      </w:r>
      <w:r w:rsidRPr="00F673EE">
        <w:tab/>
        <w:t>The Governor</w:t>
      </w:r>
      <w:r w:rsidR="00F673EE">
        <w:noBreakHyphen/>
      </w:r>
      <w:r w:rsidRPr="00F673EE">
        <w:t>General may make regulations amending Schedule</w:t>
      </w:r>
      <w:r w:rsidR="00F673EE">
        <w:t> </w:t>
      </w:r>
      <w:r w:rsidRPr="00F673EE">
        <w:t>1.</w:t>
      </w:r>
    </w:p>
    <w:p w:rsidR="00AF1440" w:rsidRPr="00F673EE" w:rsidRDefault="00AF1440" w:rsidP="00AF1440">
      <w:pPr>
        <w:pStyle w:val="subsection"/>
      </w:pPr>
      <w:r w:rsidRPr="00F673EE">
        <w:tab/>
        <w:t>(3)</w:t>
      </w:r>
      <w:r w:rsidRPr="00F673EE">
        <w:tab/>
        <w:t>A regulation may not be made for the purposes of this section unless all of the then participating jurisdictions have endorsed the regulation.</w:t>
      </w:r>
    </w:p>
    <w:p w:rsidR="00AF1440" w:rsidRPr="00F673EE" w:rsidRDefault="00AF1440" w:rsidP="00AF1440">
      <w:pPr>
        <w:pStyle w:val="subsection"/>
      </w:pPr>
      <w:r w:rsidRPr="00F673EE">
        <w:tab/>
        <w:t>(4)</w:t>
      </w:r>
      <w:r w:rsidRPr="00F673EE">
        <w:tab/>
        <w:t>However:</w:t>
      </w:r>
    </w:p>
    <w:p w:rsidR="00AF1440" w:rsidRPr="00F673EE" w:rsidRDefault="00AF1440" w:rsidP="00AF1440">
      <w:pPr>
        <w:pStyle w:val="paragraph"/>
      </w:pPr>
      <w:r w:rsidRPr="00F673EE">
        <w:tab/>
        <w:t>(a)</w:t>
      </w:r>
      <w:r w:rsidRPr="00F673EE">
        <w:tab/>
        <w:t>if such a regulation merely omits or reduces the extent of an exclusion of a law of a State from Schedule</w:t>
      </w:r>
      <w:r w:rsidR="00F673EE">
        <w:t> </w:t>
      </w:r>
      <w:r w:rsidRPr="00F673EE">
        <w:t>1, the regulation may be made if the State has endorsed the regulation; or</w:t>
      </w:r>
    </w:p>
    <w:p w:rsidR="00AF1440" w:rsidRPr="00F673EE" w:rsidRDefault="00AF1440" w:rsidP="00AF1440">
      <w:pPr>
        <w:pStyle w:val="paragraph"/>
      </w:pPr>
      <w:r w:rsidRPr="00F673EE">
        <w:tab/>
        <w:t>(b)</w:t>
      </w:r>
      <w:r w:rsidRPr="00F673EE">
        <w:tab/>
        <w:t>if such a regulation amends Part</w:t>
      </w:r>
      <w:r w:rsidR="00F673EE">
        <w:t> </w:t>
      </w:r>
      <w:r w:rsidRPr="00F673EE">
        <w:t>2 of Schedule</w:t>
      </w:r>
      <w:r w:rsidR="00F673EE">
        <w:t> </w:t>
      </w:r>
      <w:r w:rsidRPr="00F673EE">
        <w:t xml:space="preserve">1 by substituting or adding a law of a State that relates to a matter referred to in </w:t>
      </w:r>
      <w:r w:rsidR="00F673EE">
        <w:t>paragraph (</w:t>
      </w:r>
      <w:r w:rsidRPr="00F673EE">
        <w:t>a), (b), (c) or (d) of subclause</w:t>
      </w:r>
      <w:r w:rsidR="00F673EE">
        <w:t> </w:t>
      </w:r>
      <w:r w:rsidRPr="00F673EE">
        <w:t>1(1) of Part</w:t>
      </w:r>
      <w:r w:rsidR="00F673EE">
        <w:t> </w:t>
      </w:r>
      <w:r w:rsidRPr="00F673EE">
        <w:t>1 of that Schedule, the regulation may be made if the State has endorsed the regulation.</w:t>
      </w:r>
    </w:p>
    <w:p w:rsidR="00AF1440" w:rsidRPr="00F673EE" w:rsidRDefault="00AF1440" w:rsidP="00AF1440">
      <w:pPr>
        <w:pStyle w:val="ActHead5"/>
      </w:pPr>
      <w:bookmarkStart w:id="54" w:name="_Toc532465271"/>
      <w:r w:rsidRPr="00F673EE">
        <w:rPr>
          <w:rStyle w:val="CharSectno"/>
        </w:rPr>
        <w:lastRenderedPageBreak/>
        <w:t>45</w:t>
      </w:r>
      <w:r w:rsidRPr="00F673EE">
        <w:t xml:space="preserve">  Permanent exemptions</w:t>
      </w:r>
      <w:bookmarkEnd w:id="54"/>
    </w:p>
    <w:p w:rsidR="00AF1440" w:rsidRPr="00F673EE" w:rsidRDefault="00AF1440" w:rsidP="00AF1440">
      <w:pPr>
        <w:pStyle w:val="subsection"/>
      </w:pPr>
      <w:r w:rsidRPr="00F673EE">
        <w:tab/>
        <w:t>(1)</w:t>
      </w:r>
      <w:r w:rsidRPr="00F673EE">
        <w:tab/>
        <w:t>This Act does not affect the operation of laws of an Australian jurisdiction specified or described in Schedule</w:t>
      </w:r>
      <w:r w:rsidR="00F673EE">
        <w:t> </w:t>
      </w:r>
      <w:r w:rsidRPr="00F673EE">
        <w:t>2, to the extent that Schedule</w:t>
      </w:r>
      <w:r w:rsidR="00F673EE">
        <w:t> </w:t>
      </w:r>
      <w:r w:rsidRPr="00F673EE">
        <w:t>2 indicates that they are exempt from the operation of this Act.</w:t>
      </w:r>
    </w:p>
    <w:p w:rsidR="00AF1440" w:rsidRPr="00F673EE" w:rsidRDefault="00AF1440" w:rsidP="00AF1440">
      <w:pPr>
        <w:pStyle w:val="subsection"/>
      </w:pPr>
      <w:r w:rsidRPr="00F673EE">
        <w:tab/>
        <w:t>(2)</w:t>
      </w:r>
      <w:r w:rsidRPr="00F673EE">
        <w:tab/>
        <w:t>Such an exemption may be limited or unlimited in its application. If a law is specified or described in Schedule</w:t>
      </w:r>
      <w:r w:rsidR="00F673EE">
        <w:t> </w:t>
      </w:r>
      <w:r w:rsidRPr="00F673EE">
        <w:t>2 without any limitation, it is taken to be wholly exempt from the operation of this Act.</w:t>
      </w:r>
    </w:p>
    <w:p w:rsidR="00AF1440" w:rsidRPr="00F673EE" w:rsidRDefault="00AF1440" w:rsidP="00AF1440">
      <w:pPr>
        <w:pStyle w:val="subsection"/>
      </w:pPr>
      <w:r w:rsidRPr="00F673EE">
        <w:tab/>
        <w:t>(3)</w:t>
      </w:r>
      <w:r w:rsidRPr="00F673EE">
        <w:tab/>
        <w:t>The Governor</w:t>
      </w:r>
      <w:r w:rsidR="00F673EE">
        <w:noBreakHyphen/>
      </w:r>
      <w:r w:rsidRPr="00F673EE">
        <w:t>General may make regulations amending Schedule</w:t>
      </w:r>
      <w:r w:rsidR="00F673EE">
        <w:t> </w:t>
      </w:r>
      <w:r w:rsidRPr="00F673EE">
        <w:t>2.</w:t>
      </w:r>
    </w:p>
    <w:p w:rsidR="00AF1440" w:rsidRPr="00F673EE" w:rsidRDefault="00AF1440" w:rsidP="00AF1440">
      <w:pPr>
        <w:pStyle w:val="subsection"/>
      </w:pPr>
      <w:r w:rsidRPr="00F673EE">
        <w:tab/>
        <w:t>(4)</w:t>
      </w:r>
      <w:r w:rsidRPr="00F673EE">
        <w:tab/>
        <w:t>A regulation may not be made for the purposes of this section unless all of the then participating jurisdictions have endorsed the regulation.</w:t>
      </w:r>
    </w:p>
    <w:p w:rsidR="00AF1440" w:rsidRPr="00F673EE" w:rsidRDefault="00AF1440" w:rsidP="00AF1440">
      <w:pPr>
        <w:pStyle w:val="subsection"/>
      </w:pPr>
      <w:r w:rsidRPr="00F673EE">
        <w:tab/>
        <w:t>(5)</w:t>
      </w:r>
      <w:r w:rsidRPr="00F673EE">
        <w:tab/>
        <w:t>However:</w:t>
      </w:r>
    </w:p>
    <w:p w:rsidR="00AF1440" w:rsidRPr="00F673EE" w:rsidRDefault="00AF1440" w:rsidP="00AF1440">
      <w:pPr>
        <w:pStyle w:val="paragraph"/>
      </w:pPr>
      <w:r w:rsidRPr="00F673EE">
        <w:tab/>
        <w:t>(a)</w:t>
      </w:r>
      <w:r w:rsidRPr="00F673EE">
        <w:tab/>
        <w:t>if such a regulation relates solely to one or more laws specified or described in Schedule</w:t>
      </w:r>
      <w:r w:rsidR="00F673EE">
        <w:t> </w:t>
      </w:r>
      <w:r w:rsidRPr="00F673EE">
        <w:t>3 and will not take effect within 5 years after the commencement of section</w:t>
      </w:r>
      <w:r w:rsidR="00F673EE">
        <w:t> </w:t>
      </w:r>
      <w:r w:rsidRPr="00F673EE">
        <w:t>48, the regulation may be made if at least two</w:t>
      </w:r>
      <w:r w:rsidR="00F673EE">
        <w:noBreakHyphen/>
      </w:r>
      <w:r w:rsidRPr="00F673EE">
        <w:t>thirds of the then participating jurisdictions have endorsed the regulation; or</w:t>
      </w:r>
    </w:p>
    <w:p w:rsidR="00AF1440" w:rsidRPr="00F673EE" w:rsidRDefault="00AF1440" w:rsidP="00AF1440">
      <w:pPr>
        <w:pStyle w:val="paragraph"/>
      </w:pPr>
      <w:r w:rsidRPr="00F673EE">
        <w:tab/>
        <w:t>(b)</w:t>
      </w:r>
      <w:r w:rsidRPr="00F673EE">
        <w:tab/>
        <w:t>if such a regulation merely omits or reduces the extent of an exemption of a law of a State from Schedule</w:t>
      </w:r>
      <w:r w:rsidR="00F673EE">
        <w:t> </w:t>
      </w:r>
      <w:r w:rsidRPr="00F673EE">
        <w:t>2, the regulation may be made if the State has endorsed the regulation.</w:t>
      </w:r>
    </w:p>
    <w:p w:rsidR="00AF1440" w:rsidRPr="00F673EE" w:rsidRDefault="00AF1440" w:rsidP="00AF1440">
      <w:pPr>
        <w:pStyle w:val="ActHead5"/>
      </w:pPr>
      <w:bookmarkStart w:id="55" w:name="_Toc532465272"/>
      <w:r w:rsidRPr="00F673EE">
        <w:rPr>
          <w:rStyle w:val="CharSectno"/>
        </w:rPr>
        <w:t>46</w:t>
      </w:r>
      <w:r w:rsidRPr="00F673EE">
        <w:t xml:space="preserve">  Temporary exemptions</w:t>
      </w:r>
      <w:bookmarkEnd w:id="55"/>
    </w:p>
    <w:p w:rsidR="00AF1440" w:rsidRPr="00F673EE" w:rsidRDefault="00AF1440" w:rsidP="00AF1440">
      <w:pPr>
        <w:pStyle w:val="subsection"/>
      </w:pPr>
      <w:r w:rsidRPr="00F673EE">
        <w:tab/>
        <w:t>(1)</w:t>
      </w:r>
      <w:r w:rsidRPr="00F673EE">
        <w:tab/>
        <w:t>This Act does not:</w:t>
      </w:r>
    </w:p>
    <w:p w:rsidR="00AF1440" w:rsidRPr="00F673EE" w:rsidRDefault="00AF1440" w:rsidP="00AF1440">
      <w:pPr>
        <w:pStyle w:val="paragraph"/>
      </w:pPr>
      <w:r w:rsidRPr="00F673EE">
        <w:tab/>
        <w:t>(a)</w:t>
      </w:r>
      <w:r w:rsidRPr="00F673EE">
        <w:tab/>
        <w:t>apply to the sale in an Australian jurisdiction of exempt goods; or</w:t>
      </w:r>
    </w:p>
    <w:p w:rsidR="00AF1440" w:rsidRPr="00F673EE" w:rsidRDefault="00AF1440" w:rsidP="00AF1440">
      <w:pPr>
        <w:pStyle w:val="paragraph"/>
      </w:pPr>
      <w:r w:rsidRPr="00F673EE">
        <w:tab/>
        <w:t>(b)</w:t>
      </w:r>
      <w:r w:rsidRPr="00F673EE">
        <w:tab/>
        <w:t>affect the operation of exempt laws of an Australian jurisdiction relating to a particular kind of goods.</w:t>
      </w:r>
    </w:p>
    <w:p w:rsidR="00AF1440" w:rsidRPr="00F673EE" w:rsidRDefault="00AF1440" w:rsidP="00AF1440">
      <w:pPr>
        <w:pStyle w:val="subsection"/>
      </w:pPr>
      <w:r w:rsidRPr="00F673EE">
        <w:tab/>
        <w:t>(2)</w:t>
      </w:r>
      <w:r w:rsidRPr="00F673EE">
        <w:tab/>
        <w:t xml:space="preserve">For the purposes of this section, goods or laws are exempt if the goods are of a kind, or the laws are, for the time being declared by </w:t>
      </w:r>
      <w:r w:rsidRPr="00F673EE">
        <w:lastRenderedPageBreak/>
        <w:t>or under an Act or regulation of the jurisdiction to be exempt from the operation of this Act.</w:t>
      </w:r>
    </w:p>
    <w:p w:rsidR="00AF1440" w:rsidRPr="00F673EE" w:rsidRDefault="00AF1440" w:rsidP="00AF1440">
      <w:pPr>
        <w:pStyle w:val="subsection"/>
      </w:pPr>
      <w:r w:rsidRPr="00F673EE">
        <w:tab/>
        <w:t>(3)</w:t>
      </w:r>
      <w:r w:rsidRPr="00F673EE">
        <w:tab/>
        <w:t>Any such exemptions have effect only if they are substantially for the purpose of protecting the health and safety of persons in the jurisdiction or preventing, minimising or regulating environmental pollution (including air, water, noise or soil pollution) in the jurisdiction.</w:t>
      </w:r>
    </w:p>
    <w:p w:rsidR="00AF1440" w:rsidRPr="00F673EE" w:rsidRDefault="00AF1440" w:rsidP="00AF1440">
      <w:pPr>
        <w:pStyle w:val="subsection"/>
      </w:pPr>
      <w:r w:rsidRPr="00F673EE">
        <w:tab/>
        <w:t>(4)</w:t>
      </w:r>
      <w:r w:rsidRPr="00F673EE">
        <w:tab/>
        <w:t>No such exemption operates (together with the period of any previous exemption) for longer than a period of 12 months or an aggregate period of 12 months.</w:t>
      </w:r>
    </w:p>
    <w:p w:rsidR="00AF1440" w:rsidRPr="00F673EE" w:rsidRDefault="00AF1440" w:rsidP="00AF1440">
      <w:pPr>
        <w:pStyle w:val="ActHead5"/>
      </w:pPr>
      <w:bookmarkStart w:id="56" w:name="_Toc532465273"/>
      <w:r w:rsidRPr="00F673EE">
        <w:rPr>
          <w:rStyle w:val="CharSectno"/>
        </w:rPr>
        <w:t>47</w:t>
      </w:r>
      <w:r w:rsidRPr="00F673EE">
        <w:t xml:space="preserve">  Continuation of temporary exemptions to enable implementation of ministerial agreements</w:t>
      </w:r>
      <w:bookmarkEnd w:id="56"/>
    </w:p>
    <w:p w:rsidR="00AF1440" w:rsidRPr="00F673EE" w:rsidRDefault="00AF1440" w:rsidP="00AF1440">
      <w:pPr>
        <w:pStyle w:val="subsection"/>
      </w:pPr>
      <w:r w:rsidRPr="00F673EE">
        <w:tab/>
        <w:t>(1)</w:t>
      </w:r>
      <w:r w:rsidRPr="00F673EE">
        <w:tab/>
        <w:t>The purpose of this section is to create a mechanism to provide an additional period not exceeding 12 months for legislative or other action to be taken to implement a ministerial agreement arising out of consideration of an exemption under section</w:t>
      </w:r>
      <w:r w:rsidR="00F673EE">
        <w:t> </w:t>
      </w:r>
      <w:r w:rsidRPr="00F673EE">
        <w:t>46. However, this subsection does not provide grounds for invalidating any regulations made for the purposes of this section.</w:t>
      </w:r>
    </w:p>
    <w:p w:rsidR="00AF1440" w:rsidRPr="00F673EE" w:rsidRDefault="00AF1440" w:rsidP="00AF1440">
      <w:pPr>
        <w:pStyle w:val="subsection"/>
      </w:pPr>
      <w:r w:rsidRPr="00F673EE">
        <w:tab/>
        <w:t>(2)</w:t>
      </w:r>
      <w:r w:rsidRPr="00F673EE">
        <w:tab/>
        <w:t>This Act does not:</w:t>
      </w:r>
    </w:p>
    <w:p w:rsidR="00AF1440" w:rsidRPr="00F673EE" w:rsidRDefault="00AF1440" w:rsidP="00AF1440">
      <w:pPr>
        <w:pStyle w:val="paragraph"/>
      </w:pPr>
      <w:r w:rsidRPr="00F673EE">
        <w:tab/>
        <w:t>(a)</w:t>
      </w:r>
      <w:r w:rsidRPr="00F673EE">
        <w:tab/>
        <w:t>apply to the sale in an Australian jurisdiction of exempt goods; or</w:t>
      </w:r>
    </w:p>
    <w:p w:rsidR="00AF1440" w:rsidRPr="00F673EE" w:rsidRDefault="00AF1440" w:rsidP="00AF1440">
      <w:pPr>
        <w:pStyle w:val="paragraph"/>
      </w:pPr>
      <w:r w:rsidRPr="00F673EE">
        <w:tab/>
        <w:t>(b)</w:t>
      </w:r>
      <w:r w:rsidRPr="00F673EE">
        <w:tab/>
        <w:t>affect the operation of exempt laws of an Australian jurisdiction relating to a particular kind of goods.</w:t>
      </w:r>
    </w:p>
    <w:p w:rsidR="00AF1440" w:rsidRPr="00F673EE" w:rsidRDefault="00AF1440" w:rsidP="00AF1440">
      <w:pPr>
        <w:pStyle w:val="subsection"/>
      </w:pPr>
      <w:r w:rsidRPr="00F673EE">
        <w:tab/>
        <w:t>(3)</w:t>
      </w:r>
      <w:r w:rsidRPr="00F673EE">
        <w:tab/>
        <w:t>For the purposes of this section, goods or laws are exempt if the goods are of a kind, or the laws are, for the time being declared by regulations under this Act to be exempt from the operation of this Act.</w:t>
      </w:r>
    </w:p>
    <w:p w:rsidR="00AF1440" w:rsidRPr="00F673EE" w:rsidRDefault="00AF1440" w:rsidP="00AF1440">
      <w:pPr>
        <w:pStyle w:val="subsection"/>
      </w:pPr>
      <w:r w:rsidRPr="00F673EE">
        <w:tab/>
        <w:t>(4)</w:t>
      </w:r>
      <w:r w:rsidRPr="00F673EE">
        <w:tab/>
        <w:t>The Governor</w:t>
      </w:r>
      <w:r w:rsidR="00F673EE">
        <w:noBreakHyphen/>
      </w:r>
      <w:r w:rsidRPr="00F673EE">
        <w:t>General may make regulations for the purposes of this section, but any such regulations may be made only if they have the effect of continuing or reviving, wholly or partly, and with or without modification, the effect of an exemption under section</w:t>
      </w:r>
      <w:r w:rsidR="00F673EE">
        <w:t> </w:t>
      </w:r>
      <w:r w:rsidRPr="00F673EE">
        <w:t>46.</w:t>
      </w:r>
    </w:p>
    <w:p w:rsidR="00AF1440" w:rsidRPr="00F673EE" w:rsidRDefault="00AF1440" w:rsidP="00AF1440">
      <w:pPr>
        <w:pStyle w:val="subsection"/>
      </w:pPr>
      <w:r w:rsidRPr="00F673EE">
        <w:lastRenderedPageBreak/>
        <w:tab/>
        <w:t>(5)</w:t>
      </w:r>
      <w:r w:rsidRPr="00F673EE">
        <w:tab/>
        <w:t>Such a modification may only:</w:t>
      </w:r>
    </w:p>
    <w:p w:rsidR="00AF1440" w:rsidRPr="00F673EE" w:rsidRDefault="00AF1440" w:rsidP="00AF1440">
      <w:pPr>
        <w:pStyle w:val="paragraph"/>
      </w:pPr>
      <w:r w:rsidRPr="00F673EE">
        <w:tab/>
        <w:t>(a)</w:t>
      </w:r>
      <w:r w:rsidRPr="00F673EE">
        <w:tab/>
        <w:t>in the case of an exemption relating to goods:</w:t>
      </w:r>
    </w:p>
    <w:p w:rsidR="00AF1440" w:rsidRPr="00F673EE" w:rsidRDefault="00AF1440" w:rsidP="00AF1440">
      <w:pPr>
        <w:pStyle w:val="paragraphsub"/>
      </w:pPr>
      <w:r w:rsidRPr="00F673EE">
        <w:tab/>
        <w:t>(i)</w:t>
      </w:r>
      <w:r w:rsidRPr="00F673EE">
        <w:tab/>
        <w:t>limit the circumstances in which the goods are exempt; or</w:t>
      </w:r>
    </w:p>
    <w:p w:rsidR="00AF1440" w:rsidRPr="00F673EE" w:rsidRDefault="00AF1440" w:rsidP="00AF1440">
      <w:pPr>
        <w:pStyle w:val="paragraphsub"/>
      </w:pPr>
      <w:r w:rsidRPr="00F673EE">
        <w:tab/>
        <w:t>(ii)</w:t>
      </w:r>
      <w:r w:rsidRPr="00F673EE">
        <w:tab/>
        <w:t>provide that the exemption does not apply if certain standards or conditions are complied with in relation to the goods; or</w:t>
      </w:r>
    </w:p>
    <w:p w:rsidR="00AF1440" w:rsidRPr="00F673EE" w:rsidRDefault="00AF1440" w:rsidP="00AF1440">
      <w:pPr>
        <w:pStyle w:val="paragraph"/>
      </w:pPr>
      <w:r w:rsidRPr="00F673EE">
        <w:tab/>
        <w:t>(b)</w:t>
      </w:r>
      <w:r w:rsidRPr="00F673EE">
        <w:tab/>
        <w:t>in the case of an exemption relating to a law:</w:t>
      </w:r>
    </w:p>
    <w:p w:rsidR="00AF1440" w:rsidRPr="00F673EE" w:rsidRDefault="00AF1440" w:rsidP="00AF1440">
      <w:pPr>
        <w:pStyle w:val="paragraphsub"/>
      </w:pPr>
      <w:r w:rsidRPr="00F673EE">
        <w:tab/>
        <w:t>(i)</w:t>
      </w:r>
      <w:r w:rsidRPr="00F673EE">
        <w:tab/>
        <w:t>modify the operation of the law while the exemption operates; or</w:t>
      </w:r>
    </w:p>
    <w:p w:rsidR="00AF1440" w:rsidRPr="00F673EE" w:rsidRDefault="00AF1440" w:rsidP="00AF1440">
      <w:pPr>
        <w:pStyle w:val="paragraphsub"/>
      </w:pPr>
      <w:r w:rsidRPr="00F673EE">
        <w:tab/>
        <w:t>(ii)</w:t>
      </w:r>
      <w:r w:rsidRPr="00F673EE">
        <w:tab/>
        <w:t>provide that the exemption does not apply in relation to particular goods if certain standards or conditions are complied with in relation to the goods.</w:t>
      </w:r>
    </w:p>
    <w:p w:rsidR="00AF1440" w:rsidRPr="00F673EE" w:rsidRDefault="00AF1440" w:rsidP="00AF1440">
      <w:pPr>
        <w:pStyle w:val="subsection"/>
      </w:pPr>
      <w:r w:rsidRPr="00F673EE">
        <w:tab/>
        <w:t>(6)</w:t>
      </w:r>
      <w:r w:rsidRPr="00F673EE">
        <w:tab/>
        <w:t>The regulations may discontinue any exemption under this section.</w:t>
      </w:r>
    </w:p>
    <w:p w:rsidR="00AF1440" w:rsidRPr="00F673EE" w:rsidRDefault="00AF1440" w:rsidP="00AF1440">
      <w:pPr>
        <w:pStyle w:val="subsection"/>
      </w:pPr>
      <w:r w:rsidRPr="00F673EE">
        <w:tab/>
        <w:t>(7)</w:t>
      </w:r>
      <w:r w:rsidRPr="00F673EE">
        <w:tab/>
        <w:t>A regulation may not be made for the purposes of this section unless at least two</w:t>
      </w:r>
      <w:r w:rsidR="00F673EE">
        <w:noBreakHyphen/>
      </w:r>
      <w:r w:rsidRPr="00F673EE">
        <w:t>thirds of the then participating jurisdictions have endorsed the regulation.</w:t>
      </w:r>
    </w:p>
    <w:p w:rsidR="00AF1440" w:rsidRPr="00F673EE" w:rsidRDefault="00AF1440" w:rsidP="00AF1440">
      <w:pPr>
        <w:pStyle w:val="subsection"/>
      </w:pPr>
      <w:r w:rsidRPr="00F673EE">
        <w:tab/>
        <w:t>(8)</w:t>
      </w:r>
      <w:r w:rsidRPr="00F673EE">
        <w:tab/>
        <w:t>No exemption under this section operates (together with the period of any previous such exemption) for longer than a period of 12 months or an aggregate period of 12 months after the corresponding exemption under section</w:t>
      </w:r>
      <w:r w:rsidR="00F673EE">
        <w:t> </w:t>
      </w:r>
      <w:r w:rsidRPr="00F673EE">
        <w:t>46 ceases to operate.</w:t>
      </w:r>
    </w:p>
    <w:p w:rsidR="00AF1440" w:rsidRPr="00F673EE" w:rsidRDefault="00AF1440" w:rsidP="00AF1440">
      <w:pPr>
        <w:pStyle w:val="subsection"/>
      </w:pPr>
      <w:r w:rsidRPr="00F673EE">
        <w:tab/>
        <w:t>(9)</w:t>
      </w:r>
      <w:r w:rsidRPr="00F673EE">
        <w:tab/>
        <w:t>In this section:</w:t>
      </w:r>
    </w:p>
    <w:p w:rsidR="00AF1440" w:rsidRPr="00F673EE" w:rsidRDefault="00AF1440" w:rsidP="00AF1440">
      <w:pPr>
        <w:pStyle w:val="Definition"/>
      </w:pPr>
      <w:r w:rsidRPr="00F673EE">
        <w:rPr>
          <w:b/>
          <w:i/>
        </w:rPr>
        <w:t>ministerial agreement</w:t>
      </w:r>
      <w:r w:rsidRPr="00F673EE">
        <w:t xml:space="preserve"> means an agreement of Ministers of participating jurisdictions made in relation to goods or laws that are the subject of an exemption under section</w:t>
      </w:r>
      <w:r w:rsidR="00F673EE">
        <w:t> </w:t>
      </w:r>
      <w:r w:rsidRPr="00F673EE">
        <w:t>46.</w:t>
      </w:r>
    </w:p>
    <w:p w:rsidR="00AF1440" w:rsidRPr="00F673EE" w:rsidRDefault="00AF1440" w:rsidP="00AF1440">
      <w:pPr>
        <w:pStyle w:val="ActHead5"/>
      </w:pPr>
      <w:bookmarkStart w:id="57" w:name="_Toc532465274"/>
      <w:r w:rsidRPr="00F673EE">
        <w:rPr>
          <w:rStyle w:val="CharSectno"/>
        </w:rPr>
        <w:t>48</w:t>
      </w:r>
      <w:r w:rsidRPr="00F673EE">
        <w:t xml:space="preserve">  Special exemptions</w:t>
      </w:r>
      <w:bookmarkEnd w:id="57"/>
    </w:p>
    <w:p w:rsidR="00AF1440" w:rsidRPr="00F673EE" w:rsidRDefault="00AF1440" w:rsidP="00AF1440">
      <w:pPr>
        <w:pStyle w:val="subsection"/>
      </w:pPr>
      <w:r w:rsidRPr="00F673EE">
        <w:tab/>
        <w:t>(1)</w:t>
      </w:r>
      <w:r w:rsidRPr="00F673EE">
        <w:tab/>
        <w:t>This Act does not affect the operation of laws of an Australian jurisdiction that relate to goods and that are specified or described in Schedule</w:t>
      </w:r>
      <w:r w:rsidR="00F673EE">
        <w:t> </w:t>
      </w:r>
      <w:r w:rsidRPr="00F673EE">
        <w:t>3, to the extent that Schedule</w:t>
      </w:r>
      <w:r w:rsidR="00F673EE">
        <w:t> </w:t>
      </w:r>
      <w:r w:rsidRPr="00F673EE">
        <w:t>3 indicates that they are exempt from the operation of this Act.</w:t>
      </w:r>
    </w:p>
    <w:p w:rsidR="00AF1440" w:rsidRPr="00F673EE" w:rsidRDefault="00AF1440" w:rsidP="00AF1440">
      <w:pPr>
        <w:pStyle w:val="subsection"/>
      </w:pPr>
      <w:r w:rsidRPr="00F673EE">
        <w:lastRenderedPageBreak/>
        <w:tab/>
        <w:t>(2)</w:t>
      </w:r>
      <w:r w:rsidRPr="00F673EE">
        <w:tab/>
        <w:t>Such an exemption operates for no longer than a period of 12 months after the commencement of this section, but may be extended in whole or in part by the regulations from time to time by one or more further periods each not exceeding 12 months.</w:t>
      </w:r>
    </w:p>
    <w:p w:rsidR="00AF1440" w:rsidRPr="00F673EE" w:rsidRDefault="00AF1440" w:rsidP="00AF1440">
      <w:pPr>
        <w:pStyle w:val="subsection"/>
      </w:pPr>
      <w:r w:rsidRPr="00F673EE">
        <w:tab/>
        <w:t>(3)</w:t>
      </w:r>
      <w:r w:rsidRPr="00F673EE">
        <w:tab/>
        <w:t xml:space="preserve">A regulation may not be made for the purposes of </w:t>
      </w:r>
      <w:r w:rsidR="00F673EE">
        <w:t>subsection (</w:t>
      </w:r>
      <w:r w:rsidRPr="00F673EE">
        <w:t>2) if the exemption has expired or has otherwise ceased to be in force.</w:t>
      </w:r>
    </w:p>
    <w:p w:rsidR="00AF1440" w:rsidRPr="00F673EE" w:rsidRDefault="00AF1440" w:rsidP="00AF1440">
      <w:pPr>
        <w:pStyle w:val="subsection"/>
      </w:pPr>
      <w:r w:rsidRPr="00F673EE">
        <w:tab/>
        <w:t>(4)</w:t>
      </w:r>
      <w:r w:rsidRPr="00F673EE">
        <w:tab/>
        <w:t>The Governor</w:t>
      </w:r>
      <w:r w:rsidR="00F673EE">
        <w:noBreakHyphen/>
      </w:r>
      <w:r w:rsidRPr="00F673EE">
        <w:t>General may make regulations amending Schedule</w:t>
      </w:r>
      <w:r w:rsidR="00F673EE">
        <w:t> </w:t>
      </w:r>
      <w:r w:rsidRPr="00F673EE">
        <w:t xml:space="preserve">3 for the purposes of </w:t>
      </w:r>
      <w:r w:rsidR="00F673EE">
        <w:t>subsection (</w:t>
      </w:r>
      <w:r w:rsidRPr="00F673EE">
        <w:t>2) or (6).</w:t>
      </w:r>
    </w:p>
    <w:p w:rsidR="00AF1440" w:rsidRPr="00F673EE" w:rsidRDefault="00AF1440" w:rsidP="00AF1440">
      <w:pPr>
        <w:pStyle w:val="subsection"/>
      </w:pPr>
      <w:r w:rsidRPr="00F673EE">
        <w:tab/>
        <w:t>(5)</w:t>
      </w:r>
      <w:r w:rsidRPr="00F673EE">
        <w:tab/>
        <w:t>A regulation may not be made for the purposes of this section unless at least two</w:t>
      </w:r>
      <w:r w:rsidR="00F673EE">
        <w:noBreakHyphen/>
      </w:r>
      <w:r w:rsidRPr="00F673EE">
        <w:t>thirds of the then participating jurisdictions have endorsed the regulation.</w:t>
      </w:r>
    </w:p>
    <w:p w:rsidR="00AF1440" w:rsidRPr="00F673EE" w:rsidRDefault="00AF1440" w:rsidP="00AF1440">
      <w:pPr>
        <w:pStyle w:val="subsection"/>
      </w:pPr>
      <w:r w:rsidRPr="00F673EE">
        <w:tab/>
        <w:t>(6)</w:t>
      </w:r>
      <w:r w:rsidRPr="00F673EE">
        <w:tab/>
        <w:t>However, if such a regulation merely omits any matter relating to an exemption that has expired or has otherwise ceased to be in force, the regulation may be made if the Commonwealth has endorsed the regulation.</w:t>
      </w:r>
    </w:p>
    <w:p w:rsidR="00AF1440" w:rsidRPr="00F673EE" w:rsidRDefault="00AF1440" w:rsidP="00AF1440">
      <w:pPr>
        <w:pStyle w:val="ActHead5"/>
      </w:pPr>
      <w:bookmarkStart w:id="58" w:name="_Toc532465275"/>
      <w:r w:rsidRPr="00F673EE">
        <w:rPr>
          <w:rStyle w:val="CharSectno"/>
        </w:rPr>
        <w:t>49</w:t>
      </w:r>
      <w:r w:rsidRPr="00F673EE">
        <w:t xml:space="preserve">  Exemptions relating to occupations</w:t>
      </w:r>
      <w:bookmarkEnd w:id="58"/>
    </w:p>
    <w:p w:rsidR="00AF1440" w:rsidRPr="00F673EE" w:rsidRDefault="00AF1440" w:rsidP="00AF1440">
      <w:pPr>
        <w:pStyle w:val="subsection"/>
      </w:pPr>
      <w:r w:rsidRPr="00F673EE">
        <w:tab/>
        <w:t>(1)</w:t>
      </w:r>
      <w:r w:rsidRPr="00F673EE">
        <w:tab/>
        <w:t>This Act does not affect the operation of laws of an Australian jurisdiction that relate to occupations and that are specified or described in Schedule</w:t>
      </w:r>
      <w:r w:rsidR="00F673EE">
        <w:t> </w:t>
      </w:r>
      <w:r w:rsidRPr="00F673EE">
        <w:t>4, to the extent that Schedule</w:t>
      </w:r>
      <w:r w:rsidR="00F673EE">
        <w:t> </w:t>
      </w:r>
      <w:r w:rsidRPr="00F673EE">
        <w:t>4 indicates that they are exempt from the operation of this Act.</w:t>
      </w:r>
    </w:p>
    <w:p w:rsidR="00AF1440" w:rsidRPr="00F673EE" w:rsidRDefault="00AF1440" w:rsidP="00AF1440">
      <w:pPr>
        <w:pStyle w:val="subsection"/>
      </w:pPr>
      <w:r w:rsidRPr="00F673EE">
        <w:tab/>
        <w:t>(2)</w:t>
      </w:r>
      <w:r w:rsidRPr="00F673EE">
        <w:tab/>
        <w:t>The Governor</w:t>
      </w:r>
      <w:r w:rsidR="00F673EE">
        <w:noBreakHyphen/>
      </w:r>
      <w:r w:rsidRPr="00F673EE">
        <w:t>General may make regulations amending Schedule</w:t>
      </w:r>
      <w:r w:rsidR="00F673EE">
        <w:t> </w:t>
      </w:r>
      <w:r w:rsidRPr="00F673EE">
        <w:t>4.</w:t>
      </w:r>
    </w:p>
    <w:p w:rsidR="00AF1440" w:rsidRPr="00F673EE" w:rsidRDefault="00AF1440" w:rsidP="00AF1440">
      <w:pPr>
        <w:pStyle w:val="subsection"/>
      </w:pPr>
      <w:r w:rsidRPr="00F673EE">
        <w:tab/>
        <w:t>(3)</w:t>
      </w:r>
      <w:r w:rsidRPr="00F673EE">
        <w:tab/>
        <w:t>A regulation may not be made for the purposes of this section unless all of the then participating jurisdictions have endorsed the regulation.</w:t>
      </w:r>
    </w:p>
    <w:p w:rsidR="00AF1440" w:rsidRPr="00F673EE" w:rsidRDefault="00AF1440" w:rsidP="00AF1440">
      <w:pPr>
        <w:pStyle w:val="subsection"/>
      </w:pPr>
      <w:r w:rsidRPr="00F673EE">
        <w:tab/>
        <w:t>(4)</w:t>
      </w:r>
      <w:r w:rsidRPr="00F673EE">
        <w:tab/>
        <w:t>However, if such a regulation amends Schedule</w:t>
      </w:r>
      <w:r w:rsidR="00F673EE">
        <w:t> </w:t>
      </w:r>
      <w:r w:rsidRPr="00F673EE">
        <w:t>4 by omitting a law of a State, the regulation may be made if the State has endorsed the regulation.</w:t>
      </w:r>
    </w:p>
    <w:p w:rsidR="00AF1440" w:rsidRPr="00F673EE" w:rsidRDefault="00AF1440" w:rsidP="00D24366">
      <w:pPr>
        <w:pStyle w:val="ActHead2"/>
        <w:pageBreakBefore/>
      </w:pPr>
      <w:bookmarkStart w:id="59" w:name="_Toc532465276"/>
      <w:r w:rsidRPr="00F673EE">
        <w:rPr>
          <w:rStyle w:val="CharPartNo"/>
        </w:rPr>
        <w:lastRenderedPageBreak/>
        <w:t>Part</w:t>
      </w:r>
      <w:r w:rsidR="00F673EE" w:rsidRPr="00F673EE">
        <w:rPr>
          <w:rStyle w:val="CharPartNo"/>
        </w:rPr>
        <w:t> </w:t>
      </w:r>
      <w:r w:rsidRPr="00F673EE">
        <w:rPr>
          <w:rStyle w:val="CharPartNo"/>
        </w:rPr>
        <w:t>5</w:t>
      </w:r>
      <w:r w:rsidRPr="00F673EE">
        <w:t>—</w:t>
      </w:r>
      <w:r w:rsidRPr="00F673EE">
        <w:rPr>
          <w:rStyle w:val="CharPartText"/>
        </w:rPr>
        <w:t>General</w:t>
      </w:r>
      <w:bookmarkEnd w:id="59"/>
    </w:p>
    <w:p w:rsidR="00AF1440" w:rsidRPr="00F673EE" w:rsidRDefault="0074383C" w:rsidP="00AF1440">
      <w:pPr>
        <w:pStyle w:val="Header"/>
      </w:pPr>
      <w:r w:rsidRPr="00F673EE">
        <w:rPr>
          <w:rStyle w:val="CharDivNo"/>
        </w:rPr>
        <w:t xml:space="preserve"> </w:t>
      </w:r>
      <w:r w:rsidRPr="00F673EE">
        <w:rPr>
          <w:rStyle w:val="CharDivText"/>
        </w:rPr>
        <w:t xml:space="preserve"> </w:t>
      </w:r>
    </w:p>
    <w:p w:rsidR="00AF1440" w:rsidRPr="00F673EE" w:rsidRDefault="00AF1440" w:rsidP="00AF1440">
      <w:pPr>
        <w:pStyle w:val="ActHead5"/>
      </w:pPr>
      <w:bookmarkStart w:id="60" w:name="_Toc532465277"/>
      <w:r w:rsidRPr="00F673EE">
        <w:rPr>
          <w:rStyle w:val="CharSectno"/>
        </w:rPr>
        <w:t>50</w:t>
      </w:r>
      <w:r w:rsidRPr="00F673EE">
        <w:t xml:space="preserve">  References to participating jurisdictions</w:t>
      </w:r>
      <w:bookmarkEnd w:id="60"/>
    </w:p>
    <w:p w:rsidR="00AF1440" w:rsidRPr="00F673EE" w:rsidRDefault="00AF1440" w:rsidP="00AF1440">
      <w:pPr>
        <w:pStyle w:val="subsection"/>
      </w:pPr>
      <w:r w:rsidRPr="00F673EE">
        <w:tab/>
      </w:r>
      <w:r w:rsidRPr="00F673EE">
        <w:tab/>
        <w:t>For the purposes of this Act, a participating jurisdiction is:</w:t>
      </w:r>
    </w:p>
    <w:p w:rsidR="00AF1440" w:rsidRPr="00F673EE" w:rsidRDefault="00AF1440" w:rsidP="00AF1440">
      <w:pPr>
        <w:pStyle w:val="paragraph"/>
      </w:pPr>
      <w:r w:rsidRPr="00F673EE">
        <w:tab/>
        <w:t>(a)</w:t>
      </w:r>
      <w:r w:rsidRPr="00F673EE">
        <w:tab/>
      </w:r>
      <w:smartTag w:uri="urn:schemas-microsoft-com:office:smarttags" w:element="country-region">
        <w:smartTag w:uri="urn:schemas-microsoft-com:office:smarttags" w:element="place">
          <w:r w:rsidRPr="00F673EE">
            <w:t>New Zealand</w:t>
          </w:r>
        </w:smartTag>
      </w:smartTag>
      <w:r w:rsidRPr="00F673EE">
        <w:t>, while there is in force an Act of its Parliament that corresponds to this Act; or</w:t>
      </w:r>
    </w:p>
    <w:p w:rsidR="00AF1440" w:rsidRPr="00F673EE" w:rsidRDefault="00AF1440" w:rsidP="00AF1440">
      <w:pPr>
        <w:pStyle w:val="paragraph"/>
      </w:pPr>
      <w:r w:rsidRPr="00F673EE">
        <w:tab/>
        <w:t>(b)</w:t>
      </w:r>
      <w:r w:rsidRPr="00F673EE">
        <w:tab/>
        <w:t>the Commonwealth; or</w:t>
      </w:r>
    </w:p>
    <w:p w:rsidR="00AF1440" w:rsidRPr="00F673EE" w:rsidRDefault="00AF1440" w:rsidP="00AF1440">
      <w:pPr>
        <w:pStyle w:val="paragraph"/>
      </w:pPr>
      <w:r w:rsidRPr="00F673EE">
        <w:tab/>
        <w:t>(c)</w:t>
      </w:r>
      <w:r w:rsidRPr="00F673EE">
        <w:tab/>
        <w:t xml:space="preserve">a State (other than a Territory) for which there is in force an Act of its Parliament that refers to the Parliament of the Commonwealth the power to enact this Act, or that adopts this Act, under </w:t>
      </w:r>
      <w:r w:rsidR="00F673EE">
        <w:t>paragraph (</w:t>
      </w:r>
      <w:r w:rsidRPr="00F673EE">
        <w:t>xxxvii) of section</w:t>
      </w:r>
      <w:r w:rsidR="00F673EE">
        <w:t> </w:t>
      </w:r>
      <w:r w:rsidRPr="00F673EE">
        <w:t xml:space="preserve">51 of the Commonwealth Constitution; or </w:t>
      </w:r>
    </w:p>
    <w:p w:rsidR="00AF1440" w:rsidRPr="00F673EE" w:rsidRDefault="00AF1440" w:rsidP="00AF1440">
      <w:pPr>
        <w:pStyle w:val="paragraph"/>
      </w:pPr>
      <w:r w:rsidRPr="00F673EE">
        <w:tab/>
        <w:t>(d)</w:t>
      </w:r>
      <w:r w:rsidRPr="00F673EE">
        <w:tab/>
        <w:t xml:space="preserve">a Territory (being the </w:t>
      </w:r>
      <w:smartTag w:uri="urn:schemas-microsoft-com:office:smarttags" w:element="State">
        <w:smartTag w:uri="urn:schemas-microsoft-com:office:smarttags" w:element="place">
          <w:r w:rsidRPr="00F673EE">
            <w:t>Australian Capital Territory</w:t>
          </w:r>
        </w:smartTag>
      </w:smartTag>
      <w:r w:rsidRPr="00F673EE">
        <w:t xml:space="preserve"> or the </w:t>
      </w:r>
      <w:smartTag w:uri="urn:schemas-microsoft-com:office:smarttags" w:element="State">
        <w:smartTag w:uri="urn:schemas-microsoft-com:office:smarttags" w:element="place">
          <w:r w:rsidRPr="00F673EE">
            <w:t>Northern Territory</w:t>
          </w:r>
        </w:smartTag>
      </w:smartTag>
      <w:r w:rsidRPr="00F673EE">
        <w:t>) for which there is in force an Act of its legislature that requests the Parliament of the Commonwealth to enact this Act or that enables this Act to apply in relation to it.</w:t>
      </w:r>
    </w:p>
    <w:p w:rsidR="00AF1440" w:rsidRPr="00F673EE" w:rsidRDefault="00AF1440" w:rsidP="00AF1440">
      <w:pPr>
        <w:pStyle w:val="ActHead5"/>
      </w:pPr>
      <w:bookmarkStart w:id="61" w:name="_Toc532465278"/>
      <w:r w:rsidRPr="00F673EE">
        <w:rPr>
          <w:rStyle w:val="CharSectno"/>
        </w:rPr>
        <w:t>51</w:t>
      </w:r>
      <w:r w:rsidRPr="00F673EE">
        <w:t xml:space="preserve">  Application of Trans</w:t>
      </w:r>
      <w:r w:rsidR="00F673EE">
        <w:noBreakHyphen/>
      </w:r>
      <w:r w:rsidRPr="00F673EE">
        <w:t>Tasman mutual recognition principle</w:t>
      </w:r>
      <w:bookmarkEnd w:id="61"/>
    </w:p>
    <w:p w:rsidR="00AF1440" w:rsidRPr="00F673EE" w:rsidRDefault="00AF1440" w:rsidP="00AF1440">
      <w:pPr>
        <w:pStyle w:val="subsection"/>
      </w:pPr>
      <w:r w:rsidRPr="00F673EE">
        <w:tab/>
        <w:t>(1)</w:t>
      </w:r>
      <w:r w:rsidRPr="00F673EE">
        <w:tab/>
        <w:t>The Trans</w:t>
      </w:r>
      <w:r w:rsidR="00F673EE">
        <w:noBreakHyphen/>
      </w:r>
      <w:r w:rsidRPr="00F673EE">
        <w:t>Tasman mutual recognition principle and the provisions of this Act may be taken into consideration in proceedings of any kind and for any purpose.</w:t>
      </w:r>
    </w:p>
    <w:p w:rsidR="00AF1440" w:rsidRPr="00F673EE" w:rsidRDefault="00AF1440" w:rsidP="00AF1440">
      <w:pPr>
        <w:pStyle w:val="subsection"/>
      </w:pPr>
      <w:r w:rsidRPr="00F673EE">
        <w:tab/>
        <w:t>(2)</w:t>
      </w:r>
      <w:r w:rsidRPr="00F673EE">
        <w:tab/>
        <w:t xml:space="preserve">Nothing in this Act or the </w:t>
      </w:r>
      <w:r w:rsidRPr="00F673EE">
        <w:rPr>
          <w:i/>
        </w:rPr>
        <w:t>Mutual Recognition Act 1992</w:t>
      </w:r>
      <w:r w:rsidRPr="00F673EE">
        <w:t xml:space="preserve"> prevents a person from relying on the Trans</w:t>
      </w:r>
      <w:r w:rsidR="00F673EE">
        <w:noBreakHyphen/>
      </w:r>
      <w:r w:rsidRPr="00F673EE">
        <w:t>Tasman mutual recognition principle in relation to more than one Australian jurisdiction.</w:t>
      </w:r>
    </w:p>
    <w:p w:rsidR="00AF1440" w:rsidRPr="00F673EE" w:rsidRDefault="00AF1440" w:rsidP="00AF1440">
      <w:pPr>
        <w:pStyle w:val="ActHead5"/>
      </w:pPr>
      <w:bookmarkStart w:id="62" w:name="_Toc532465279"/>
      <w:r w:rsidRPr="00F673EE">
        <w:rPr>
          <w:rStyle w:val="CharSectno"/>
        </w:rPr>
        <w:t>52</w:t>
      </w:r>
      <w:r w:rsidRPr="00F673EE">
        <w:t xml:space="preserve">  Machinery provisions regarding limitations etc.</w:t>
      </w:r>
      <w:bookmarkEnd w:id="62"/>
    </w:p>
    <w:p w:rsidR="00AF1440" w:rsidRPr="00F673EE" w:rsidRDefault="00AF1440" w:rsidP="00AF1440">
      <w:pPr>
        <w:pStyle w:val="subsection"/>
      </w:pPr>
      <w:r w:rsidRPr="00F673EE">
        <w:tab/>
      </w:r>
      <w:r w:rsidRPr="00F673EE">
        <w:tab/>
        <w:t>In cases where Part</w:t>
      </w:r>
      <w:r w:rsidR="00F673EE">
        <w:t> </w:t>
      </w:r>
      <w:r w:rsidRPr="00F673EE">
        <w:t>3 provides that conditions or undertakings that apply or are relevant to registration in New Zealand also apply or are relevant to registration in an Australian jurisdiction, they are to be construed with any necessary adaptations, including the following (where appropriate and so far as practicable):</w:t>
      </w:r>
    </w:p>
    <w:p w:rsidR="00AF1440" w:rsidRPr="00F673EE" w:rsidRDefault="00AF1440" w:rsidP="00AF1440">
      <w:pPr>
        <w:pStyle w:val="paragraph"/>
      </w:pPr>
      <w:r w:rsidRPr="00F673EE">
        <w:lastRenderedPageBreak/>
        <w:tab/>
        <w:t>(a)</w:t>
      </w:r>
      <w:r w:rsidRPr="00F673EE">
        <w:tab/>
        <w:t xml:space="preserve">references to </w:t>
      </w:r>
      <w:smartTag w:uri="urn:schemas-microsoft-com:office:smarttags" w:element="country-region">
        <w:smartTag w:uri="urn:schemas-microsoft-com:office:smarttags" w:element="place">
          <w:r w:rsidRPr="00F673EE">
            <w:t>New Zealand</w:t>
          </w:r>
        </w:smartTag>
      </w:smartTag>
      <w:r w:rsidRPr="00F673EE">
        <w:t xml:space="preserve"> are to be read as references to the Australian jurisdiction;</w:t>
      </w:r>
    </w:p>
    <w:p w:rsidR="00AF1440" w:rsidRPr="00F673EE" w:rsidRDefault="00AF1440" w:rsidP="00AF1440">
      <w:pPr>
        <w:pStyle w:val="paragraph"/>
      </w:pPr>
      <w:r w:rsidRPr="00F673EE">
        <w:tab/>
        <w:t>(b)</w:t>
      </w:r>
      <w:r w:rsidRPr="00F673EE">
        <w:tab/>
        <w:t xml:space="preserve">references to officers or authorities of </w:t>
      </w:r>
      <w:smartTag w:uri="urn:schemas-microsoft-com:office:smarttags" w:element="country-region">
        <w:smartTag w:uri="urn:schemas-microsoft-com:office:smarttags" w:element="place">
          <w:r w:rsidRPr="00F673EE">
            <w:t>New Zealand</w:t>
          </w:r>
        </w:smartTag>
      </w:smartTag>
      <w:r w:rsidRPr="00F673EE">
        <w:t xml:space="preserve"> are to be read as references to the corresponding officers or authorities of the Australian jurisdiction.</w:t>
      </w:r>
    </w:p>
    <w:p w:rsidR="00AF1440" w:rsidRPr="00F673EE" w:rsidRDefault="00AF1440" w:rsidP="00AF1440">
      <w:pPr>
        <w:pStyle w:val="ActHead5"/>
      </w:pPr>
      <w:bookmarkStart w:id="63" w:name="_Toc532465280"/>
      <w:r w:rsidRPr="00F673EE">
        <w:rPr>
          <w:rStyle w:val="CharSectno"/>
        </w:rPr>
        <w:t>53</w:t>
      </w:r>
      <w:r w:rsidRPr="00F673EE">
        <w:t xml:space="preserve">  Determining place of production</w:t>
      </w:r>
      <w:bookmarkEnd w:id="63"/>
    </w:p>
    <w:p w:rsidR="00AF1440" w:rsidRPr="00F673EE" w:rsidRDefault="00AF1440" w:rsidP="00AF1440">
      <w:pPr>
        <w:pStyle w:val="subsection"/>
      </w:pPr>
      <w:r w:rsidRPr="00F673EE">
        <w:tab/>
        <w:t>(1)</w:t>
      </w:r>
      <w:r w:rsidRPr="00F673EE">
        <w:tab/>
        <w:t xml:space="preserve">For the purpose of determining where goods are produced for the purposes of this Act, goods are taken to be produced in </w:t>
      </w:r>
      <w:smartTag w:uri="urn:schemas-microsoft-com:office:smarttags" w:element="country-region">
        <w:smartTag w:uri="urn:schemas-microsoft-com:office:smarttags" w:element="place">
          <w:r w:rsidRPr="00F673EE">
            <w:t>New Zealand</w:t>
          </w:r>
        </w:smartTag>
      </w:smartTag>
      <w:r w:rsidRPr="00F673EE">
        <w:t xml:space="preserve"> if the most recent step in the process of producing the goods (including for example processing, harvesting or packaging the goods) has occurred there.</w:t>
      </w:r>
    </w:p>
    <w:p w:rsidR="00AF1440" w:rsidRPr="00F673EE" w:rsidRDefault="00AF1440" w:rsidP="00AF1440">
      <w:pPr>
        <w:pStyle w:val="subsection"/>
      </w:pPr>
      <w:r w:rsidRPr="00F673EE">
        <w:tab/>
        <w:t>(2)</w:t>
      </w:r>
      <w:r w:rsidRPr="00F673EE">
        <w:tab/>
      </w:r>
      <w:r w:rsidR="00F673EE">
        <w:t>Subsection (</w:t>
      </w:r>
      <w:r w:rsidRPr="00F673EE">
        <w:t>1) applies even though:</w:t>
      </w:r>
    </w:p>
    <w:p w:rsidR="00AF1440" w:rsidRPr="00F673EE" w:rsidRDefault="00AF1440" w:rsidP="00AF1440">
      <w:pPr>
        <w:pStyle w:val="paragraph"/>
      </w:pPr>
      <w:r w:rsidRPr="00F673EE">
        <w:tab/>
        <w:t>(a)</w:t>
      </w:r>
      <w:r w:rsidRPr="00F673EE">
        <w:tab/>
        <w:t xml:space="preserve">the process of production may be incomplete; or </w:t>
      </w:r>
    </w:p>
    <w:p w:rsidR="00AF1440" w:rsidRPr="00F673EE" w:rsidRDefault="00AF1440" w:rsidP="00AF1440">
      <w:pPr>
        <w:pStyle w:val="paragraph"/>
      </w:pPr>
      <w:r w:rsidRPr="00F673EE">
        <w:tab/>
        <w:t>(b)</w:t>
      </w:r>
      <w:r w:rsidRPr="00F673EE">
        <w:tab/>
        <w:t xml:space="preserve">some steps in the process have not yet been carried out; or </w:t>
      </w:r>
    </w:p>
    <w:p w:rsidR="00AF1440" w:rsidRPr="00F673EE" w:rsidRDefault="00AF1440" w:rsidP="00AF1440">
      <w:pPr>
        <w:pStyle w:val="paragraph"/>
      </w:pPr>
      <w:r w:rsidRPr="00F673EE">
        <w:tab/>
        <w:t>(c)</w:t>
      </w:r>
      <w:r w:rsidRPr="00F673EE">
        <w:tab/>
        <w:t>some steps in the process were carried out elsewhere; or</w:t>
      </w:r>
    </w:p>
    <w:p w:rsidR="00AF1440" w:rsidRPr="00F673EE" w:rsidRDefault="00AF1440" w:rsidP="00AF1440">
      <w:pPr>
        <w:pStyle w:val="paragraph"/>
      </w:pPr>
      <w:r w:rsidRPr="00F673EE">
        <w:tab/>
        <w:t>(d)</w:t>
      </w:r>
      <w:r w:rsidRPr="00F673EE">
        <w:tab/>
        <w:t xml:space="preserve">the goods or a component of the goods were imported into </w:t>
      </w:r>
      <w:smartTag w:uri="urn:schemas-microsoft-com:office:smarttags" w:element="country-region">
        <w:smartTag w:uri="urn:schemas-microsoft-com:office:smarttags" w:element="place">
          <w:r w:rsidRPr="00F673EE">
            <w:t>New Zealand</w:t>
          </w:r>
        </w:smartTag>
      </w:smartTag>
      <w:r w:rsidRPr="00F673EE">
        <w:t>.</w:t>
      </w:r>
    </w:p>
    <w:p w:rsidR="00AF1440" w:rsidRPr="00F673EE" w:rsidRDefault="00AF1440" w:rsidP="00AF1440">
      <w:pPr>
        <w:pStyle w:val="ActHead5"/>
      </w:pPr>
      <w:bookmarkStart w:id="64" w:name="_Toc532465281"/>
      <w:r w:rsidRPr="00F673EE">
        <w:rPr>
          <w:rStyle w:val="CharSectno"/>
        </w:rPr>
        <w:t>54</w:t>
      </w:r>
      <w:r w:rsidRPr="00F673EE">
        <w:t xml:space="preserve">  Commonwealth regulations for temporary exemptions</w:t>
      </w:r>
      <w:bookmarkEnd w:id="64"/>
    </w:p>
    <w:p w:rsidR="00AF1440" w:rsidRPr="00F673EE" w:rsidRDefault="00AF1440" w:rsidP="00AF1440">
      <w:pPr>
        <w:pStyle w:val="subsection"/>
      </w:pPr>
      <w:r w:rsidRPr="00F673EE">
        <w:tab/>
      </w:r>
      <w:r w:rsidRPr="00F673EE">
        <w:tab/>
        <w:t>Without limiting any other power under any other Act, the Governor</w:t>
      </w:r>
      <w:r w:rsidR="00F673EE">
        <w:noBreakHyphen/>
      </w:r>
      <w:r w:rsidRPr="00F673EE">
        <w:t>General may make regulations for the purposes mentioned in section</w:t>
      </w:r>
      <w:r w:rsidR="00F673EE">
        <w:t> </w:t>
      </w:r>
      <w:r w:rsidRPr="00F673EE">
        <w:t>46.</w:t>
      </w:r>
    </w:p>
    <w:p w:rsidR="00BE5F14" w:rsidRPr="00F673EE" w:rsidRDefault="00BE5F14" w:rsidP="00BE5F14">
      <w:pPr>
        <w:rPr>
          <w:lang w:eastAsia="en-AU"/>
        </w:rPr>
        <w:sectPr w:rsidR="00BE5F14" w:rsidRPr="00F673EE" w:rsidSect="00DC7DD5">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AF1440" w:rsidRPr="00F673EE" w:rsidRDefault="00AF1440" w:rsidP="00AF1440">
      <w:pPr>
        <w:pStyle w:val="ActHead1"/>
      </w:pPr>
      <w:bookmarkStart w:id="65" w:name="_Toc532465282"/>
      <w:r w:rsidRPr="00F673EE">
        <w:rPr>
          <w:rStyle w:val="CharChapNo"/>
        </w:rPr>
        <w:lastRenderedPageBreak/>
        <w:t>Schedule</w:t>
      </w:r>
      <w:r w:rsidR="00F673EE" w:rsidRPr="00F673EE">
        <w:rPr>
          <w:rStyle w:val="CharChapNo"/>
        </w:rPr>
        <w:t> </w:t>
      </w:r>
      <w:r w:rsidRPr="00F673EE">
        <w:rPr>
          <w:rStyle w:val="CharChapNo"/>
        </w:rPr>
        <w:t>1</w:t>
      </w:r>
      <w:r w:rsidRPr="00F673EE">
        <w:t>—</w:t>
      </w:r>
      <w:r w:rsidRPr="00F673EE">
        <w:rPr>
          <w:rStyle w:val="CharChapText"/>
        </w:rPr>
        <w:t>Exclusions</w:t>
      </w:r>
      <w:bookmarkEnd w:id="65"/>
    </w:p>
    <w:p w:rsidR="00AF1440" w:rsidRPr="00F673EE" w:rsidRDefault="00AF1440" w:rsidP="00AF1440">
      <w:pPr>
        <w:pStyle w:val="notemargin"/>
      </w:pPr>
      <w:r w:rsidRPr="00F673EE">
        <w:t>Note:</w:t>
      </w:r>
      <w:r w:rsidRPr="00F673EE">
        <w:tab/>
        <w:t>See section</w:t>
      </w:r>
      <w:r w:rsidR="00F673EE">
        <w:t> </w:t>
      </w:r>
      <w:r w:rsidRPr="00F673EE">
        <w:t>44.</w:t>
      </w:r>
    </w:p>
    <w:p w:rsidR="00AF1440" w:rsidRPr="00F673EE" w:rsidRDefault="00AF1440" w:rsidP="00AF1440">
      <w:pPr>
        <w:pStyle w:val="ActHead2"/>
      </w:pPr>
      <w:bookmarkStart w:id="66" w:name="_Toc532465283"/>
      <w:r w:rsidRPr="00F673EE">
        <w:rPr>
          <w:rStyle w:val="CharPartNo"/>
        </w:rPr>
        <w:t>Part</w:t>
      </w:r>
      <w:r w:rsidR="00F673EE" w:rsidRPr="00F673EE">
        <w:rPr>
          <w:rStyle w:val="CharPartNo"/>
        </w:rPr>
        <w:t> </w:t>
      </w:r>
      <w:r w:rsidRPr="00F673EE">
        <w:rPr>
          <w:rStyle w:val="CharPartNo"/>
        </w:rPr>
        <w:t>1</w:t>
      </w:r>
      <w:r w:rsidRPr="00F673EE">
        <w:t>—</w:t>
      </w:r>
      <w:r w:rsidRPr="00F673EE">
        <w:rPr>
          <w:rStyle w:val="CharPartText"/>
        </w:rPr>
        <w:t>Introduction</w:t>
      </w:r>
      <w:bookmarkEnd w:id="66"/>
    </w:p>
    <w:p w:rsidR="00AF1440" w:rsidRPr="00F673EE" w:rsidRDefault="0074383C" w:rsidP="00AF1440">
      <w:pPr>
        <w:pStyle w:val="Header"/>
      </w:pPr>
      <w:r w:rsidRPr="00F673EE">
        <w:rPr>
          <w:rStyle w:val="CharDivNo"/>
        </w:rPr>
        <w:t xml:space="preserve"> </w:t>
      </w:r>
      <w:r w:rsidRPr="00F673EE">
        <w:rPr>
          <w:rStyle w:val="CharDivText"/>
        </w:rPr>
        <w:t xml:space="preserve"> </w:t>
      </w:r>
    </w:p>
    <w:p w:rsidR="00AF1440" w:rsidRPr="00F673EE" w:rsidRDefault="00AF1440" w:rsidP="00AF1440">
      <w:pPr>
        <w:pStyle w:val="ActHead5"/>
      </w:pPr>
      <w:bookmarkStart w:id="67" w:name="_Toc532465284"/>
      <w:r w:rsidRPr="00F673EE">
        <w:rPr>
          <w:rStyle w:val="CharSectno"/>
        </w:rPr>
        <w:t>1</w:t>
      </w:r>
      <w:r w:rsidRPr="00F673EE">
        <w:t xml:space="preserve">  Excluded laws</w:t>
      </w:r>
      <w:bookmarkEnd w:id="67"/>
    </w:p>
    <w:p w:rsidR="00AF1440" w:rsidRPr="00F673EE" w:rsidRDefault="00AF1440" w:rsidP="00AF1440">
      <w:pPr>
        <w:pStyle w:val="subsection"/>
      </w:pPr>
      <w:r w:rsidRPr="00F673EE">
        <w:tab/>
        <w:t>(1)</w:t>
      </w:r>
      <w:r w:rsidRPr="00F673EE">
        <w:tab/>
        <w:t>The laws specified or described in this Schedule are excluded from the operation of this Act, so far as they relate to:</w:t>
      </w:r>
    </w:p>
    <w:p w:rsidR="00AF1440" w:rsidRPr="00F673EE" w:rsidRDefault="00AF1440" w:rsidP="00AF1440">
      <w:pPr>
        <w:pStyle w:val="paragraph"/>
      </w:pPr>
      <w:r w:rsidRPr="00F673EE">
        <w:tab/>
        <w:t>(a)</w:t>
      </w:r>
      <w:r w:rsidRPr="00F673EE">
        <w:tab/>
        <w:t>customs controls and tariffs—but only to the extent that the laws provide for the imposition of tariffs and related measures (for example, anti</w:t>
      </w:r>
      <w:r w:rsidR="00F673EE">
        <w:noBreakHyphen/>
      </w:r>
      <w:r w:rsidRPr="00F673EE">
        <w:t>dumping and countervailing duties) and the prohibition or restriction of imports; and</w:t>
      </w:r>
    </w:p>
    <w:p w:rsidR="00AF1440" w:rsidRPr="00F673EE" w:rsidRDefault="00AF1440" w:rsidP="00AF1440">
      <w:pPr>
        <w:pStyle w:val="paragraph"/>
      </w:pPr>
      <w:r w:rsidRPr="00F673EE">
        <w:tab/>
        <w:t>(b)</w:t>
      </w:r>
      <w:r w:rsidRPr="00F673EE">
        <w:tab/>
        <w:t>intellectual property—but only to the extent that the laws provide for the protection of intellectual rights and relate to requirements for the sale of goods set out in section</w:t>
      </w:r>
      <w:r w:rsidR="00F673EE">
        <w:t> </w:t>
      </w:r>
      <w:r w:rsidRPr="00F673EE">
        <w:t>11; and</w:t>
      </w:r>
    </w:p>
    <w:p w:rsidR="00AF1440" w:rsidRPr="00F673EE" w:rsidRDefault="00AF1440" w:rsidP="00AF1440">
      <w:pPr>
        <w:pStyle w:val="paragraph"/>
      </w:pPr>
      <w:r w:rsidRPr="00F673EE">
        <w:tab/>
        <w:t>(c)</w:t>
      </w:r>
      <w:r w:rsidRPr="00F673EE">
        <w:tab/>
        <w:t>taxation and business franchises—but only to the extent that the laws relate to taxes imposed on the sale of locally produced and imported goods in a non</w:t>
      </w:r>
      <w:r w:rsidR="00F673EE">
        <w:noBreakHyphen/>
      </w:r>
      <w:r w:rsidRPr="00F673EE">
        <w:t>discriminatory way, including, for example, business franchise and stamp duties (States); and</w:t>
      </w:r>
    </w:p>
    <w:p w:rsidR="00AF1440" w:rsidRPr="00F673EE" w:rsidRDefault="00AF1440" w:rsidP="00AF1440">
      <w:pPr>
        <w:pStyle w:val="paragraph"/>
      </w:pPr>
      <w:r w:rsidRPr="00F673EE">
        <w:tab/>
        <w:t>(d)</w:t>
      </w:r>
      <w:r w:rsidRPr="00F673EE">
        <w:tab/>
        <w:t>the implementation of international obligations—but only to the extent that the laws implementing those obligations deal with the requirements relating to the sale of goods set out in section</w:t>
      </w:r>
      <w:r w:rsidR="00F673EE">
        <w:t> </w:t>
      </w:r>
      <w:r w:rsidRPr="00F673EE">
        <w:t>11.</w:t>
      </w:r>
    </w:p>
    <w:p w:rsidR="00AF1440" w:rsidRPr="00F673EE" w:rsidRDefault="00AF1440" w:rsidP="00AF1440">
      <w:pPr>
        <w:pStyle w:val="subsection"/>
      </w:pPr>
      <w:r w:rsidRPr="00F673EE">
        <w:tab/>
        <w:t>(2)</w:t>
      </w:r>
      <w:r w:rsidRPr="00F673EE">
        <w:tab/>
        <w:t>The laws specified or described in this Schedule are excluded only to the extent that those laws would be affected by the Trans</w:t>
      </w:r>
      <w:r w:rsidR="00F673EE">
        <w:noBreakHyphen/>
      </w:r>
      <w:r w:rsidRPr="00F673EE">
        <w:t>Tasman mutual recognition principle as applying to goods.</w:t>
      </w:r>
    </w:p>
    <w:p w:rsidR="00AF1440" w:rsidRPr="00F673EE" w:rsidRDefault="00AF1440" w:rsidP="00D24366">
      <w:pPr>
        <w:pStyle w:val="ActHead2"/>
        <w:pageBreakBefore/>
      </w:pPr>
      <w:bookmarkStart w:id="68" w:name="_Toc532465285"/>
      <w:r w:rsidRPr="00F673EE">
        <w:rPr>
          <w:rStyle w:val="CharPartNo"/>
        </w:rPr>
        <w:lastRenderedPageBreak/>
        <w:t>Part</w:t>
      </w:r>
      <w:r w:rsidR="00F673EE" w:rsidRPr="00F673EE">
        <w:rPr>
          <w:rStyle w:val="CharPartNo"/>
        </w:rPr>
        <w:t> </w:t>
      </w:r>
      <w:r w:rsidRPr="00F673EE">
        <w:rPr>
          <w:rStyle w:val="CharPartNo"/>
        </w:rPr>
        <w:t>2</w:t>
      </w:r>
      <w:r w:rsidRPr="00F673EE">
        <w:t>—</w:t>
      </w:r>
      <w:r w:rsidRPr="00F673EE">
        <w:rPr>
          <w:rStyle w:val="CharPartText"/>
        </w:rPr>
        <w:t>Laws</w:t>
      </w:r>
      <w:bookmarkEnd w:id="68"/>
    </w:p>
    <w:p w:rsidR="00AF1440" w:rsidRPr="00F673EE" w:rsidRDefault="0074383C" w:rsidP="00AF1440">
      <w:pPr>
        <w:pStyle w:val="Header"/>
      </w:pPr>
      <w:r w:rsidRPr="00F673EE">
        <w:rPr>
          <w:rStyle w:val="CharDivNo"/>
        </w:rPr>
        <w:t xml:space="preserve"> </w:t>
      </w:r>
      <w:r w:rsidRPr="00F673EE">
        <w:rPr>
          <w:rStyle w:val="CharDivText"/>
        </w:rPr>
        <w:t xml:space="preserve"> </w:t>
      </w:r>
    </w:p>
    <w:p w:rsidR="00AF1440" w:rsidRPr="00F673EE" w:rsidRDefault="00AF1440" w:rsidP="00AF1440">
      <w:pPr>
        <w:pStyle w:val="ActHead5"/>
      </w:pPr>
      <w:bookmarkStart w:id="69" w:name="_Toc532465286"/>
      <w:r w:rsidRPr="00F673EE">
        <w:rPr>
          <w:rStyle w:val="CharSectno"/>
        </w:rPr>
        <w:t>2</w:t>
      </w:r>
      <w:r w:rsidRPr="00F673EE">
        <w:t xml:space="preserve">  Customs controls and tariffs (including laws relating to international obligations)</w:t>
      </w:r>
      <w:bookmarkEnd w:id="69"/>
    </w:p>
    <w:p w:rsidR="0074383C" w:rsidRPr="00F673EE" w:rsidRDefault="0074383C" w:rsidP="0074383C">
      <w:pPr>
        <w:pStyle w:val="Tabletext"/>
      </w:pPr>
    </w:p>
    <w:tbl>
      <w:tblPr>
        <w:tblW w:w="0" w:type="auto"/>
        <w:tblInd w:w="1101" w:type="dxa"/>
        <w:tblLayout w:type="fixed"/>
        <w:tblLook w:val="0000" w:firstRow="0" w:lastRow="0" w:firstColumn="0" w:lastColumn="0" w:noHBand="0" w:noVBand="0"/>
      </w:tblPr>
      <w:tblGrid>
        <w:gridCol w:w="6095"/>
      </w:tblGrid>
      <w:tr w:rsidR="00AF1440" w:rsidRPr="00F673EE" w:rsidTr="00BA32E2">
        <w:tc>
          <w:tcPr>
            <w:tcW w:w="6095" w:type="dxa"/>
            <w:shd w:val="clear" w:color="auto" w:fill="auto"/>
          </w:tcPr>
          <w:p w:rsidR="00AF1440" w:rsidRPr="00F673EE" w:rsidRDefault="00AF1440" w:rsidP="001F1FA5">
            <w:pPr>
              <w:pStyle w:val="Tabletext"/>
              <w:rPr>
                <w:b/>
              </w:rPr>
            </w:pPr>
            <w:r w:rsidRPr="00F673EE">
              <w:rPr>
                <w:b/>
              </w:rPr>
              <w:t>Prohibited imports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Customs (Prohibited Imports) Regulations</w:t>
            </w:r>
            <w:r w:rsidRPr="00F673EE">
              <w:t xml:space="preserve"> of the Commonwealth</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Commerce (Trade Descriptions) Act 1905</w:t>
            </w:r>
            <w:r w:rsidRPr="00F673EE">
              <w:t xml:space="preserve"> of the Commonwealth</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t>Any other laws of the Commonwealth, to the extent that they provide for the prohibition or restriction of imports and would be affected by the Trans</w:t>
            </w:r>
            <w:r w:rsidR="00F673EE">
              <w:noBreakHyphen/>
            </w:r>
            <w:r w:rsidRPr="00F673EE">
              <w:t>Tasman mutual recognition principle as applying to goods.</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Tariffs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Customs Tariff Act 1995</w:t>
            </w:r>
            <w:r w:rsidRPr="00F673EE">
              <w:t xml:space="preserve"> of the Commonwealth</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Customs Act 1901</w:t>
            </w:r>
            <w:r w:rsidRPr="00F673EE">
              <w:t xml:space="preserve"> of the Commonwealth, Part XVB</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Customs Tariff (Anti</w:t>
            </w:r>
            <w:r w:rsidR="00F673EE">
              <w:rPr>
                <w:i/>
              </w:rPr>
              <w:noBreakHyphen/>
            </w:r>
            <w:r w:rsidRPr="00F673EE">
              <w:rPr>
                <w:i/>
              </w:rPr>
              <w:t>Dumping) Act 1975</w:t>
            </w:r>
            <w:r w:rsidRPr="00F673EE">
              <w:t xml:space="preserve"> of the Commonwealth</w:t>
            </w:r>
          </w:p>
        </w:tc>
      </w:tr>
    </w:tbl>
    <w:p w:rsidR="00AF1440" w:rsidRPr="00F673EE" w:rsidRDefault="00AF1440" w:rsidP="00AF1440">
      <w:pPr>
        <w:pStyle w:val="ActHead5"/>
      </w:pPr>
      <w:bookmarkStart w:id="70" w:name="_Toc532465287"/>
      <w:r w:rsidRPr="00F673EE">
        <w:rPr>
          <w:rStyle w:val="CharSectno"/>
        </w:rPr>
        <w:t>3</w:t>
      </w:r>
      <w:r w:rsidRPr="00F673EE">
        <w:t xml:space="preserve">  Intellectual property (including laws relating to the </w:t>
      </w:r>
      <w:smartTag w:uri="urn:schemas-microsoft-com:office:smarttags" w:element="City">
        <w:smartTag w:uri="urn:schemas-microsoft-com:office:smarttags" w:element="place">
          <w:r w:rsidRPr="00F673EE">
            <w:t>Paris</w:t>
          </w:r>
        </w:smartTag>
      </w:smartTag>
      <w:r w:rsidRPr="00F673EE">
        <w:t xml:space="preserve"> Convention of 20</w:t>
      </w:r>
      <w:r w:rsidR="00F673EE">
        <w:t> </w:t>
      </w:r>
      <w:r w:rsidRPr="00F673EE">
        <w:t>March 1983 for the Protection of Industrial Property)</w:t>
      </w:r>
      <w:bookmarkEnd w:id="70"/>
    </w:p>
    <w:p w:rsidR="0074383C" w:rsidRPr="00F673EE" w:rsidRDefault="0074383C" w:rsidP="0074383C">
      <w:pPr>
        <w:pStyle w:val="Tabletext"/>
      </w:pPr>
    </w:p>
    <w:tbl>
      <w:tblPr>
        <w:tblW w:w="0" w:type="auto"/>
        <w:tblInd w:w="1101" w:type="dxa"/>
        <w:tblLayout w:type="fixed"/>
        <w:tblLook w:val="0000" w:firstRow="0" w:lastRow="0" w:firstColumn="0" w:lastColumn="0" w:noHBand="0" w:noVBand="0"/>
      </w:tblPr>
      <w:tblGrid>
        <w:gridCol w:w="6095"/>
      </w:tblGrid>
      <w:tr w:rsidR="00AF1440" w:rsidRPr="00F673EE" w:rsidTr="00BA32E2">
        <w:tc>
          <w:tcPr>
            <w:tcW w:w="6095" w:type="dxa"/>
            <w:shd w:val="clear" w:color="auto" w:fill="auto"/>
          </w:tcPr>
          <w:p w:rsidR="00AF1440" w:rsidRPr="00F673EE" w:rsidRDefault="00AF1440" w:rsidP="006B4A38">
            <w:pPr>
              <w:pStyle w:val="Tabletext"/>
              <w:rPr>
                <w:b/>
              </w:rPr>
            </w:pPr>
            <w:r w:rsidRPr="00F673EE">
              <w:rPr>
                <w:i/>
              </w:rPr>
              <w:t>Patents Act 1990</w:t>
            </w:r>
            <w:r w:rsidRPr="00F673EE">
              <w:t xml:space="preserve"> of the Commonwealth</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Trade Marks Act 1995</w:t>
            </w:r>
            <w:r w:rsidRPr="00F673EE">
              <w:t xml:space="preserve"> of the Commonwealth</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Designs Act 1906</w:t>
            </w:r>
            <w:r w:rsidRPr="00F673EE">
              <w:t xml:space="preserve"> of the Commonwealth</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Olympic Insignia Protection Act 1987</w:t>
            </w:r>
            <w:r w:rsidRPr="00F673EE">
              <w:t xml:space="preserve"> of the Commonwealth</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Scout Association Act 1924</w:t>
            </w:r>
            <w:r w:rsidRPr="00F673EE">
              <w:t xml:space="preserve"> of the Commonwealth</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Plant Breeder’s Rights Act 1994</w:t>
            </w:r>
            <w:r w:rsidRPr="00F673EE">
              <w:t xml:space="preserve"> of the Commonwealth</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Copyright Act 1968</w:t>
            </w:r>
            <w:r w:rsidRPr="00F673EE">
              <w:t xml:space="preserve"> of the Commonwealth</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Circuit Layouts Act 1989</w:t>
            </w:r>
            <w:r w:rsidRPr="00F673EE">
              <w:t xml:space="preserve"> of the Commonwealth</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Unauthorised Documents Act 1922</w:t>
            </w:r>
            <w:r w:rsidRPr="00F673EE">
              <w:t xml:space="preserve"> of New South Wales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Unauthorized Documents Act 1958</w:t>
            </w:r>
            <w:r w:rsidRPr="00F673EE">
              <w:t xml:space="preserve"> of Victoria</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lastRenderedPageBreak/>
              <w:t>Badge, Arms, Floral and other Emblems of Queensland Act 1959</w:t>
            </w:r>
            <w:r w:rsidRPr="00F673EE">
              <w:t xml:space="preserve"> of Queensland</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 xml:space="preserve">Armorial Bearings Protection Act 1979 </w:t>
            </w:r>
            <w:r w:rsidRPr="00F673EE">
              <w:t>of Western Australia</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Unauthorised Documents Act 1916</w:t>
            </w:r>
            <w:r w:rsidRPr="00F673EE">
              <w:t xml:space="preserve"> of South Australia</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 xml:space="preserve">Unauthorized Documents Act 1986 </w:t>
            </w:r>
            <w:r w:rsidRPr="00F673EE">
              <w:t>of Tasmania</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City of Canberra Arms Act 1932</w:t>
            </w:r>
            <w:r w:rsidRPr="00F673EE">
              <w:t xml:space="preserve"> of the Australian Capital Territory</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Flag and Emblem Act 1985</w:t>
            </w:r>
            <w:r w:rsidRPr="00F673EE">
              <w:t xml:space="preserve"> of the Northern Territory</w:t>
            </w:r>
          </w:p>
        </w:tc>
      </w:tr>
    </w:tbl>
    <w:p w:rsidR="00AF1440" w:rsidRPr="00F673EE" w:rsidRDefault="00AF1440" w:rsidP="00AF1440">
      <w:pPr>
        <w:pStyle w:val="ActHead5"/>
      </w:pPr>
      <w:bookmarkStart w:id="71" w:name="_Toc532465288"/>
      <w:r w:rsidRPr="00F673EE">
        <w:rPr>
          <w:rStyle w:val="CharSectno"/>
        </w:rPr>
        <w:t>4</w:t>
      </w:r>
      <w:r w:rsidRPr="00F673EE">
        <w:t xml:space="preserve">  Other international obligations</w:t>
      </w:r>
      <w:bookmarkEnd w:id="71"/>
    </w:p>
    <w:p w:rsidR="0074383C" w:rsidRPr="00F673EE" w:rsidRDefault="0074383C" w:rsidP="0074383C">
      <w:pPr>
        <w:pStyle w:val="Tabletext"/>
      </w:pPr>
    </w:p>
    <w:tbl>
      <w:tblPr>
        <w:tblW w:w="0" w:type="auto"/>
        <w:tblInd w:w="1101" w:type="dxa"/>
        <w:tblLayout w:type="fixed"/>
        <w:tblLook w:val="0000" w:firstRow="0" w:lastRow="0" w:firstColumn="0" w:lastColumn="0" w:noHBand="0" w:noVBand="0"/>
      </w:tblPr>
      <w:tblGrid>
        <w:gridCol w:w="6095"/>
      </w:tblGrid>
      <w:tr w:rsidR="00AF1440" w:rsidRPr="00F673EE" w:rsidTr="00BA32E2">
        <w:tc>
          <w:tcPr>
            <w:tcW w:w="6095" w:type="dxa"/>
            <w:shd w:val="clear" w:color="auto" w:fill="auto"/>
          </w:tcPr>
          <w:p w:rsidR="00AF1440" w:rsidRPr="00F673EE" w:rsidRDefault="00AF1440" w:rsidP="0043094E">
            <w:pPr>
              <w:pStyle w:val="Tabletext"/>
            </w:pPr>
            <w:r w:rsidRPr="00F673EE">
              <w:rPr>
                <w:i/>
              </w:rPr>
              <w:t>Wildlife Protection (Regulation of Exports and Imports) Act 1982</w:t>
            </w:r>
            <w:r w:rsidRPr="00F673EE">
              <w:t xml:space="preserve"> of the Commonwealth, sections</w:t>
            </w:r>
            <w:r w:rsidR="00F673EE">
              <w:t> </w:t>
            </w:r>
            <w:r w:rsidRPr="00F673EE">
              <w:t>21 and 22, to the extent that they implement the Convention on International Trade in Endangered Species of Wild Fauna and Flora</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i/>
              </w:rPr>
              <w:t>Hazardous Waste (Regulation of Exports and Imports) Act 1989</w:t>
            </w:r>
            <w:r w:rsidRPr="00F673EE">
              <w:t xml:space="preserve"> of the Commonwealth, sections</w:t>
            </w:r>
            <w:r w:rsidR="00F673EE">
              <w:t> </w:t>
            </w:r>
            <w:r w:rsidRPr="00F673EE">
              <w:t>12, 14, 15, 17, 18B, 20, 24</w:t>
            </w:r>
            <w:r w:rsidR="00F673EE">
              <w:noBreakHyphen/>
            </w:r>
            <w:r w:rsidRPr="00F673EE">
              <w:t>31, 34 and 39, to the extent that they implement the Basel Convention on the Control of Transboundary Movement of Hazardous Wastes and their Disposal 1989</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t>The following laws, to the extent that they implement the Charter of the United Nations (as it relates to the imposition of United Nations sanctions):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Charter of the United Nations Act 1945</w:t>
            </w:r>
            <w:r w:rsidRPr="00F673EE">
              <w:t xml:space="preserve"> of the Commonwealth, section</w:t>
            </w:r>
            <w:r w:rsidR="00F673EE">
              <w:t> </w:t>
            </w:r>
            <w:r w:rsidRPr="00F673EE">
              <w:t>6</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Air Navigation Act 1920</w:t>
            </w:r>
            <w:r w:rsidRPr="00F673EE">
              <w:t xml:space="preserve"> of the Commonwealth, section</w:t>
            </w:r>
            <w:r w:rsidR="00F673EE">
              <w:t> </w:t>
            </w:r>
            <w:r w:rsidRPr="00F673EE">
              <w:t>26</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Banking Act 1959</w:t>
            </w:r>
            <w:r w:rsidRPr="00F673EE">
              <w:t xml:space="preserve"> of the Commonwealth, section</w:t>
            </w:r>
            <w:r w:rsidR="00F673EE">
              <w:t> </w:t>
            </w:r>
            <w:r w:rsidRPr="00F673EE">
              <w:t>71</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Migration Act 1958</w:t>
            </w:r>
            <w:r w:rsidRPr="00F673EE">
              <w:t xml:space="preserve"> of the Commonwealth, subsection</w:t>
            </w:r>
            <w:r w:rsidR="00F673EE">
              <w:t> </w:t>
            </w:r>
            <w:r w:rsidRPr="00F673EE">
              <w:t>31(3), paragraph</w:t>
            </w:r>
            <w:r w:rsidR="00F673EE">
              <w:t> </w:t>
            </w:r>
            <w:r w:rsidRPr="00F673EE">
              <w:t>116(1)(g) and section</w:t>
            </w:r>
            <w:r w:rsidR="00F673EE">
              <w:t> </w:t>
            </w:r>
            <w:r w:rsidRPr="00F673EE">
              <w:t>504</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Customs Act 1901</w:t>
            </w:r>
            <w:r w:rsidRPr="00F673EE">
              <w:t xml:space="preserve"> of the Commonwealth, section</w:t>
            </w:r>
            <w:r w:rsidR="00F673EE">
              <w:t> </w:t>
            </w:r>
            <w:r w:rsidRPr="00F673EE">
              <w:t>50</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Protection of Movable Cultural Heritage Act 1986</w:t>
            </w:r>
            <w:r w:rsidRPr="00F673EE">
              <w:t xml:space="preserve"> of the Commonwealth, to the extent that it implements the United Nations Educational, Scientific and Cultural Organisation (UNESCO) Convention Regulating the International Trade in Cultural Property 1970</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t>The following laws, to the extent that they implement the European Union</w:t>
            </w:r>
            <w:r w:rsidR="00F673EE">
              <w:noBreakHyphen/>
            </w:r>
            <w:r w:rsidRPr="00F673EE">
              <w:t xml:space="preserve">Australia Wine Agreement—Protection of Certain Names and </w:t>
            </w:r>
            <w:r w:rsidRPr="00F673EE">
              <w:lastRenderedPageBreak/>
              <w:t>Expressions: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lastRenderedPageBreak/>
              <w:t>Australian Wine and Brandy Corporation Act 1980</w:t>
            </w:r>
            <w:r w:rsidRPr="00F673EE">
              <w:t xml:space="preserve"> of the Commonwealth, Part VIB and Part VIA (Label Integrity Program)</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Australian Wine and Brandy Corporation (Exports) Regulations</w:t>
            </w:r>
            <w:r w:rsidRPr="00F673EE">
              <w:t xml:space="preserve"> of the Commonwealth, Parts</w:t>
            </w:r>
            <w:r w:rsidR="00F673EE">
              <w:t> </w:t>
            </w:r>
            <w:r w:rsidRPr="00F673EE">
              <w:t>3 and 4</w:t>
            </w:r>
          </w:p>
        </w:tc>
      </w:tr>
    </w:tbl>
    <w:p w:rsidR="00AF1440" w:rsidRPr="00F673EE" w:rsidRDefault="00AF1440" w:rsidP="00AF1440">
      <w:pPr>
        <w:pStyle w:val="ActHead5"/>
      </w:pPr>
      <w:bookmarkStart w:id="72" w:name="_Toc532465289"/>
      <w:r w:rsidRPr="00F673EE">
        <w:rPr>
          <w:rStyle w:val="CharSectno"/>
        </w:rPr>
        <w:t>5</w:t>
      </w:r>
      <w:r w:rsidRPr="00F673EE">
        <w:t xml:space="preserve">  Taxation and business franchises</w:t>
      </w:r>
      <w:bookmarkEnd w:id="72"/>
    </w:p>
    <w:p w:rsidR="0074383C" w:rsidRPr="00F673EE" w:rsidRDefault="0074383C" w:rsidP="0074383C">
      <w:pPr>
        <w:pStyle w:val="Tabletext"/>
      </w:pPr>
    </w:p>
    <w:tbl>
      <w:tblPr>
        <w:tblW w:w="0" w:type="auto"/>
        <w:tblInd w:w="1101" w:type="dxa"/>
        <w:tblLayout w:type="fixed"/>
        <w:tblLook w:val="0000" w:firstRow="0" w:lastRow="0" w:firstColumn="0" w:lastColumn="0" w:noHBand="0" w:noVBand="0"/>
      </w:tblPr>
      <w:tblGrid>
        <w:gridCol w:w="6095"/>
      </w:tblGrid>
      <w:tr w:rsidR="00AF1440" w:rsidRPr="00F673EE" w:rsidTr="00BA32E2">
        <w:tc>
          <w:tcPr>
            <w:tcW w:w="6095" w:type="dxa"/>
            <w:shd w:val="clear" w:color="auto" w:fill="auto"/>
          </w:tcPr>
          <w:p w:rsidR="00AF1440" w:rsidRPr="00F673EE" w:rsidRDefault="00AF1440" w:rsidP="001B72F3">
            <w:pPr>
              <w:pStyle w:val="Tabletext"/>
              <w:rPr>
                <w:b/>
              </w:rPr>
            </w:pPr>
            <w:r w:rsidRPr="00F673EE">
              <w:t>Laws of a State imposing or providing for the imposition, assessment or collection of taxation, including stamp duties, and providing for business licences.</w:t>
            </w:r>
          </w:p>
        </w:tc>
      </w:tr>
    </w:tbl>
    <w:p w:rsidR="00AF1440" w:rsidRPr="00F673EE" w:rsidRDefault="00AF1440" w:rsidP="00BE5F14">
      <w:pPr>
        <w:pStyle w:val="ActHead1"/>
        <w:pageBreakBefore/>
      </w:pPr>
      <w:bookmarkStart w:id="73" w:name="_Toc532465290"/>
      <w:r w:rsidRPr="00F673EE">
        <w:rPr>
          <w:rStyle w:val="CharChapNo"/>
        </w:rPr>
        <w:lastRenderedPageBreak/>
        <w:t>Schedule</w:t>
      </w:r>
      <w:r w:rsidR="00F673EE" w:rsidRPr="00F673EE">
        <w:rPr>
          <w:rStyle w:val="CharChapNo"/>
        </w:rPr>
        <w:t> </w:t>
      </w:r>
      <w:r w:rsidRPr="00F673EE">
        <w:rPr>
          <w:rStyle w:val="CharChapNo"/>
        </w:rPr>
        <w:t>2</w:t>
      </w:r>
      <w:r w:rsidRPr="00F673EE">
        <w:t>—</w:t>
      </w:r>
      <w:r w:rsidRPr="00F673EE">
        <w:rPr>
          <w:rStyle w:val="CharChapText"/>
        </w:rPr>
        <w:t>Permanent exemptions</w:t>
      </w:r>
      <w:bookmarkEnd w:id="73"/>
    </w:p>
    <w:p w:rsidR="00AF1440" w:rsidRPr="00F673EE" w:rsidRDefault="00AF1440" w:rsidP="00AF1440">
      <w:pPr>
        <w:pStyle w:val="notemargin"/>
      </w:pPr>
      <w:r w:rsidRPr="00F673EE">
        <w:t>Note:</w:t>
      </w:r>
      <w:r w:rsidRPr="00F673EE">
        <w:tab/>
        <w:t>See section</w:t>
      </w:r>
      <w:r w:rsidR="00F673EE">
        <w:t> </w:t>
      </w:r>
      <w:r w:rsidRPr="00F673EE">
        <w:t>45.</w:t>
      </w:r>
    </w:p>
    <w:p w:rsidR="00AF1440" w:rsidRPr="00F673EE" w:rsidRDefault="00AF1440" w:rsidP="00AF1440">
      <w:pPr>
        <w:pStyle w:val="subsection"/>
      </w:pPr>
      <w:r w:rsidRPr="00F673EE">
        <w:tab/>
      </w:r>
      <w:r w:rsidRPr="00F673EE">
        <w:tab/>
        <w:t>The laws specified or described in this Schedule are exempt from the operation of this Act.</w:t>
      </w:r>
    </w:p>
    <w:p w:rsidR="00AF1440" w:rsidRPr="00F673EE" w:rsidRDefault="00AF1440" w:rsidP="0043094E">
      <w:pPr>
        <w:pStyle w:val="ActHead2"/>
      </w:pPr>
      <w:bookmarkStart w:id="74" w:name="_Toc532465291"/>
      <w:r w:rsidRPr="00F673EE">
        <w:rPr>
          <w:rStyle w:val="CharPartNo"/>
        </w:rPr>
        <w:t>Part</w:t>
      </w:r>
      <w:r w:rsidR="00F673EE" w:rsidRPr="00F673EE">
        <w:rPr>
          <w:rStyle w:val="CharPartNo"/>
        </w:rPr>
        <w:t> </w:t>
      </w:r>
      <w:r w:rsidRPr="00F673EE">
        <w:rPr>
          <w:rStyle w:val="CharPartNo"/>
        </w:rPr>
        <w:t>1</w:t>
      </w:r>
      <w:r w:rsidRPr="00F673EE">
        <w:t>—</w:t>
      </w:r>
      <w:r w:rsidRPr="00F673EE">
        <w:rPr>
          <w:rStyle w:val="CharPartText"/>
        </w:rPr>
        <w:t>Laws relating to goods: general</w:t>
      </w:r>
      <w:bookmarkEnd w:id="74"/>
    </w:p>
    <w:p w:rsidR="00AF1440" w:rsidRPr="00F673EE" w:rsidRDefault="0074383C" w:rsidP="00AF1440">
      <w:pPr>
        <w:pStyle w:val="Header"/>
      </w:pPr>
      <w:r w:rsidRPr="00F673EE">
        <w:rPr>
          <w:rStyle w:val="CharDivNo"/>
        </w:rPr>
        <w:t xml:space="preserve"> </w:t>
      </w:r>
      <w:r w:rsidRPr="00F673EE">
        <w:rPr>
          <w:rStyle w:val="CharDivText"/>
        </w:rPr>
        <w:t xml:space="preserve"> </w:t>
      </w:r>
    </w:p>
    <w:p w:rsidR="00AF1440" w:rsidRPr="00F673EE" w:rsidRDefault="00AF1440" w:rsidP="00AF1440">
      <w:pPr>
        <w:pStyle w:val="ActHead5"/>
      </w:pPr>
      <w:bookmarkStart w:id="75" w:name="_Toc532465292"/>
      <w:r w:rsidRPr="00F673EE">
        <w:rPr>
          <w:rStyle w:val="CharSectno"/>
        </w:rPr>
        <w:t>1</w:t>
      </w:r>
      <w:r w:rsidRPr="00F673EE">
        <w:t xml:space="preserve">  Quarantine</w:t>
      </w:r>
      <w:bookmarkEnd w:id="75"/>
    </w:p>
    <w:p w:rsidR="00AF1440" w:rsidRPr="00F673EE" w:rsidRDefault="00AF1440" w:rsidP="00AF1440">
      <w:pPr>
        <w:pStyle w:val="subsection"/>
      </w:pPr>
      <w:r w:rsidRPr="00F673EE">
        <w:tab/>
      </w:r>
      <w:r w:rsidRPr="00F673EE">
        <w:tab/>
        <w:t>A law of an Australian jurisdiction, including a law relating to quarantine, to the extent that:</w:t>
      </w:r>
    </w:p>
    <w:p w:rsidR="00AF1440" w:rsidRPr="00F673EE" w:rsidRDefault="00AF1440" w:rsidP="00AF1440">
      <w:pPr>
        <w:pStyle w:val="paragraph"/>
      </w:pPr>
      <w:r w:rsidRPr="00F673EE">
        <w:tab/>
        <w:t>(a)</w:t>
      </w:r>
      <w:r w:rsidRPr="00F673EE">
        <w:tab/>
        <w:t>the law is enacted or made substantially for the purpose of preventing the entry or spread of any pest, disease, organism, variety, genetic disorder or any other similar thing; and</w:t>
      </w:r>
    </w:p>
    <w:p w:rsidR="00AF1440" w:rsidRPr="00F673EE" w:rsidRDefault="00AF1440" w:rsidP="00AF1440">
      <w:pPr>
        <w:pStyle w:val="paragraph"/>
      </w:pPr>
      <w:r w:rsidRPr="00F673EE">
        <w:tab/>
        <w:t>(b)</w:t>
      </w:r>
      <w:r w:rsidRPr="00F673EE">
        <w:tab/>
        <w:t xml:space="preserve">the law authorises the application of quarantine measures that do not amount to an arbitrary or unjustifiable discrimination or to a disguised restriction on trade between </w:t>
      </w:r>
      <w:smartTag w:uri="urn:schemas-microsoft-com:office:smarttags" w:element="country-region">
        <w:smartTag w:uri="urn:schemas-microsoft-com:office:smarttags" w:element="place">
          <w:r w:rsidRPr="00F673EE">
            <w:t>Australia</w:t>
          </w:r>
        </w:smartTag>
      </w:smartTag>
      <w:r w:rsidRPr="00F673EE">
        <w:t xml:space="preserve"> and </w:t>
      </w:r>
      <w:smartTag w:uri="urn:schemas-microsoft-com:office:smarttags" w:element="country-region">
        <w:smartTag w:uri="urn:schemas-microsoft-com:office:smarttags" w:element="place">
          <w:r w:rsidRPr="00F673EE">
            <w:t>New Zealand</w:t>
          </w:r>
        </w:smartTag>
      </w:smartTag>
      <w:r w:rsidRPr="00F673EE">
        <w:t xml:space="preserve"> and are not inconsistent with the requirements of the Agreement establishing the World Trade Organisation.</w:t>
      </w:r>
    </w:p>
    <w:p w:rsidR="00AF1440" w:rsidRPr="00F673EE" w:rsidRDefault="00AF1440" w:rsidP="00AF1440">
      <w:pPr>
        <w:pStyle w:val="ActHead5"/>
      </w:pPr>
      <w:bookmarkStart w:id="76" w:name="_Toc532465293"/>
      <w:r w:rsidRPr="00F673EE">
        <w:rPr>
          <w:rStyle w:val="CharSectno"/>
        </w:rPr>
        <w:t>2</w:t>
      </w:r>
      <w:r w:rsidRPr="00F673EE">
        <w:t xml:space="preserve">  Endangered species</w:t>
      </w:r>
      <w:bookmarkEnd w:id="76"/>
    </w:p>
    <w:p w:rsidR="00AF1440" w:rsidRPr="00F673EE" w:rsidRDefault="00AF1440" w:rsidP="00AF1440">
      <w:pPr>
        <w:pStyle w:val="subsection"/>
      </w:pPr>
      <w:r w:rsidRPr="00F673EE">
        <w:tab/>
      </w:r>
      <w:r w:rsidRPr="00F673EE">
        <w:tab/>
        <w:t>A law of an Australian jurisdiction, to the extent that it is enacted or made substantially for the purpose of protecting a species or other class of animals or plants from extinction in the jurisdiction and that it prohibits or restricts the possession, sale, killing or capture of animals or plants of that species or other class in the jurisdiction.</w:t>
      </w:r>
    </w:p>
    <w:p w:rsidR="00AF1440" w:rsidRPr="00F673EE" w:rsidRDefault="00AF1440" w:rsidP="00D24366">
      <w:pPr>
        <w:pStyle w:val="ActHead2"/>
        <w:pageBreakBefore/>
      </w:pPr>
      <w:bookmarkStart w:id="77" w:name="_Toc532465294"/>
      <w:r w:rsidRPr="00F673EE">
        <w:rPr>
          <w:rStyle w:val="CharPartNo"/>
        </w:rPr>
        <w:lastRenderedPageBreak/>
        <w:t>Part</w:t>
      </w:r>
      <w:r w:rsidR="00F673EE" w:rsidRPr="00F673EE">
        <w:rPr>
          <w:rStyle w:val="CharPartNo"/>
        </w:rPr>
        <w:t> </w:t>
      </w:r>
      <w:r w:rsidRPr="00F673EE">
        <w:rPr>
          <w:rStyle w:val="CharPartNo"/>
        </w:rPr>
        <w:t>2</w:t>
      </w:r>
      <w:r w:rsidRPr="00F673EE">
        <w:t>—</w:t>
      </w:r>
      <w:r w:rsidRPr="00F673EE">
        <w:rPr>
          <w:rStyle w:val="CharPartText"/>
        </w:rPr>
        <w:t>Laws relating to goods: specific</w:t>
      </w:r>
      <w:bookmarkEnd w:id="77"/>
    </w:p>
    <w:p w:rsidR="00AF1440" w:rsidRPr="00F673EE" w:rsidRDefault="0074383C" w:rsidP="00AF1440">
      <w:pPr>
        <w:pStyle w:val="Header"/>
      </w:pPr>
      <w:r w:rsidRPr="00F673EE">
        <w:rPr>
          <w:rStyle w:val="CharDivNo"/>
        </w:rPr>
        <w:t xml:space="preserve"> </w:t>
      </w:r>
      <w:r w:rsidRPr="00F673EE">
        <w:rPr>
          <w:rStyle w:val="CharDivText"/>
        </w:rPr>
        <w:t xml:space="preserve"> </w:t>
      </w:r>
    </w:p>
    <w:p w:rsidR="00AF1440" w:rsidRPr="00F673EE" w:rsidRDefault="00AF1440" w:rsidP="00AF1440">
      <w:pPr>
        <w:pStyle w:val="ActHead5"/>
      </w:pPr>
      <w:bookmarkStart w:id="78" w:name="_Toc532465295"/>
      <w:r w:rsidRPr="00F673EE">
        <w:rPr>
          <w:rStyle w:val="CharSectno"/>
        </w:rPr>
        <w:t>3</w:t>
      </w:r>
      <w:r w:rsidRPr="00F673EE">
        <w:t xml:space="preserve">  Commonwealth</w:t>
      </w:r>
      <w:bookmarkEnd w:id="78"/>
    </w:p>
    <w:p w:rsidR="0074383C" w:rsidRPr="00F673EE" w:rsidRDefault="0074383C" w:rsidP="0074383C">
      <w:pPr>
        <w:pStyle w:val="Tabletext"/>
      </w:pPr>
    </w:p>
    <w:tbl>
      <w:tblPr>
        <w:tblW w:w="0" w:type="auto"/>
        <w:tblInd w:w="1101" w:type="dxa"/>
        <w:tblLayout w:type="fixed"/>
        <w:tblLook w:val="0000" w:firstRow="0" w:lastRow="0" w:firstColumn="0" w:lastColumn="0" w:noHBand="0" w:noVBand="0"/>
      </w:tblPr>
      <w:tblGrid>
        <w:gridCol w:w="6095"/>
      </w:tblGrid>
      <w:tr w:rsidR="00AF1440" w:rsidRPr="00F673EE" w:rsidTr="00BA32E2">
        <w:tc>
          <w:tcPr>
            <w:tcW w:w="6095" w:type="dxa"/>
            <w:shd w:val="clear" w:color="auto" w:fill="auto"/>
          </w:tcPr>
          <w:p w:rsidR="00AF1440" w:rsidRPr="00F673EE" w:rsidRDefault="00AF1440" w:rsidP="009B70D2">
            <w:pPr>
              <w:pStyle w:val="Tabletext"/>
              <w:rPr>
                <w:b/>
              </w:rPr>
            </w:pPr>
            <w:r w:rsidRPr="00F673EE">
              <w:rPr>
                <w:b/>
              </w:rPr>
              <w:t>Firearms and other prohibited or offensive weapons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Customs (Prohibited Imports) Regulations</w:t>
            </w:r>
            <w:r w:rsidRPr="00F673EE">
              <w:rPr>
                <w:i/>
              </w:rPr>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Fireworks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Customs (Prohibited Imports) Regulations</w:t>
            </w:r>
            <w:r w:rsidRPr="00F673EE">
              <w:rPr>
                <w:i/>
              </w:rPr>
              <w:br/>
            </w:r>
          </w:p>
        </w:tc>
      </w:tr>
      <w:tr w:rsidR="00E97A57" w:rsidRPr="00F673EE" w:rsidTr="00BA32E2">
        <w:tc>
          <w:tcPr>
            <w:tcW w:w="6095" w:type="dxa"/>
            <w:shd w:val="clear" w:color="auto" w:fill="auto"/>
          </w:tcPr>
          <w:p w:rsidR="00E97A57" w:rsidRPr="00F673EE" w:rsidRDefault="00E97A57" w:rsidP="00D24366">
            <w:pPr>
              <w:pStyle w:val="Tabletext"/>
            </w:pPr>
            <w:r w:rsidRPr="00F673EE">
              <w:rPr>
                <w:b/>
              </w:rPr>
              <w:t>Hazardous substances, industrial chemicals and dangerous goods</w:t>
            </w:r>
          </w:p>
        </w:tc>
      </w:tr>
      <w:tr w:rsidR="00E97A57" w:rsidRPr="00F673EE" w:rsidTr="00BA32E2">
        <w:tc>
          <w:tcPr>
            <w:tcW w:w="6095" w:type="dxa"/>
            <w:shd w:val="clear" w:color="auto" w:fill="auto"/>
          </w:tcPr>
          <w:p w:rsidR="00E97A57" w:rsidRPr="00F673EE" w:rsidRDefault="00E97A57" w:rsidP="00D24366">
            <w:pPr>
              <w:pStyle w:val="Tabletext"/>
            </w:pPr>
            <w:r w:rsidRPr="00F673EE">
              <w:rPr>
                <w:i/>
                <w:iCs/>
              </w:rPr>
              <w:t>Industrial Chemicals (Notification and Assessment) Act 1989</w:t>
            </w:r>
          </w:p>
        </w:tc>
      </w:tr>
      <w:tr w:rsidR="00E97A57" w:rsidRPr="00F673EE" w:rsidTr="00BA32E2">
        <w:tc>
          <w:tcPr>
            <w:tcW w:w="6095" w:type="dxa"/>
            <w:shd w:val="clear" w:color="auto" w:fill="auto"/>
          </w:tcPr>
          <w:p w:rsidR="00E97A57" w:rsidRPr="00F673EE" w:rsidRDefault="00726065" w:rsidP="00D24366">
            <w:pPr>
              <w:pStyle w:val="Tabletext"/>
            </w:pPr>
            <w:r w:rsidRPr="00F673EE">
              <w:rPr>
                <w:i/>
                <w:iCs/>
              </w:rPr>
              <w:t xml:space="preserve">Occupational Health and Safety </w:t>
            </w:r>
            <w:r w:rsidR="00E97A57" w:rsidRPr="00F673EE">
              <w:rPr>
                <w:i/>
                <w:iCs/>
              </w:rPr>
              <w:t>(Commonwealth Employment) Act 1991</w:t>
            </w:r>
          </w:p>
        </w:tc>
      </w:tr>
      <w:tr w:rsidR="00E97A57" w:rsidRPr="00F673EE" w:rsidTr="00BA32E2">
        <w:tc>
          <w:tcPr>
            <w:tcW w:w="6095" w:type="dxa"/>
            <w:shd w:val="clear" w:color="auto" w:fill="auto"/>
          </w:tcPr>
          <w:p w:rsidR="00E97A57" w:rsidRPr="00F673EE" w:rsidRDefault="00E97A57" w:rsidP="00D24366">
            <w:pPr>
              <w:pStyle w:val="Tabletext"/>
            </w:pPr>
            <w:r w:rsidRPr="00F673EE">
              <w:rPr>
                <w:i/>
                <w:iCs/>
              </w:rPr>
              <w:t>Road Transport Reform (Dangerous Goods) Act 1995</w:t>
            </w:r>
          </w:p>
        </w:tc>
      </w:tr>
      <w:tr w:rsidR="00E97A57" w:rsidRPr="00F673EE" w:rsidTr="00BA32E2">
        <w:tc>
          <w:tcPr>
            <w:tcW w:w="6095" w:type="dxa"/>
            <w:shd w:val="clear" w:color="auto" w:fill="auto"/>
          </w:tcPr>
          <w:p w:rsidR="00E97A57" w:rsidRPr="00F673EE" w:rsidRDefault="00E97A57" w:rsidP="00D24366">
            <w:pPr>
              <w:pStyle w:val="Tabletext"/>
            </w:pPr>
            <w:r w:rsidRPr="00F673EE">
              <w:rPr>
                <w:i/>
                <w:iCs/>
              </w:rPr>
              <w:t>Trade Practices Act 1974</w:t>
            </w:r>
            <w:r w:rsidRPr="00F673EE">
              <w:t>, Division</w:t>
            </w:r>
            <w:r w:rsidR="00F673EE">
              <w:t> </w:t>
            </w:r>
            <w:r w:rsidRPr="00F673EE">
              <w:t>1A of Part</w:t>
            </w:r>
            <w:r w:rsidR="00D24366" w:rsidRPr="00F673EE">
              <w:t> </w:t>
            </w:r>
            <w:r w:rsidRPr="00F673EE">
              <w:t>V, to the extent that it deals with child restraints for motor vehicles</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Indecent material</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Classification (Publications, Films and Computer Games) Act 1995</w:t>
            </w:r>
            <w:r w:rsidRPr="00F673EE">
              <w:rPr>
                <w:i/>
              </w:rPr>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Ozone protection</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Ozone Protection and Synthetic Greenhouse Gas Management Act 1989</w:t>
            </w:r>
            <w:r w:rsidRPr="00F673EE">
              <w:t xml:space="preserve"> (to the extent that it deals with ozone depleting substances)</w:t>
            </w:r>
            <w:r w:rsidRPr="00F673EE">
              <w:rPr>
                <w:i/>
              </w:rPr>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Agricultural and veterinary chemicals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Agricultural and Veterinary Chemicals Act 1994</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Agricultural and Veterinary Chemicals Code Act 1994</w:t>
            </w:r>
            <w:r w:rsidRPr="00F673EE">
              <w:rPr>
                <w:i/>
              </w:rPr>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Other</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Imported Food Control Act 1992</w:t>
            </w:r>
            <w:r w:rsidRPr="00F673EE">
              <w:t xml:space="preserve"> (to the extent that it deals with risk categorised food commodities)</w:t>
            </w:r>
            <w:r w:rsidR="00A346E4" w:rsidRPr="00F673EE">
              <w:rPr>
                <w:i/>
              </w:rPr>
              <w:t xml:space="preserve"> </w:t>
            </w:r>
            <w:r w:rsidR="00A346E4" w:rsidRPr="00F673EE">
              <w:rPr>
                <w:i/>
              </w:rPr>
              <w:br/>
            </w:r>
          </w:p>
        </w:tc>
      </w:tr>
      <w:tr w:rsidR="00E97A57" w:rsidRPr="00F673EE" w:rsidTr="00BA32E2">
        <w:tc>
          <w:tcPr>
            <w:tcW w:w="6095" w:type="dxa"/>
            <w:shd w:val="clear" w:color="auto" w:fill="auto"/>
          </w:tcPr>
          <w:p w:rsidR="00E97A57" w:rsidRPr="00F673EE" w:rsidRDefault="00E97A57" w:rsidP="00BA32E2">
            <w:pPr>
              <w:pStyle w:val="Tabletext"/>
              <w:keepNext/>
            </w:pPr>
            <w:r w:rsidRPr="00F673EE">
              <w:rPr>
                <w:b/>
              </w:rPr>
              <w:lastRenderedPageBreak/>
              <w:t>Radiocommunications devices</w:t>
            </w:r>
          </w:p>
        </w:tc>
      </w:tr>
      <w:tr w:rsidR="00E97A57" w:rsidRPr="00F673EE" w:rsidTr="00BA32E2">
        <w:tc>
          <w:tcPr>
            <w:tcW w:w="6095" w:type="dxa"/>
            <w:shd w:val="clear" w:color="auto" w:fill="auto"/>
          </w:tcPr>
          <w:p w:rsidR="00E97A57" w:rsidRPr="00F673EE" w:rsidRDefault="00E97A57" w:rsidP="00D24366">
            <w:pPr>
              <w:pStyle w:val="Tabletext"/>
            </w:pPr>
            <w:r w:rsidRPr="00F673EE">
              <w:rPr>
                <w:i/>
              </w:rPr>
              <w:t>Radiocommunications Act 1992</w:t>
            </w:r>
            <w:r w:rsidRPr="00F673EE">
              <w:t>, other than the part of Division</w:t>
            </w:r>
            <w:r w:rsidR="00F673EE">
              <w:t> </w:t>
            </w:r>
            <w:r w:rsidRPr="00F673EE">
              <w:t>7 of Part</w:t>
            </w:r>
            <w:r w:rsidR="00F673EE">
              <w:t> </w:t>
            </w:r>
            <w:r w:rsidRPr="00F673EE">
              <w:t>4.1 of that Act that deals with labelling a device</w:t>
            </w:r>
            <w:r w:rsidRPr="00F673EE">
              <w:rPr>
                <w:i/>
              </w:rPr>
              <w:br/>
            </w:r>
          </w:p>
        </w:tc>
      </w:tr>
      <w:tr w:rsidR="00E97A57" w:rsidRPr="00F673EE" w:rsidTr="00BA32E2">
        <w:tc>
          <w:tcPr>
            <w:tcW w:w="6095" w:type="dxa"/>
            <w:shd w:val="clear" w:color="auto" w:fill="auto"/>
          </w:tcPr>
          <w:p w:rsidR="00E97A57" w:rsidRPr="00F673EE" w:rsidRDefault="00E97A57" w:rsidP="00D24366">
            <w:pPr>
              <w:pStyle w:val="Tabletext"/>
            </w:pPr>
            <w:r w:rsidRPr="00F673EE">
              <w:rPr>
                <w:b/>
              </w:rPr>
              <w:t>Road vehicles</w:t>
            </w:r>
          </w:p>
        </w:tc>
      </w:tr>
      <w:tr w:rsidR="00E97A57" w:rsidRPr="00F673EE" w:rsidTr="00BA32E2">
        <w:tc>
          <w:tcPr>
            <w:tcW w:w="6095" w:type="dxa"/>
            <w:shd w:val="clear" w:color="auto" w:fill="auto"/>
          </w:tcPr>
          <w:p w:rsidR="00E97A57" w:rsidRPr="00F673EE" w:rsidRDefault="00E97A57" w:rsidP="00D24366">
            <w:pPr>
              <w:pStyle w:val="Tabletext"/>
            </w:pPr>
            <w:r w:rsidRPr="00F673EE">
              <w:rPr>
                <w:i/>
              </w:rPr>
              <w:t>Motor Vehicle Standards Act 1989</w:t>
            </w:r>
            <w:r w:rsidRPr="00F673EE">
              <w:rPr>
                <w:i/>
              </w:rPr>
              <w:br/>
            </w:r>
          </w:p>
        </w:tc>
      </w:tr>
      <w:tr w:rsidR="00E97A57" w:rsidRPr="00F673EE" w:rsidTr="00BA32E2">
        <w:tc>
          <w:tcPr>
            <w:tcW w:w="6095" w:type="dxa"/>
            <w:shd w:val="clear" w:color="auto" w:fill="auto"/>
          </w:tcPr>
          <w:p w:rsidR="00E97A57" w:rsidRPr="00F673EE" w:rsidRDefault="00E97A57" w:rsidP="00D24366">
            <w:pPr>
              <w:pStyle w:val="Tabletext"/>
            </w:pPr>
            <w:r w:rsidRPr="00F673EE">
              <w:rPr>
                <w:b/>
              </w:rPr>
              <w:t>Therapeutic goods</w:t>
            </w:r>
          </w:p>
        </w:tc>
      </w:tr>
      <w:tr w:rsidR="00E97A57" w:rsidRPr="00F673EE" w:rsidTr="00BA32E2">
        <w:tc>
          <w:tcPr>
            <w:tcW w:w="6095" w:type="dxa"/>
            <w:shd w:val="clear" w:color="auto" w:fill="auto"/>
          </w:tcPr>
          <w:p w:rsidR="00E97A57" w:rsidRPr="00F673EE" w:rsidRDefault="00E97A57" w:rsidP="00D24366">
            <w:pPr>
              <w:pStyle w:val="Tabletext"/>
            </w:pPr>
            <w:r w:rsidRPr="00F673EE">
              <w:rPr>
                <w:i/>
              </w:rPr>
              <w:t>Therapeutic Goods Act 1989</w:t>
            </w:r>
          </w:p>
        </w:tc>
      </w:tr>
      <w:tr w:rsidR="00E97A57" w:rsidRPr="00F673EE" w:rsidTr="00BA32E2">
        <w:tc>
          <w:tcPr>
            <w:tcW w:w="6095" w:type="dxa"/>
            <w:shd w:val="clear" w:color="auto" w:fill="auto"/>
          </w:tcPr>
          <w:p w:rsidR="00E97A57" w:rsidRPr="00F673EE" w:rsidRDefault="00E97A57" w:rsidP="00F0428A">
            <w:pPr>
              <w:pStyle w:val="Tabletext"/>
            </w:pPr>
            <w:r w:rsidRPr="00F673EE">
              <w:rPr>
                <w:i/>
              </w:rPr>
              <w:t>Therapeutic Goods (Charges) Act 1989</w:t>
            </w:r>
            <w:r w:rsidR="00663A94" w:rsidRPr="00F673EE">
              <w:rPr>
                <w:i/>
              </w:rPr>
              <w:br/>
            </w:r>
          </w:p>
        </w:tc>
      </w:tr>
      <w:tr w:rsidR="00377C6F" w:rsidRPr="00F673EE" w:rsidTr="00300BDF">
        <w:tc>
          <w:tcPr>
            <w:tcW w:w="6095" w:type="dxa"/>
            <w:shd w:val="clear" w:color="auto" w:fill="auto"/>
          </w:tcPr>
          <w:p w:rsidR="00377C6F" w:rsidRPr="00F673EE" w:rsidRDefault="00377C6F" w:rsidP="00377C6F">
            <w:pPr>
              <w:pStyle w:val="Tabletext"/>
            </w:pPr>
            <w:r w:rsidRPr="00F673EE">
              <w:rPr>
                <w:b/>
              </w:rPr>
              <w:t>Tobacco</w:t>
            </w:r>
          </w:p>
        </w:tc>
      </w:tr>
      <w:tr w:rsidR="00663A94" w:rsidRPr="00F673EE" w:rsidTr="00BA32E2">
        <w:tblPrEx>
          <w:tblBorders>
            <w:top w:val="single" w:sz="4" w:space="0" w:color="auto"/>
            <w:bottom w:val="single" w:sz="2" w:space="0" w:color="auto"/>
            <w:insideH w:val="single" w:sz="4" w:space="0" w:color="auto"/>
          </w:tblBorders>
        </w:tblPrEx>
        <w:tc>
          <w:tcPr>
            <w:tcW w:w="6095" w:type="dxa"/>
            <w:tcBorders>
              <w:top w:val="nil"/>
              <w:bottom w:val="nil"/>
            </w:tcBorders>
            <w:shd w:val="clear" w:color="auto" w:fill="auto"/>
          </w:tcPr>
          <w:p w:rsidR="00663A94" w:rsidRPr="00F673EE" w:rsidRDefault="00663A94" w:rsidP="00D1557D">
            <w:pPr>
              <w:pStyle w:val="Tabletext"/>
            </w:pPr>
            <w:r w:rsidRPr="00F673EE">
              <w:rPr>
                <w:i/>
              </w:rPr>
              <w:t>Competition and Consumer Act 2010</w:t>
            </w:r>
            <w:r w:rsidRPr="00F673EE">
              <w:t>, section</w:t>
            </w:r>
            <w:r w:rsidR="00F673EE">
              <w:t> </w:t>
            </w:r>
            <w:r w:rsidRPr="00F673EE">
              <w:t>134 of Schedule</w:t>
            </w:r>
            <w:r w:rsidR="00F673EE">
              <w:t> </w:t>
            </w:r>
            <w:r w:rsidRPr="00F673EE">
              <w:t xml:space="preserve">2 to that Act, to the extent that it relates to the </w:t>
            </w:r>
            <w:r w:rsidRPr="00F673EE">
              <w:rPr>
                <w:i/>
              </w:rPr>
              <w:t>Competition and Consumer (Tobacco) Information Standard 2011</w:t>
            </w:r>
          </w:p>
        </w:tc>
      </w:tr>
      <w:tr w:rsidR="00663A94" w:rsidRPr="00F673EE" w:rsidTr="00BA32E2">
        <w:tc>
          <w:tcPr>
            <w:tcW w:w="6095" w:type="dxa"/>
          </w:tcPr>
          <w:p w:rsidR="00663A94" w:rsidRPr="00F673EE" w:rsidRDefault="00663A94" w:rsidP="00D1557D">
            <w:pPr>
              <w:pStyle w:val="Tabletext"/>
            </w:pPr>
            <w:r w:rsidRPr="00F673EE">
              <w:rPr>
                <w:i/>
              </w:rPr>
              <w:t>Tobacco Plain Packaging Act 2011</w:t>
            </w:r>
          </w:p>
        </w:tc>
      </w:tr>
    </w:tbl>
    <w:p w:rsidR="00AF1440" w:rsidRPr="00F673EE" w:rsidRDefault="00AF1440" w:rsidP="00AF1440">
      <w:pPr>
        <w:pStyle w:val="ActHead5"/>
      </w:pPr>
      <w:bookmarkStart w:id="79" w:name="_Toc532465296"/>
      <w:r w:rsidRPr="00F673EE">
        <w:rPr>
          <w:rStyle w:val="CharSectno"/>
        </w:rPr>
        <w:t>4</w:t>
      </w:r>
      <w:r w:rsidRPr="00F673EE">
        <w:t xml:space="preserve">  </w:t>
      </w:r>
      <w:smartTag w:uri="urn:schemas-microsoft-com:office:smarttags" w:element="place">
        <w:r w:rsidRPr="00F673EE">
          <w:t>New South Wales</w:t>
        </w:r>
      </w:smartTag>
      <w:bookmarkEnd w:id="79"/>
    </w:p>
    <w:p w:rsidR="0074383C" w:rsidRPr="00F673EE" w:rsidRDefault="0074383C" w:rsidP="0074383C">
      <w:pPr>
        <w:pStyle w:val="Tabletext"/>
      </w:pPr>
    </w:p>
    <w:tbl>
      <w:tblPr>
        <w:tblW w:w="0" w:type="auto"/>
        <w:tblInd w:w="1101" w:type="dxa"/>
        <w:tblLayout w:type="fixed"/>
        <w:tblLook w:val="0000" w:firstRow="0" w:lastRow="0" w:firstColumn="0" w:lastColumn="0" w:noHBand="0" w:noVBand="0"/>
      </w:tblPr>
      <w:tblGrid>
        <w:gridCol w:w="6095"/>
      </w:tblGrid>
      <w:tr w:rsidR="00AF1440" w:rsidRPr="00F673EE" w:rsidTr="00BA32E2">
        <w:tc>
          <w:tcPr>
            <w:tcW w:w="6095" w:type="dxa"/>
            <w:shd w:val="clear" w:color="auto" w:fill="auto"/>
          </w:tcPr>
          <w:p w:rsidR="00AF1440" w:rsidRPr="00F673EE" w:rsidRDefault="00AF1440" w:rsidP="00605E4A">
            <w:pPr>
              <w:pStyle w:val="Tabletext"/>
              <w:rPr>
                <w:b/>
              </w:rPr>
            </w:pPr>
            <w:r w:rsidRPr="00F673EE">
              <w:rPr>
                <w:b/>
              </w:rPr>
              <w:t>Firearms and other prohibited or offensive weapons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Firearms Act 1996</w:t>
            </w:r>
            <w:r w:rsidRPr="00F673EE">
              <w:rPr>
                <w:i/>
              </w:rPr>
              <w:br/>
              <w:t>Prohibited Weapons Act 1989</w:t>
            </w:r>
            <w:r w:rsidRPr="00F673EE">
              <w:rPr>
                <w:i/>
              </w:rPr>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Fireworks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Dangerous Goods Act 1975</w:t>
            </w:r>
            <w:r w:rsidRPr="00F673EE">
              <w:t xml:space="preserve"> (to the extent that it deals with fireworks)</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Gaming machines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Registered Clubs Act 1976</w:t>
            </w:r>
            <w:r w:rsidRPr="00F673EE">
              <w:t>, Parts</w:t>
            </w:r>
            <w:r w:rsidR="00F673EE">
              <w:t> </w:t>
            </w:r>
            <w:r w:rsidRPr="00F673EE">
              <w:t>10 and 11</w:t>
            </w:r>
            <w:r w:rsidRPr="00F673EE">
              <w:br/>
            </w:r>
            <w:r w:rsidRPr="00F673EE">
              <w:rPr>
                <w:i/>
              </w:rPr>
              <w:t>Liquor Act 1982</w:t>
            </w:r>
            <w:r w:rsidRPr="00F673EE">
              <w:t>, Part</w:t>
            </w:r>
            <w:r w:rsidR="00F673EE">
              <w:t> </w:t>
            </w:r>
            <w:r w:rsidRPr="00F673EE">
              <w:t>11</w:t>
            </w:r>
            <w:r w:rsidRPr="00F673EE">
              <w:br/>
            </w:r>
          </w:p>
        </w:tc>
      </w:tr>
      <w:tr w:rsidR="00E97A57" w:rsidRPr="00F673EE" w:rsidTr="00BA32E2">
        <w:tc>
          <w:tcPr>
            <w:tcW w:w="6095" w:type="dxa"/>
            <w:shd w:val="clear" w:color="auto" w:fill="auto"/>
          </w:tcPr>
          <w:p w:rsidR="00E97A57" w:rsidRPr="00F673EE" w:rsidRDefault="00E97A57" w:rsidP="00D24366">
            <w:pPr>
              <w:pStyle w:val="Tabletext"/>
            </w:pPr>
            <w:r w:rsidRPr="00F673EE">
              <w:rPr>
                <w:b/>
              </w:rPr>
              <w:t>Gas appliances</w:t>
            </w:r>
          </w:p>
        </w:tc>
      </w:tr>
      <w:tr w:rsidR="00E97A57" w:rsidRPr="00F673EE" w:rsidTr="00BA32E2">
        <w:tc>
          <w:tcPr>
            <w:tcW w:w="6095" w:type="dxa"/>
            <w:shd w:val="clear" w:color="auto" w:fill="auto"/>
          </w:tcPr>
          <w:p w:rsidR="00E97A57" w:rsidRPr="00F673EE" w:rsidRDefault="00E97A57" w:rsidP="00D24366">
            <w:pPr>
              <w:pStyle w:val="Tabletext"/>
            </w:pPr>
            <w:r w:rsidRPr="00F673EE">
              <w:rPr>
                <w:i/>
              </w:rPr>
              <w:t>Gas Supply Act 1996</w:t>
            </w:r>
            <w:r w:rsidRPr="00F673EE">
              <w:rPr>
                <w:iCs/>
              </w:rPr>
              <w:t>,</w:t>
            </w:r>
            <w:r w:rsidRPr="00F673EE">
              <w:rPr>
                <w:i/>
              </w:rPr>
              <w:t xml:space="preserve"> </w:t>
            </w:r>
            <w:r w:rsidRPr="00F673EE">
              <w:t>to the extent that it deals with the regulation of gas appliances</w:t>
            </w:r>
            <w:r w:rsidRPr="00F673EE">
              <w:rPr>
                <w:i/>
              </w:rPr>
              <w:br/>
            </w:r>
          </w:p>
        </w:tc>
      </w:tr>
      <w:tr w:rsidR="00E97A57" w:rsidRPr="00F673EE" w:rsidTr="00BA32E2">
        <w:tc>
          <w:tcPr>
            <w:tcW w:w="6095" w:type="dxa"/>
            <w:shd w:val="clear" w:color="auto" w:fill="auto"/>
          </w:tcPr>
          <w:p w:rsidR="00E97A57" w:rsidRPr="00F673EE" w:rsidRDefault="00E97A57" w:rsidP="00BA32E2">
            <w:pPr>
              <w:pStyle w:val="Tabletext"/>
              <w:keepNext/>
            </w:pPr>
            <w:r w:rsidRPr="00F673EE">
              <w:rPr>
                <w:b/>
              </w:rPr>
              <w:lastRenderedPageBreak/>
              <w:t>Hazardous substances, industrial chemicals and dangerous goods</w:t>
            </w:r>
          </w:p>
        </w:tc>
      </w:tr>
      <w:tr w:rsidR="00E97A57" w:rsidRPr="00F673EE" w:rsidTr="00BA32E2">
        <w:tc>
          <w:tcPr>
            <w:tcW w:w="6095" w:type="dxa"/>
            <w:shd w:val="clear" w:color="auto" w:fill="auto"/>
          </w:tcPr>
          <w:p w:rsidR="00E97A57" w:rsidRPr="00F673EE" w:rsidRDefault="00E97A57" w:rsidP="00D24366">
            <w:pPr>
              <w:pStyle w:val="Tabletext"/>
            </w:pPr>
            <w:r w:rsidRPr="00F673EE">
              <w:rPr>
                <w:i/>
              </w:rPr>
              <w:t>Poisons and Therapeutic Goods Act 1966</w:t>
            </w:r>
            <w:r w:rsidRPr="00F673EE">
              <w:rPr>
                <w:iCs/>
              </w:rPr>
              <w:t>,</w:t>
            </w:r>
            <w:r w:rsidRPr="00F673EE">
              <w:t xml:space="preserve"> to the extent that it deals with packaging and labelling of hazardous substances, industrial chemicals and dangerous goods and would be affected by Part</w:t>
            </w:r>
            <w:r w:rsidR="00F673EE">
              <w:t> </w:t>
            </w:r>
            <w:r w:rsidRPr="00F673EE">
              <w:t>2 of this Act</w:t>
            </w:r>
          </w:p>
        </w:tc>
      </w:tr>
      <w:tr w:rsidR="00E97A57" w:rsidRPr="00F673EE" w:rsidTr="00BA32E2">
        <w:tc>
          <w:tcPr>
            <w:tcW w:w="6095" w:type="dxa"/>
            <w:shd w:val="clear" w:color="auto" w:fill="auto"/>
          </w:tcPr>
          <w:p w:rsidR="00E97A57" w:rsidRPr="00F673EE" w:rsidRDefault="00E97A57" w:rsidP="00D24366">
            <w:pPr>
              <w:pStyle w:val="Tabletext"/>
            </w:pPr>
            <w:r w:rsidRPr="00F673EE">
              <w:rPr>
                <w:i/>
              </w:rPr>
              <w:t>Occupational Health and Safety Act 1983</w:t>
            </w:r>
          </w:p>
        </w:tc>
      </w:tr>
      <w:tr w:rsidR="00E97A57" w:rsidRPr="00F673EE" w:rsidTr="00BA32E2">
        <w:tc>
          <w:tcPr>
            <w:tcW w:w="6095" w:type="dxa"/>
            <w:shd w:val="clear" w:color="auto" w:fill="auto"/>
          </w:tcPr>
          <w:p w:rsidR="00E97A57" w:rsidRPr="00F673EE" w:rsidRDefault="00E97A57" w:rsidP="00D24366">
            <w:pPr>
              <w:pStyle w:val="Tabletext"/>
            </w:pPr>
            <w:r w:rsidRPr="00F673EE">
              <w:rPr>
                <w:i/>
              </w:rPr>
              <w:t>Dangerous Goods Act 1975</w:t>
            </w:r>
          </w:p>
        </w:tc>
      </w:tr>
      <w:tr w:rsidR="00E97A57" w:rsidRPr="00F673EE" w:rsidTr="00BA32E2">
        <w:tc>
          <w:tcPr>
            <w:tcW w:w="6095" w:type="dxa"/>
            <w:shd w:val="clear" w:color="auto" w:fill="auto"/>
          </w:tcPr>
          <w:p w:rsidR="00E97A57" w:rsidRPr="00F673EE" w:rsidRDefault="00E97A57" w:rsidP="00D24366">
            <w:pPr>
              <w:pStyle w:val="Tabletext"/>
            </w:pPr>
            <w:r w:rsidRPr="00F673EE">
              <w:rPr>
                <w:i/>
              </w:rPr>
              <w:t>Factories, Shops and Industries Act 1962</w:t>
            </w:r>
          </w:p>
        </w:tc>
      </w:tr>
      <w:tr w:rsidR="00E97A57" w:rsidRPr="00F673EE" w:rsidTr="00BA32E2">
        <w:tc>
          <w:tcPr>
            <w:tcW w:w="6095" w:type="dxa"/>
            <w:shd w:val="clear" w:color="auto" w:fill="auto"/>
          </w:tcPr>
          <w:p w:rsidR="00E97A57" w:rsidRPr="00F673EE" w:rsidRDefault="00E97A57" w:rsidP="00D24366">
            <w:pPr>
              <w:pStyle w:val="Tabletext"/>
            </w:pPr>
            <w:r w:rsidRPr="00F673EE">
              <w:rPr>
                <w:i/>
              </w:rPr>
              <w:t>Fair Trading Act 1987</w:t>
            </w:r>
            <w:r w:rsidRPr="00F673EE">
              <w:rPr>
                <w:iCs/>
              </w:rPr>
              <w:t>,</w:t>
            </w:r>
            <w:r w:rsidRPr="00F673EE">
              <w:t xml:space="preserve"> sections</w:t>
            </w:r>
            <w:r w:rsidR="00F673EE">
              <w:t> </w:t>
            </w:r>
            <w:r w:rsidRPr="00F673EE">
              <w:t>26, 30, 31 and 38, to the extent that those sections deal with the regulation of child restraints for motor vehicles</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Indecent material</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Classification (Publications, Films and Computer Games) Enforcement Act 1995</w:t>
            </w:r>
            <w:r w:rsidRPr="00F673EE">
              <w:rPr>
                <w:i/>
              </w:rPr>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Ozone protection</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Ozone Protection Act 1989</w:t>
            </w:r>
            <w:r w:rsidR="00A346E4" w:rsidRPr="00F673EE">
              <w:rPr>
                <w:i/>
              </w:rPr>
              <w:br/>
            </w:r>
          </w:p>
        </w:tc>
      </w:tr>
      <w:tr w:rsidR="00E97A57" w:rsidRPr="00F673EE" w:rsidTr="00BA32E2">
        <w:tc>
          <w:tcPr>
            <w:tcW w:w="6095" w:type="dxa"/>
            <w:shd w:val="clear" w:color="auto" w:fill="auto"/>
          </w:tcPr>
          <w:p w:rsidR="00E97A57" w:rsidRPr="00F673EE" w:rsidRDefault="00E97A57" w:rsidP="00D24366">
            <w:pPr>
              <w:pStyle w:val="Tabletext"/>
            </w:pPr>
            <w:r w:rsidRPr="00F673EE">
              <w:rPr>
                <w:b/>
                <w:bCs/>
                <w:iCs/>
              </w:rPr>
              <w:t>Therapeutic goods</w:t>
            </w:r>
          </w:p>
        </w:tc>
      </w:tr>
      <w:tr w:rsidR="00E97A57" w:rsidRPr="00F673EE" w:rsidTr="00BA32E2">
        <w:tc>
          <w:tcPr>
            <w:tcW w:w="6095" w:type="dxa"/>
            <w:shd w:val="clear" w:color="auto" w:fill="auto"/>
          </w:tcPr>
          <w:p w:rsidR="00E97A57" w:rsidRPr="00F673EE" w:rsidRDefault="00E97A57" w:rsidP="00D24366">
            <w:pPr>
              <w:pStyle w:val="Tabletext"/>
            </w:pPr>
            <w:r w:rsidRPr="00F673EE">
              <w:rPr>
                <w:i/>
              </w:rPr>
              <w:t>Poisons and Therapeutic Goods Act 1966</w:t>
            </w:r>
            <w:r w:rsidRPr="00F673EE">
              <w:rPr>
                <w:iCs/>
              </w:rPr>
              <w:t>,</w:t>
            </w:r>
            <w:r w:rsidRPr="00F673EE">
              <w:t xml:space="preserve"> to the extent that it deals with packaging and labelling of pharmaceutical drugs and would be affected by Part</w:t>
            </w:r>
            <w:r w:rsidR="00F673EE">
              <w:t> </w:t>
            </w:r>
            <w:r w:rsidRPr="00F673EE">
              <w:t>2 of this Act</w:t>
            </w:r>
          </w:p>
        </w:tc>
      </w:tr>
    </w:tbl>
    <w:p w:rsidR="00AF1440" w:rsidRPr="00F673EE" w:rsidRDefault="00AF1440" w:rsidP="00AF1440">
      <w:pPr>
        <w:pStyle w:val="ActHead5"/>
      </w:pPr>
      <w:bookmarkStart w:id="80" w:name="_Toc532465297"/>
      <w:r w:rsidRPr="00F673EE">
        <w:rPr>
          <w:rStyle w:val="CharSectno"/>
        </w:rPr>
        <w:t>5</w:t>
      </w:r>
      <w:r w:rsidRPr="00F673EE">
        <w:t xml:space="preserve">  </w:t>
      </w:r>
      <w:smartTag w:uri="urn:schemas-microsoft-com:office:smarttags" w:element="place">
        <w:r w:rsidRPr="00F673EE">
          <w:t>Victoria</w:t>
        </w:r>
      </w:smartTag>
      <w:bookmarkEnd w:id="80"/>
    </w:p>
    <w:p w:rsidR="0074383C" w:rsidRPr="00F673EE" w:rsidRDefault="0074383C" w:rsidP="0074383C">
      <w:pPr>
        <w:pStyle w:val="Tabletext"/>
      </w:pPr>
    </w:p>
    <w:tbl>
      <w:tblPr>
        <w:tblW w:w="0" w:type="auto"/>
        <w:tblInd w:w="1101" w:type="dxa"/>
        <w:tblLayout w:type="fixed"/>
        <w:tblLook w:val="0000" w:firstRow="0" w:lastRow="0" w:firstColumn="0" w:lastColumn="0" w:noHBand="0" w:noVBand="0"/>
      </w:tblPr>
      <w:tblGrid>
        <w:gridCol w:w="6095"/>
      </w:tblGrid>
      <w:tr w:rsidR="00AF1440" w:rsidRPr="00F673EE" w:rsidTr="00BA32E2">
        <w:tc>
          <w:tcPr>
            <w:tcW w:w="6095" w:type="dxa"/>
            <w:shd w:val="clear" w:color="auto" w:fill="auto"/>
          </w:tcPr>
          <w:p w:rsidR="00AF1440" w:rsidRPr="00F673EE" w:rsidRDefault="00AF1440" w:rsidP="00B42245">
            <w:pPr>
              <w:pStyle w:val="Tabletext"/>
              <w:rPr>
                <w:b/>
              </w:rPr>
            </w:pPr>
            <w:r w:rsidRPr="00F673EE">
              <w:rPr>
                <w:b/>
              </w:rPr>
              <w:t>Firearms and other prohibited or offensive weapons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Firearms Act 1958</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Firearms Regulations</w:t>
            </w:r>
            <w:r w:rsidR="00F673EE">
              <w:rPr>
                <w:i/>
              </w:rPr>
              <w:t> </w:t>
            </w:r>
            <w:r w:rsidRPr="00F673EE">
              <w:rPr>
                <w:i/>
              </w:rPr>
              <w:t>1995</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Control of Weapons Act 1990</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Control of Weapons Regulations</w:t>
            </w:r>
            <w:r w:rsidR="00F673EE">
              <w:rPr>
                <w:i/>
              </w:rPr>
              <w:t> </w:t>
            </w:r>
            <w:r w:rsidRPr="00F673EE">
              <w:rPr>
                <w:i/>
              </w:rPr>
              <w:t>1990</w:t>
            </w:r>
            <w:r w:rsidRPr="00F673EE">
              <w:rPr>
                <w:i/>
              </w:rPr>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Fireworks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Dangerous Goods Act 1985</w:t>
            </w:r>
            <w:r w:rsidRPr="00F673EE">
              <w:t xml:space="preserve"> (to the extent that it deals with fireworks)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Dangerous Goods (Explosives) Regulations</w:t>
            </w:r>
            <w:r w:rsidR="00F673EE">
              <w:rPr>
                <w:i/>
              </w:rPr>
              <w:t> </w:t>
            </w:r>
            <w:r w:rsidRPr="00F673EE">
              <w:rPr>
                <w:i/>
              </w:rPr>
              <w:t>1988</w:t>
            </w:r>
            <w:r w:rsidRPr="00F673EE">
              <w:t>, Part</w:t>
            </w:r>
            <w:r w:rsidR="00F673EE">
              <w:t> </w:t>
            </w:r>
            <w:r w:rsidRPr="00F673EE">
              <w:t>8, Division</w:t>
            </w:r>
            <w:r w:rsidR="00F673EE">
              <w:t> </w:t>
            </w:r>
            <w:r w:rsidRPr="00F673EE">
              <w:t>5</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lastRenderedPageBreak/>
              <w:t>Gaming machines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Gaming Machine Control Act 1991</w:t>
            </w:r>
            <w:r w:rsidRPr="00F673EE">
              <w:rPr>
                <w:i/>
              </w:rPr>
              <w:br/>
            </w:r>
          </w:p>
        </w:tc>
      </w:tr>
      <w:tr w:rsidR="00522FF9" w:rsidRPr="00F673EE" w:rsidTr="00BA32E2">
        <w:tc>
          <w:tcPr>
            <w:tcW w:w="6095" w:type="dxa"/>
            <w:shd w:val="clear" w:color="auto" w:fill="auto"/>
          </w:tcPr>
          <w:p w:rsidR="00522FF9" w:rsidRPr="00F673EE" w:rsidRDefault="00522FF9" w:rsidP="00D24366">
            <w:pPr>
              <w:pStyle w:val="Tabletext"/>
            </w:pPr>
            <w:r w:rsidRPr="00F673EE">
              <w:rPr>
                <w:b/>
              </w:rPr>
              <w:t>Gas appliances</w:t>
            </w:r>
          </w:p>
        </w:tc>
      </w:tr>
      <w:tr w:rsidR="00522FF9" w:rsidRPr="00F673EE" w:rsidTr="00BA32E2">
        <w:tc>
          <w:tcPr>
            <w:tcW w:w="6095" w:type="dxa"/>
            <w:shd w:val="clear" w:color="auto" w:fill="auto"/>
          </w:tcPr>
          <w:p w:rsidR="00522FF9" w:rsidRPr="00F673EE" w:rsidRDefault="00522FF9" w:rsidP="00D24366">
            <w:pPr>
              <w:pStyle w:val="Tabletext"/>
            </w:pPr>
            <w:r w:rsidRPr="00F673EE">
              <w:rPr>
                <w:b/>
              </w:rPr>
              <w:t>Gas Safety Act 1997</w:t>
            </w:r>
            <w:r w:rsidRPr="00F673EE">
              <w:t>, to the extent that it deals with the regulation of gas appliances</w:t>
            </w:r>
            <w:r w:rsidRPr="00F673EE">
              <w:br/>
            </w:r>
          </w:p>
        </w:tc>
      </w:tr>
      <w:tr w:rsidR="00522FF9" w:rsidRPr="00F673EE" w:rsidTr="00BA32E2">
        <w:tc>
          <w:tcPr>
            <w:tcW w:w="6095" w:type="dxa"/>
            <w:shd w:val="clear" w:color="auto" w:fill="auto"/>
          </w:tcPr>
          <w:p w:rsidR="00522FF9" w:rsidRPr="00F673EE" w:rsidRDefault="00522FF9" w:rsidP="00D24366">
            <w:pPr>
              <w:pStyle w:val="Tabletext"/>
            </w:pPr>
            <w:r w:rsidRPr="00F673EE">
              <w:rPr>
                <w:b/>
              </w:rPr>
              <w:t>Hazardous substances, industrial chemicals and dangerous goods</w:t>
            </w:r>
          </w:p>
        </w:tc>
      </w:tr>
      <w:tr w:rsidR="00522FF9" w:rsidRPr="00F673EE" w:rsidTr="00BA32E2">
        <w:tc>
          <w:tcPr>
            <w:tcW w:w="6095" w:type="dxa"/>
            <w:shd w:val="clear" w:color="auto" w:fill="auto"/>
          </w:tcPr>
          <w:p w:rsidR="00522FF9" w:rsidRPr="00F673EE" w:rsidRDefault="00522FF9" w:rsidP="00D24366">
            <w:pPr>
              <w:pStyle w:val="Tabletext"/>
            </w:pPr>
            <w:r w:rsidRPr="00F673EE">
              <w:rPr>
                <w:b/>
              </w:rPr>
              <w:t>Drugs, Poisons and Controlled Substances Act 1981</w:t>
            </w:r>
            <w:r w:rsidRPr="00F673EE">
              <w:rPr>
                <w:bCs/>
              </w:rPr>
              <w:t xml:space="preserve">, </w:t>
            </w:r>
            <w:r w:rsidRPr="00F673EE">
              <w:t>to the extent that it deals with packaging and labelling of hazardous substances, industrial chemicals and dangerous goods and would be affected by Part</w:t>
            </w:r>
            <w:r w:rsidR="00F673EE">
              <w:t> </w:t>
            </w:r>
            <w:r w:rsidRPr="00F673EE">
              <w:t>2 of this Act</w:t>
            </w:r>
          </w:p>
        </w:tc>
      </w:tr>
      <w:tr w:rsidR="00522FF9" w:rsidRPr="00F673EE" w:rsidTr="00BA32E2">
        <w:tc>
          <w:tcPr>
            <w:tcW w:w="6095" w:type="dxa"/>
            <w:shd w:val="clear" w:color="auto" w:fill="auto"/>
          </w:tcPr>
          <w:p w:rsidR="00522FF9" w:rsidRPr="00F673EE" w:rsidRDefault="00522FF9" w:rsidP="00D24366">
            <w:pPr>
              <w:pStyle w:val="Tabletext"/>
            </w:pPr>
            <w:r w:rsidRPr="00F673EE">
              <w:rPr>
                <w:b/>
              </w:rPr>
              <w:t>Dangerous Goods Act 1985</w:t>
            </w:r>
          </w:p>
        </w:tc>
      </w:tr>
      <w:tr w:rsidR="00522FF9" w:rsidRPr="00F673EE" w:rsidTr="00BA32E2">
        <w:tc>
          <w:tcPr>
            <w:tcW w:w="6095" w:type="dxa"/>
            <w:shd w:val="clear" w:color="auto" w:fill="auto"/>
          </w:tcPr>
          <w:p w:rsidR="00522FF9" w:rsidRPr="00F673EE" w:rsidRDefault="00522FF9" w:rsidP="00D24366">
            <w:pPr>
              <w:pStyle w:val="Tabletext"/>
            </w:pPr>
            <w:r w:rsidRPr="00F673EE">
              <w:rPr>
                <w:b/>
              </w:rPr>
              <w:t>Occupational Health and Safety Act 1985</w:t>
            </w:r>
            <w:r w:rsidRPr="00F673EE">
              <w:rPr>
                <w:b/>
              </w:rPr>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Indecent material</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Classification (Publications, Films and Computer Games) (Enforcement) Act 1995</w:t>
            </w:r>
            <w:r w:rsidRPr="00F673EE">
              <w:rPr>
                <w:i/>
              </w:rPr>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Ozone protection</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Environment Protection Act 1970</w:t>
            </w:r>
            <w:r w:rsidRPr="00F673EE">
              <w:t>, sections</w:t>
            </w:r>
            <w:r w:rsidR="00F673EE">
              <w:t> </w:t>
            </w:r>
            <w:r w:rsidRPr="00F673EE">
              <w:t>16 and 41 (to the extent that they deal with ozone depleting substances) and paragraph</w:t>
            </w:r>
            <w:r w:rsidR="00F673EE">
              <w:t> </w:t>
            </w:r>
            <w:r w:rsidRPr="00F673EE">
              <w:t>71(1)(gba)</w:t>
            </w:r>
            <w:r w:rsidR="00A346E4" w:rsidRPr="00F673EE">
              <w:rPr>
                <w:i/>
              </w:rPr>
              <w:t xml:space="preserve"> </w:t>
            </w:r>
            <w:r w:rsidR="00A346E4" w:rsidRPr="00F673EE">
              <w:rPr>
                <w:i/>
              </w:rPr>
              <w:br/>
            </w:r>
          </w:p>
        </w:tc>
      </w:tr>
      <w:tr w:rsidR="00522FF9" w:rsidRPr="00F673EE" w:rsidTr="00BA32E2">
        <w:tc>
          <w:tcPr>
            <w:tcW w:w="6095" w:type="dxa"/>
            <w:shd w:val="clear" w:color="auto" w:fill="auto"/>
          </w:tcPr>
          <w:p w:rsidR="00522FF9" w:rsidRPr="00F673EE" w:rsidRDefault="00522FF9" w:rsidP="00D24366">
            <w:pPr>
              <w:pStyle w:val="Tabletext"/>
            </w:pPr>
            <w:r w:rsidRPr="00F673EE">
              <w:rPr>
                <w:b/>
              </w:rPr>
              <w:t>Therapeutic goods</w:t>
            </w:r>
          </w:p>
        </w:tc>
      </w:tr>
      <w:tr w:rsidR="00522FF9" w:rsidRPr="00F673EE" w:rsidTr="00BA32E2">
        <w:tc>
          <w:tcPr>
            <w:tcW w:w="6095" w:type="dxa"/>
            <w:shd w:val="clear" w:color="auto" w:fill="auto"/>
          </w:tcPr>
          <w:p w:rsidR="00522FF9" w:rsidRPr="00F673EE" w:rsidRDefault="00522FF9" w:rsidP="00D24366">
            <w:pPr>
              <w:pStyle w:val="Tabletext"/>
            </w:pPr>
            <w:r w:rsidRPr="00F673EE">
              <w:rPr>
                <w:b/>
              </w:rPr>
              <w:t>Drugs, Poisons and Controlled Substances Act 1981</w:t>
            </w:r>
            <w:r w:rsidRPr="00F673EE">
              <w:rPr>
                <w:bCs/>
              </w:rPr>
              <w:t>,</w:t>
            </w:r>
            <w:r w:rsidRPr="00F673EE">
              <w:t xml:space="preserve"> to the extent that it deals with packaging and labelling of pharmaceutical drugs and would be affected by Part</w:t>
            </w:r>
            <w:r w:rsidR="00F673EE">
              <w:t> </w:t>
            </w:r>
            <w:r w:rsidRPr="00F673EE">
              <w:t>2 of this Act</w:t>
            </w:r>
          </w:p>
        </w:tc>
      </w:tr>
      <w:tr w:rsidR="00522FF9" w:rsidRPr="00F673EE" w:rsidTr="00BA32E2">
        <w:tc>
          <w:tcPr>
            <w:tcW w:w="6095" w:type="dxa"/>
            <w:shd w:val="clear" w:color="auto" w:fill="auto"/>
          </w:tcPr>
          <w:p w:rsidR="00522FF9" w:rsidRPr="00F673EE" w:rsidRDefault="00522FF9" w:rsidP="00D24366">
            <w:pPr>
              <w:pStyle w:val="Tabletext"/>
            </w:pPr>
            <w:r w:rsidRPr="00F673EE">
              <w:rPr>
                <w:b/>
                <w:bCs/>
              </w:rPr>
              <w:t>Therapeutic Goods (Victoria) Act 1994</w:t>
            </w:r>
            <w:r w:rsidRPr="00F673EE">
              <w:t>, to the extent that it deals with packaging and labelling of pharmaceutical drugs and would be affected by Part</w:t>
            </w:r>
            <w:r w:rsidR="00F673EE">
              <w:t> </w:t>
            </w:r>
            <w:r w:rsidRPr="00F673EE">
              <w:t>2 of this Act</w:t>
            </w:r>
          </w:p>
        </w:tc>
      </w:tr>
    </w:tbl>
    <w:p w:rsidR="00AF1440" w:rsidRPr="00F673EE" w:rsidRDefault="00AF1440" w:rsidP="00AF1440">
      <w:pPr>
        <w:pStyle w:val="ActHead5"/>
      </w:pPr>
      <w:bookmarkStart w:id="81" w:name="_Toc532465298"/>
      <w:r w:rsidRPr="00F673EE">
        <w:rPr>
          <w:rStyle w:val="CharSectno"/>
        </w:rPr>
        <w:t>6</w:t>
      </w:r>
      <w:r w:rsidRPr="00F673EE">
        <w:t xml:space="preserve">  </w:t>
      </w:r>
      <w:smartTag w:uri="urn:schemas-microsoft-com:office:smarttags" w:element="State">
        <w:smartTag w:uri="urn:schemas-microsoft-com:office:smarttags" w:element="place">
          <w:r w:rsidRPr="00F673EE">
            <w:t>Queensland</w:t>
          </w:r>
        </w:smartTag>
      </w:smartTag>
      <w:bookmarkEnd w:id="81"/>
    </w:p>
    <w:p w:rsidR="0074383C" w:rsidRPr="00F673EE" w:rsidRDefault="0074383C" w:rsidP="0074383C">
      <w:pPr>
        <w:pStyle w:val="Tabletext"/>
      </w:pPr>
    </w:p>
    <w:tbl>
      <w:tblPr>
        <w:tblW w:w="0" w:type="auto"/>
        <w:tblInd w:w="1101" w:type="dxa"/>
        <w:tblLayout w:type="fixed"/>
        <w:tblLook w:val="0000" w:firstRow="0" w:lastRow="0" w:firstColumn="0" w:lastColumn="0" w:noHBand="0" w:noVBand="0"/>
      </w:tblPr>
      <w:tblGrid>
        <w:gridCol w:w="6095"/>
      </w:tblGrid>
      <w:tr w:rsidR="00AF1440" w:rsidRPr="00F673EE" w:rsidTr="00BA32E2">
        <w:tc>
          <w:tcPr>
            <w:tcW w:w="6095" w:type="dxa"/>
            <w:shd w:val="clear" w:color="auto" w:fill="auto"/>
          </w:tcPr>
          <w:p w:rsidR="00AF1440" w:rsidRPr="00F673EE" w:rsidRDefault="00AF1440" w:rsidP="00781601">
            <w:pPr>
              <w:pStyle w:val="Tabletext"/>
              <w:rPr>
                <w:b/>
              </w:rPr>
            </w:pPr>
            <w:r w:rsidRPr="00F673EE">
              <w:rPr>
                <w:b/>
              </w:rPr>
              <w:t>Firearms and other prohibited or offensive weapons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Weapons Act 1990</w:t>
            </w:r>
            <w:r w:rsidRPr="00F673EE">
              <w:rPr>
                <w:i/>
              </w:rPr>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lastRenderedPageBreak/>
              <w:t>Fireworks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Explosives Act 1952</w:t>
            </w:r>
            <w:r w:rsidRPr="00F673EE">
              <w:t xml:space="preserve"> (to the extent that it deals with fireworks)</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Gaming machines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Gaming Machine Act 1991</w:t>
            </w:r>
            <w:r w:rsidRPr="00F673EE">
              <w:rPr>
                <w:i/>
              </w:rPr>
              <w:br/>
            </w:r>
          </w:p>
        </w:tc>
      </w:tr>
      <w:tr w:rsidR="00522FF9" w:rsidRPr="00F673EE" w:rsidTr="00BA32E2">
        <w:tc>
          <w:tcPr>
            <w:tcW w:w="6095" w:type="dxa"/>
            <w:shd w:val="clear" w:color="auto" w:fill="auto"/>
          </w:tcPr>
          <w:p w:rsidR="00522FF9" w:rsidRPr="00F673EE" w:rsidRDefault="00522FF9" w:rsidP="00BA32E2">
            <w:pPr>
              <w:pStyle w:val="Tabletext"/>
              <w:keepNext/>
            </w:pPr>
            <w:r w:rsidRPr="00F673EE">
              <w:rPr>
                <w:b/>
                <w:bCs/>
              </w:rPr>
              <w:t>Gas appliances</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Petroleum and Gas (Production and Safety) Act 2004</w:t>
            </w:r>
            <w:r w:rsidRPr="00F673EE">
              <w:t>, to the extent that it deals with the regulation of gas appliances</w:t>
            </w:r>
            <w:r w:rsidRPr="00F673EE">
              <w:br/>
            </w:r>
          </w:p>
        </w:tc>
      </w:tr>
      <w:tr w:rsidR="00522FF9" w:rsidRPr="00F673EE" w:rsidTr="00BA32E2">
        <w:tc>
          <w:tcPr>
            <w:tcW w:w="6095" w:type="dxa"/>
            <w:shd w:val="clear" w:color="auto" w:fill="auto"/>
          </w:tcPr>
          <w:p w:rsidR="00522FF9" w:rsidRPr="00F673EE" w:rsidRDefault="00522FF9" w:rsidP="00D24366">
            <w:pPr>
              <w:pStyle w:val="Tabletext"/>
            </w:pPr>
            <w:r w:rsidRPr="00F673EE">
              <w:rPr>
                <w:b/>
                <w:bCs/>
              </w:rPr>
              <w:t>Hazardous substances, industrial chemicals and dangerous goods</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Poisons Regulation</w:t>
            </w:r>
            <w:r w:rsidR="00F673EE">
              <w:rPr>
                <w:i/>
              </w:rPr>
              <w:t> </w:t>
            </w:r>
            <w:r w:rsidRPr="00F673EE">
              <w:rPr>
                <w:i/>
              </w:rPr>
              <w:t xml:space="preserve">1973 </w:t>
            </w:r>
            <w:r w:rsidRPr="00F673EE">
              <w:t xml:space="preserve">under the </w:t>
            </w:r>
            <w:r w:rsidRPr="00F673EE">
              <w:rPr>
                <w:i/>
              </w:rPr>
              <w:t>Health Act 1937</w:t>
            </w:r>
            <w:r w:rsidRPr="00F673EE">
              <w:t>, to the extent that it deals with packaging and labelling of hazardous substances, industrial chemicals and dangerous goods and would be affected by Part</w:t>
            </w:r>
            <w:r w:rsidR="00F673EE">
              <w:t> </w:t>
            </w:r>
            <w:r w:rsidRPr="00F673EE">
              <w:t>2 of this Act</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Workplace Health and Safety Act 1995</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Fair Trading Act 1989</w:t>
            </w:r>
            <w:r w:rsidRPr="00F673EE">
              <w:t>, sections</w:t>
            </w:r>
            <w:r w:rsidR="00F673EE">
              <w:t> </w:t>
            </w:r>
            <w:r w:rsidRPr="00F673EE">
              <w:t>81, 83, 85 and 85A, to the extent that those sections deal with the regulation of child restraints for motor vehicles</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Indecent material</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Classification of Films Act 1991</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Classification of Publications Act 1991</w:t>
            </w:r>
            <w:r w:rsidRPr="00F673EE">
              <w:rPr>
                <w:i/>
              </w:rPr>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Ozone protection</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Environmental Protection (Interim) Regulation</w:t>
            </w:r>
            <w:r w:rsidR="00F673EE">
              <w:rPr>
                <w:i/>
              </w:rPr>
              <w:t> </w:t>
            </w:r>
            <w:r w:rsidRPr="00F673EE">
              <w:rPr>
                <w:i/>
              </w:rPr>
              <w:t>1995</w:t>
            </w:r>
            <w:r w:rsidRPr="00F673EE">
              <w:t xml:space="preserve"> under the </w:t>
            </w:r>
            <w:r w:rsidRPr="00F673EE">
              <w:rPr>
                <w:i/>
              </w:rPr>
              <w:t>Environmental Protection Act 1994</w:t>
            </w:r>
            <w:r w:rsidRPr="00F673EE">
              <w:t xml:space="preserve"> (to the extent that it deals with ozone depleting substances)</w:t>
            </w:r>
            <w:r w:rsidR="00A346E4" w:rsidRPr="00F673EE">
              <w:rPr>
                <w:i/>
              </w:rPr>
              <w:t xml:space="preserve"> </w:t>
            </w:r>
            <w:r w:rsidR="00A346E4" w:rsidRPr="00F673EE">
              <w:rPr>
                <w:i/>
              </w:rPr>
              <w:br/>
            </w:r>
          </w:p>
        </w:tc>
      </w:tr>
      <w:tr w:rsidR="00522FF9" w:rsidRPr="00F673EE" w:rsidTr="00BA32E2">
        <w:tc>
          <w:tcPr>
            <w:tcW w:w="6095" w:type="dxa"/>
            <w:shd w:val="clear" w:color="auto" w:fill="auto"/>
          </w:tcPr>
          <w:p w:rsidR="00522FF9" w:rsidRPr="00F673EE" w:rsidRDefault="00522FF9" w:rsidP="00D24366">
            <w:pPr>
              <w:pStyle w:val="Tabletext"/>
            </w:pPr>
            <w:r w:rsidRPr="00F673EE">
              <w:rPr>
                <w:b/>
                <w:bCs/>
                <w:iCs/>
              </w:rPr>
              <w:t>Therapeutic goods</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Poisons Regulation</w:t>
            </w:r>
            <w:r w:rsidR="00F673EE">
              <w:rPr>
                <w:i/>
              </w:rPr>
              <w:t> </w:t>
            </w:r>
            <w:r w:rsidRPr="00F673EE">
              <w:rPr>
                <w:i/>
              </w:rPr>
              <w:t>1973</w:t>
            </w:r>
            <w:r w:rsidRPr="00F673EE">
              <w:t xml:space="preserve"> under the </w:t>
            </w:r>
            <w:r w:rsidRPr="00F673EE">
              <w:rPr>
                <w:i/>
              </w:rPr>
              <w:t>Health Act 1937</w:t>
            </w:r>
            <w:r w:rsidRPr="00F673EE">
              <w:rPr>
                <w:iCs/>
              </w:rPr>
              <w:t>,</w:t>
            </w:r>
            <w:r w:rsidRPr="00F673EE">
              <w:t xml:space="preserve"> to the extent that it deals with packaging and labelling of pharmaceutical drugs and would be affected by Part</w:t>
            </w:r>
            <w:r w:rsidR="00F673EE">
              <w:t> </w:t>
            </w:r>
            <w:r w:rsidRPr="00F673EE">
              <w:t>2 of this Act</w:t>
            </w:r>
          </w:p>
        </w:tc>
      </w:tr>
    </w:tbl>
    <w:p w:rsidR="00AF1440" w:rsidRPr="00F673EE" w:rsidRDefault="00AF1440" w:rsidP="001B6DAB">
      <w:pPr>
        <w:pStyle w:val="ActHead5"/>
      </w:pPr>
      <w:bookmarkStart w:id="82" w:name="_Toc532465299"/>
      <w:r w:rsidRPr="00F673EE">
        <w:rPr>
          <w:rStyle w:val="CharSectno"/>
        </w:rPr>
        <w:lastRenderedPageBreak/>
        <w:t>7</w:t>
      </w:r>
      <w:r w:rsidRPr="00F673EE">
        <w:t xml:space="preserve">  </w:t>
      </w:r>
      <w:smartTag w:uri="urn:schemas-microsoft-com:office:smarttags" w:element="State">
        <w:smartTag w:uri="urn:schemas-microsoft-com:office:smarttags" w:element="place">
          <w:r w:rsidRPr="00F673EE">
            <w:t>Western Australia</w:t>
          </w:r>
        </w:smartTag>
      </w:smartTag>
      <w:bookmarkEnd w:id="82"/>
    </w:p>
    <w:p w:rsidR="0074383C" w:rsidRPr="00F673EE" w:rsidRDefault="0074383C" w:rsidP="00BA32E2">
      <w:pPr>
        <w:pStyle w:val="Tabletext"/>
        <w:keepNext/>
      </w:pPr>
    </w:p>
    <w:tbl>
      <w:tblPr>
        <w:tblW w:w="0" w:type="auto"/>
        <w:tblInd w:w="1101" w:type="dxa"/>
        <w:tblLayout w:type="fixed"/>
        <w:tblLook w:val="0000" w:firstRow="0" w:lastRow="0" w:firstColumn="0" w:lastColumn="0" w:noHBand="0" w:noVBand="0"/>
      </w:tblPr>
      <w:tblGrid>
        <w:gridCol w:w="6095"/>
      </w:tblGrid>
      <w:tr w:rsidR="00AF1440" w:rsidRPr="00F673EE" w:rsidTr="00BA32E2">
        <w:tc>
          <w:tcPr>
            <w:tcW w:w="6095" w:type="dxa"/>
            <w:shd w:val="clear" w:color="auto" w:fill="auto"/>
          </w:tcPr>
          <w:p w:rsidR="00AF1440" w:rsidRPr="00F673EE" w:rsidRDefault="00AF1440" w:rsidP="00781601">
            <w:pPr>
              <w:pStyle w:val="Tabletext"/>
              <w:keepNext/>
              <w:rPr>
                <w:b/>
              </w:rPr>
            </w:pPr>
            <w:r w:rsidRPr="00F673EE">
              <w:rPr>
                <w:b/>
              </w:rPr>
              <w:t>Firearms and other prohibited or offensive weapons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Firearms Act 1973</w:t>
            </w:r>
          </w:p>
        </w:tc>
      </w:tr>
      <w:tr w:rsidR="00B0517C" w:rsidRPr="00F673EE" w:rsidTr="00BA32E2">
        <w:tc>
          <w:tcPr>
            <w:tcW w:w="6095" w:type="dxa"/>
            <w:shd w:val="clear" w:color="auto" w:fill="auto"/>
          </w:tcPr>
          <w:p w:rsidR="00B0517C" w:rsidRPr="00F673EE" w:rsidRDefault="00B0517C" w:rsidP="00D24366">
            <w:pPr>
              <w:pStyle w:val="Tabletext"/>
            </w:pPr>
            <w:r w:rsidRPr="00F673EE">
              <w:rPr>
                <w:i/>
              </w:rPr>
              <w:t>Firearms Regulations</w:t>
            </w:r>
            <w:r w:rsidR="00F673EE">
              <w:rPr>
                <w:i/>
              </w:rPr>
              <w:t> </w:t>
            </w:r>
            <w:r w:rsidRPr="00F673EE">
              <w:rPr>
                <w:i/>
              </w:rPr>
              <w:t>1974</w:t>
            </w:r>
          </w:p>
        </w:tc>
      </w:tr>
      <w:tr w:rsidR="00B0517C" w:rsidRPr="00F673EE" w:rsidTr="00BA32E2">
        <w:tc>
          <w:tcPr>
            <w:tcW w:w="6095" w:type="dxa"/>
            <w:shd w:val="clear" w:color="auto" w:fill="auto"/>
          </w:tcPr>
          <w:p w:rsidR="00B0517C" w:rsidRPr="00F673EE" w:rsidRDefault="00B0517C" w:rsidP="00D24366">
            <w:pPr>
              <w:pStyle w:val="Tabletext"/>
            </w:pPr>
            <w:r w:rsidRPr="00F673EE">
              <w:rPr>
                <w:i/>
              </w:rPr>
              <w:t>Weapons Act 1999</w:t>
            </w:r>
          </w:p>
        </w:tc>
      </w:tr>
      <w:tr w:rsidR="00B0517C" w:rsidRPr="00F673EE" w:rsidTr="00BA32E2">
        <w:tc>
          <w:tcPr>
            <w:tcW w:w="6095" w:type="dxa"/>
            <w:shd w:val="clear" w:color="auto" w:fill="auto"/>
          </w:tcPr>
          <w:p w:rsidR="00B0517C" w:rsidRPr="00F673EE" w:rsidRDefault="00B0517C" w:rsidP="00D24366">
            <w:pPr>
              <w:pStyle w:val="Tabletext"/>
            </w:pPr>
            <w:r w:rsidRPr="00F673EE">
              <w:rPr>
                <w:i/>
              </w:rPr>
              <w:t>Weapons Regulations</w:t>
            </w:r>
            <w:r w:rsidR="00F673EE">
              <w:rPr>
                <w:i/>
              </w:rPr>
              <w:t> </w:t>
            </w:r>
            <w:r w:rsidRPr="00F673EE">
              <w:rPr>
                <w:i/>
              </w:rPr>
              <w:t>1999</w:t>
            </w:r>
            <w:r w:rsidR="004C7C13" w:rsidRPr="00F673EE">
              <w:rPr>
                <w:i/>
              </w:rPr>
              <w:br/>
            </w:r>
          </w:p>
        </w:tc>
      </w:tr>
      <w:tr w:rsidR="00AF1440" w:rsidRPr="00F673EE" w:rsidTr="00BA32E2">
        <w:tc>
          <w:tcPr>
            <w:tcW w:w="6095" w:type="dxa"/>
            <w:shd w:val="clear" w:color="auto" w:fill="auto"/>
          </w:tcPr>
          <w:p w:rsidR="00AF1440" w:rsidRPr="00F673EE" w:rsidRDefault="00AF1440" w:rsidP="00BA32E2">
            <w:pPr>
              <w:pStyle w:val="Tabletext"/>
              <w:keepNext/>
            </w:pPr>
            <w:r w:rsidRPr="00F673EE">
              <w:rPr>
                <w:b/>
              </w:rPr>
              <w:t>Fireworks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Explosives and Dangerous Goods Act 1961</w:t>
            </w:r>
            <w:r w:rsidRPr="00F673EE">
              <w:t xml:space="preserve"> (to the extent that it deals with fireworks)</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Gaming machines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Gaming Commission Act 1987</w:t>
            </w:r>
            <w:r w:rsidRPr="00F673EE">
              <w:rPr>
                <w:i/>
              </w:rPr>
              <w:br/>
            </w:r>
          </w:p>
        </w:tc>
      </w:tr>
      <w:tr w:rsidR="00522FF9" w:rsidRPr="00F673EE" w:rsidTr="00BA32E2">
        <w:tc>
          <w:tcPr>
            <w:tcW w:w="6095" w:type="dxa"/>
            <w:shd w:val="clear" w:color="auto" w:fill="auto"/>
          </w:tcPr>
          <w:p w:rsidR="00522FF9" w:rsidRPr="00F673EE" w:rsidRDefault="00522FF9" w:rsidP="00D24366">
            <w:pPr>
              <w:pStyle w:val="Tabletext"/>
            </w:pPr>
            <w:r w:rsidRPr="00F673EE">
              <w:rPr>
                <w:b/>
                <w:bCs/>
                <w:iCs/>
              </w:rPr>
              <w:t>Gas appliances</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Gas Standards Act 1972</w:t>
            </w:r>
            <w:r w:rsidRPr="00F673EE">
              <w:rPr>
                <w:iCs/>
              </w:rPr>
              <w:t>, to the extent that it deals with the regulation of gas appliances</w:t>
            </w:r>
            <w:r w:rsidRPr="00F673EE">
              <w:rPr>
                <w:iCs/>
              </w:rPr>
              <w:br/>
            </w:r>
          </w:p>
        </w:tc>
      </w:tr>
      <w:tr w:rsidR="00522FF9" w:rsidRPr="00F673EE" w:rsidTr="00BA32E2">
        <w:tc>
          <w:tcPr>
            <w:tcW w:w="6095" w:type="dxa"/>
            <w:shd w:val="clear" w:color="auto" w:fill="auto"/>
          </w:tcPr>
          <w:p w:rsidR="00522FF9" w:rsidRPr="00F673EE" w:rsidRDefault="00522FF9" w:rsidP="00D24366">
            <w:pPr>
              <w:pStyle w:val="Tabletext"/>
            </w:pPr>
            <w:r w:rsidRPr="00F673EE">
              <w:rPr>
                <w:b/>
                <w:bCs/>
                <w:iCs/>
              </w:rPr>
              <w:t>Hazardous substances, industrial chemicals and dangerous goods</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Poisons Act 1964</w:t>
            </w:r>
            <w:r w:rsidRPr="00F673EE">
              <w:rPr>
                <w:iCs/>
              </w:rPr>
              <w:t>,</w:t>
            </w:r>
            <w:r w:rsidRPr="00F673EE">
              <w:t xml:space="preserve"> to the extent that it deals with packaging and labelling of hazardous substances, industrial chemicals and dangerous goods and would be affected by Part</w:t>
            </w:r>
            <w:r w:rsidR="00F673EE">
              <w:t> </w:t>
            </w:r>
            <w:r w:rsidRPr="00F673EE">
              <w:t>2 of this Act</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Occupational Safety and Health Act 1984</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Explosives and Dangerous Goods Act 1961</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Consumer Affairs Act 1971</w:t>
            </w:r>
            <w:r w:rsidRPr="00F673EE">
              <w:rPr>
                <w:iCs/>
              </w:rPr>
              <w:t>,</w:t>
            </w:r>
            <w:r w:rsidRPr="00F673EE">
              <w:t xml:space="preserve"> sections</w:t>
            </w:r>
            <w:r w:rsidR="00F673EE">
              <w:t> </w:t>
            </w:r>
            <w:r w:rsidRPr="00F673EE">
              <w:t>23Q, 23R and 23U, to the extent that those sections deal with the regulation of child restraints for motor vehicles</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Fair Trading Act 1987</w:t>
            </w:r>
            <w:r w:rsidRPr="00F673EE">
              <w:rPr>
                <w:iCs/>
              </w:rPr>
              <w:t>,</w:t>
            </w:r>
            <w:r w:rsidRPr="00F673EE">
              <w:t xml:space="preserve"> sections</w:t>
            </w:r>
            <w:r w:rsidR="00F673EE">
              <w:t> </w:t>
            </w:r>
            <w:r w:rsidRPr="00F673EE">
              <w:t>50 and 59, to the extent that those sections deal with the regulation of child restraints for motor vehicles</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Indecent material</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Censorship of Films Act 1947</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Indecent Publications and Articles Act 1902</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lastRenderedPageBreak/>
              <w:t>Video Tapes Classification and Control Act 1987</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Censorship Act 1996</w:t>
            </w:r>
            <w:r w:rsidRPr="00F673EE">
              <w:rPr>
                <w:i/>
              </w:rPr>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Ozone protection</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Environmental Protection Act 1986</w:t>
            </w:r>
            <w:r w:rsidRPr="00F673EE">
              <w:t xml:space="preserve"> (to the extent that it deals with ozone protection)</w:t>
            </w:r>
            <w:r w:rsidR="00A346E4" w:rsidRPr="00F673EE">
              <w:rPr>
                <w:i/>
              </w:rPr>
              <w:t xml:space="preserve"> </w:t>
            </w:r>
            <w:r w:rsidR="00A346E4" w:rsidRPr="00F673EE">
              <w:rPr>
                <w:i/>
              </w:rPr>
              <w:br/>
            </w:r>
          </w:p>
        </w:tc>
      </w:tr>
      <w:tr w:rsidR="00522FF9" w:rsidRPr="00F673EE" w:rsidTr="00BA32E2">
        <w:tc>
          <w:tcPr>
            <w:tcW w:w="6095" w:type="dxa"/>
            <w:shd w:val="clear" w:color="auto" w:fill="auto"/>
          </w:tcPr>
          <w:p w:rsidR="00522FF9" w:rsidRPr="00F673EE" w:rsidRDefault="00522FF9" w:rsidP="00D24366">
            <w:pPr>
              <w:pStyle w:val="Tabletext"/>
            </w:pPr>
            <w:r w:rsidRPr="00F673EE">
              <w:rPr>
                <w:b/>
                <w:bCs/>
                <w:iCs/>
              </w:rPr>
              <w:t>Therapeutic goods</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Poisons Act 1964</w:t>
            </w:r>
            <w:r w:rsidRPr="00F673EE">
              <w:rPr>
                <w:iCs/>
              </w:rPr>
              <w:t>,</w:t>
            </w:r>
            <w:r w:rsidRPr="00F673EE">
              <w:rPr>
                <w:i/>
              </w:rPr>
              <w:t xml:space="preserve"> </w:t>
            </w:r>
            <w:r w:rsidRPr="00F673EE">
              <w:t>to the extent that it deals with packaging and labelling of pharmaceutical drugs and would be affected by Part</w:t>
            </w:r>
            <w:r w:rsidR="00F673EE">
              <w:t> </w:t>
            </w:r>
            <w:r w:rsidRPr="00F673EE">
              <w:t>2 of this Act</w:t>
            </w:r>
          </w:p>
        </w:tc>
      </w:tr>
    </w:tbl>
    <w:p w:rsidR="00AF1440" w:rsidRPr="00F673EE" w:rsidRDefault="00AF1440" w:rsidP="00BA32E2">
      <w:pPr>
        <w:pStyle w:val="ActHead5"/>
      </w:pPr>
      <w:bookmarkStart w:id="83" w:name="_Toc532465300"/>
      <w:r w:rsidRPr="00F673EE">
        <w:rPr>
          <w:rStyle w:val="CharSectno"/>
        </w:rPr>
        <w:t>8</w:t>
      </w:r>
      <w:r w:rsidRPr="00F673EE">
        <w:t xml:space="preserve">  </w:t>
      </w:r>
      <w:smartTag w:uri="urn:schemas-microsoft-com:office:smarttags" w:element="State">
        <w:smartTag w:uri="urn:schemas-microsoft-com:office:smarttags" w:element="place">
          <w:r w:rsidRPr="00F673EE">
            <w:t>South Australia</w:t>
          </w:r>
        </w:smartTag>
      </w:smartTag>
      <w:bookmarkEnd w:id="83"/>
    </w:p>
    <w:p w:rsidR="0074383C" w:rsidRPr="00F673EE" w:rsidRDefault="0074383C" w:rsidP="00BA32E2">
      <w:pPr>
        <w:pStyle w:val="Tabletext"/>
        <w:keepNext/>
      </w:pPr>
    </w:p>
    <w:tbl>
      <w:tblPr>
        <w:tblW w:w="0" w:type="auto"/>
        <w:tblInd w:w="1101" w:type="dxa"/>
        <w:tblLayout w:type="fixed"/>
        <w:tblLook w:val="0000" w:firstRow="0" w:lastRow="0" w:firstColumn="0" w:lastColumn="0" w:noHBand="0" w:noVBand="0"/>
      </w:tblPr>
      <w:tblGrid>
        <w:gridCol w:w="6095"/>
      </w:tblGrid>
      <w:tr w:rsidR="00AF1440" w:rsidRPr="00F673EE" w:rsidTr="00BA32E2">
        <w:tc>
          <w:tcPr>
            <w:tcW w:w="6095" w:type="dxa"/>
            <w:shd w:val="clear" w:color="auto" w:fill="auto"/>
          </w:tcPr>
          <w:p w:rsidR="00AF1440" w:rsidRPr="00F673EE" w:rsidRDefault="00AF1440" w:rsidP="00781601">
            <w:pPr>
              <w:pStyle w:val="Tabletext"/>
              <w:rPr>
                <w:b/>
              </w:rPr>
            </w:pPr>
            <w:r w:rsidRPr="00F673EE">
              <w:rPr>
                <w:b/>
              </w:rPr>
              <w:t>Firearms and other prohibited or offensive weapons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Firearms Act 1977</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Firearms Regulations</w:t>
            </w:r>
            <w:r w:rsidR="00F673EE">
              <w:rPr>
                <w:i/>
              </w:rPr>
              <w:t> </w:t>
            </w:r>
            <w:r w:rsidRPr="00F673EE">
              <w:rPr>
                <w:i/>
              </w:rPr>
              <w:t>1993</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Summary Offences Act 1953</w:t>
            </w:r>
            <w:r w:rsidRPr="00F673EE">
              <w:t>, sections</w:t>
            </w:r>
            <w:r w:rsidR="00F673EE">
              <w:t> </w:t>
            </w:r>
            <w:r w:rsidRPr="00F673EE">
              <w:t>15 and 15A</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Criminal Law Consolidation Act 1935</w:t>
            </w:r>
            <w:r w:rsidRPr="00F673EE">
              <w:t>, sections</w:t>
            </w:r>
            <w:r w:rsidR="00F673EE">
              <w:t> </w:t>
            </w:r>
            <w:r w:rsidRPr="00F673EE">
              <w:t>32, 47A and 299A</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Fireworks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Explosives Act 1936</w:t>
            </w:r>
            <w:r w:rsidRPr="00F673EE">
              <w:t xml:space="preserve"> (to the extent that it deals with fireworks)</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Gaming machines</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Gaming Machines Act 1992</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Gaming Machines Regulations</w:t>
            </w:r>
            <w:r w:rsidR="00F673EE">
              <w:rPr>
                <w:i/>
              </w:rPr>
              <w:t> </w:t>
            </w:r>
            <w:r w:rsidRPr="00F673EE">
              <w:rPr>
                <w:i/>
              </w:rPr>
              <w:t>1993</w:t>
            </w:r>
            <w:r w:rsidRPr="00F673EE">
              <w:rPr>
                <w:i/>
              </w:rPr>
              <w:br/>
            </w:r>
          </w:p>
        </w:tc>
      </w:tr>
      <w:tr w:rsidR="00522FF9" w:rsidRPr="00F673EE" w:rsidTr="00BA32E2">
        <w:tc>
          <w:tcPr>
            <w:tcW w:w="6095" w:type="dxa"/>
            <w:shd w:val="clear" w:color="auto" w:fill="auto"/>
          </w:tcPr>
          <w:p w:rsidR="00522FF9" w:rsidRPr="00F673EE" w:rsidRDefault="00522FF9" w:rsidP="00D24366">
            <w:pPr>
              <w:pStyle w:val="Tabletext"/>
            </w:pPr>
            <w:r w:rsidRPr="00F673EE">
              <w:rPr>
                <w:b/>
                <w:bCs/>
                <w:iCs/>
              </w:rPr>
              <w:t>Gas appliances</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Gas Act 1997</w:t>
            </w:r>
            <w:r w:rsidRPr="00F673EE">
              <w:rPr>
                <w:iCs/>
              </w:rPr>
              <w:t>,</w:t>
            </w:r>
            <w:r w:rsidRPr="00F673EE">
              <w:rPr>
                <w:i/>
              </w:rPr>
              <w:t xml:space="preserve"> </w:t>
            </w:r>
            <w:r w:rsidRPr="00F673EE">
              <w:t>to the extent that it deals with the regulation of gas appliances</w:t>
            </w:r>
            <w:r w:rsidRPr="00F673EE">
              <w:rPr>
                <w:iCs/>
              </w:rPr>
              <w:br/>
            </w:r>
          </w:p>
        </w:tc>
      </w:tr>
      <w:tr w:rsidR="00522FF9" w:rsidRPr="00F673EE" w:rsidTr="00BA32E2">
        <w:tc>
          <w:tcPr>
            <w:tcW w:w="6095" w:type="dxa"/>
            <w:shd w:val="clear" w:color="auto" w:fill="auto"/>
          </w:tcPr>
          <w:p w:rsidR="00522FF9" w:rsidRPr="00F673EE" w:rsidRDefault="00522FF9" w:rsidP="00D24366">
            <w:pPr>
              <w:pStyle w:val="Tabletext"/>
            </w:pPr>
            <w:r w:rsidRPr="00F673EE">
              <w:rPr>
                <w:b/>
                <w:bCs/>
                <w:iCs/>
              </w:rPr>
              <w:t>Hazardous substances, industrial chemicals and dangerous goods</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Controlled Substances Act 1984</w:t>
            </w:r>
            <w:r w:rsidRPr="00F673EE">
              <w:rPr>
                <w:iCs/>
              </w:rPr>
              <w:t>,</w:t>
            </w:r>
            <w:r w:rsidRPr="00F673EE">
              <w:t xml:space="preserve"> to the extent that it deals with packaging and labelling of hazardous substances, industrial chemicals and dangerous goods and would be affected by Part</w:t>
            </w:r>
            <w:r w:rsidR="00F673EE">
              <w:t> </w:t>
            </w:r>
            <w:r w:rsidRPr="00F673EE">
              <w:t>2 of this Act</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lastRenderedPageBreak/>
              <w:t>Dangerous Substances Act 1979</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Occupational Health, Safety and Welfare Act 1986</w:t>
            </w:r>
            <w:r w:rsidRPr="00F673EE">
              <w:rPr>
                <w:i/>
              </w:rPr>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Indecent material</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Classification (Publications, Films and Computer Games) Act 1995</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Summary Offences Act 1953</w:t>
            </w:r>
            <w:r w:rsidRPr="00F673EE">
              <w:t>, sections</w:t>
            </w:r>
            <w:r w:rsidR="00F673EE">
              <w:t> </w:t>
            </w:r>
            <w:r w:rsidRPr="00F673EE">
              <w:t>33 and 35</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Ozone protection</w:t>
            </w:r>
          </w:p>
        </w:tc>
      </w:tr>
      <w:tr w:rsidR="00AF1440" w:rsidRPr="00F673EE" w:rsidTr="00BA32E2">
        <w:tc>
          <w:tcPr>
            <w:tcW w:w="6095" w:type="dxa"/>
            <w:shd w:val="clear" w:color="auto" w:fill="auto"/>
          </w:tcPr>
          <w:p w:rsidR="00AF1440" w:rsidRPr="00F673EE" w:rsidRDefault="00AF1440" w:rsidP="00D24366">
            <w:pPr>
              <w:pStyle w:val="Tabletext"/>
            </w:pPr>
            <w:r w:rsidRPr="00F673EE">
              <w:rPr>
                <w:i/>
              </w:rPr>
              <w:t>Environment Protection Act 1993</w:t>
            </w:r>
            <w:r w:rsidRPr="00F673EE">
              <w:t>, Part</w:t>
            </w:r>
            <w:r w:rsidR="00F673EE">
              <w:t> </w:t>
            </w:r>
            <w:r w:rsidRPr="00F673EE">
              <w:t>8, Division</w:t>
            </w:r>
            <w:r w:rsidR="00F673EE">
              <w:t> </w:t>
            </w:r>
            <w:r w:rsidRPr="00F673EE">
              <w:t>3</w:t>
            </w:r>
            <w:r w:rsidRPr="00F673EE">
              <w:br/>
            </w:r>
          </w:p>
        </w:tc>
      </w:tr>
      <w:tr w:rsidR="00AF1440" w:rsidRPr="00F673EE" w:rsidTr="00BA32E2">
        <w:tc>
          <w:tcPr>
            <w:tcW w:w="6095" w:type="dxa"/>
            <w:shd w:val="clear" w:color="auto" w:fill="auto"/>
          </w:tcPr>
          <w:p w:rsidR="00AF1440" w:rsidRPr="00F673EE" w:rsidRDefault="00AF1440" w:rsidP="00D24366">
            <w:pPr>
              <w:pStyle w:val="Tabletext"/>
            </w:pPr>
            <w:r w:rsidRPr="00F673EE">
              <w:rPr>
                <w:b/>
              </w:rPr>
              <w:t>Other</w:t>
            </w:r>
          </w:p>
        </w:tc>
      </w:tr>
      <w:tr w:rsidR="00620438" w:rsidRPr="00F673EE" w:rsidTr="00BA32E2">
        <w:tc>
          <w:tcPr>
            <w:tcW w:w="6095" w:type="dxa"/>
            <w:shd w:val="clear" w:color="auto" w:fill="auto"/>
          </w:tcPr>
          <w:p w:rsidR="00620438" w:rsidRPr="00F673EE" w:rsidRDefault="00620438" w:rsidP="00D24366">
            <w:pPr>
              <w:pStyle w:val="Tabletext"/>
            </w:pPr>
            <w:r w:rsidRPr="00F673EE">
              <w:rPr>
                <w:i/>
              </w:rPr>
              <w:t>Environment Protection Act 1993</w:t>
            </w:r>
            <w:r w:rsidRPr="00F673EE">
              <w:t>, Part</w:t>
            </w:r>
            <w:r w:rsidR="00F673EE">
              <w:t> </w:t>
            </w:r>
            <w:r w:rsidRPr="00F673EE">
              <w:t>8, Division</w:t>
            </w:r>
            <w:r w:rsidR="00F673EE">
              <w:t> </w:t>
            </w:r>
            <w:r w:rsidRPr="00F673EE">
              <w:t>2 (dealing with beverage containers)</w:t>
            </w:r>
          </w:p>
        </w:tc>
      </w:tr>
      <w:tr w:rsidR="00620438" w:rsidRPr="00F673EE" w:rsidTr="00BA32E2">
        <w:tc>
          <w:tcPr>
            <w:tcW w:w="6095" w:type="dxa"/>
            <w:shd w:val="clear" w:color="auto" w:fill="auto"/>
          </w:tcPr>
          <w:p w:rsidR="00620438" w:rsidRPr="00F673EE" w:rsidRDefault="00620438" w:rsidP="00D24366">
            <w:pPr>
              <w:pStyle w:val="Tabletext"/>
            </w:pPr>
            <w:r w:rsidRPr="00F673EE">
              <w:rPr>
                <w:i/>
              </w:rPr>
              <w:t>Summary Offences Act 1953</w:t>
            </w:r>
            <w:r w:rsidRPr="00F673EE">
              <w:t>, Section</w:t>
            </w:r>
            <w:r w:rsidR="00F673EE">
              <w:t> </w:t>
            </w:r>
            <w:r w:rsidRPr="00F673EE">
              <w:t>9B</w:t>
            </w:r>
            <w:r w:rsidR="00A346E4" w:rsidRPr="00F673EE">
              <w:rPr>
                <w:i/>
              </w:rPr>
              <w:br/>
            </w:r>
          </w:p>
        </w:tc>
      </w:tr>
      <w:tr w:rsidR="00522FF9" w:rsidRPr="00F673EE" w:rsidTr="00BA32E2">
        <w:tc>
          <w:tcPr>
            <w:tcW w:w="6095" w:type="dxa"/>
            <w:shd w:val="clear" w:color="auto" w:fill="auto"/>
          </w:tcPr>
          <w:p w:rsidR="00522FF9" w:rsidRPr="00F673EE" w:rsidRDefault="00522FF9" w:rsidP="00D24366">
            <w:pPr>
              <w:pStyle w:val="Tabletext"/>
            </w:pPr>
            <w:r w:rsidRPr="00F673EE">
              <w:rPr>
                <w:b/>
                <w:bCs/>
                <w:iCs/>
              </w:rPr>
              <w:t>Therapeutic goods</w:t>
            </w:r>
          </w:p>
        </w:tc>
      </w:tr>
      <w:tr w:rsidR="00522FF9" w:rsidRPr="00F673EE" w:rsidTr="00BA32E2">
        <w:tc>
          <w:tcPr>
            <w:tcW w:w="6095" w:type="dxa"/>
            <w:shd w:val="clear" w:color="auto" w:fill="auto"/>
          </w:tcPr>
          <w:p w:rsidR="00522FF9" w:rsidRPr="00F673EE" w:rsidRDefault="00522FF9" w:rsidP="00D24366">
            <w:pPr>
              <w:pStyle w:val="Tabletext"/>
            </w:pPr>
            <w:r w:rsidRPr="00F673EE">
              <w:rPr>
                <w:i/>
              </w:rPr>
              <w:t>Controlled Substances Act 1984</w:t>
            </w:r>
            <w:r w:rsidRPr="00F673EE">
              <w:t>, to the extent that it deals with packaging and labelling of pharmaceutical drugs and would be affected by Part</w:t>
            </w:r>
            <w:r w:rsidR="00F673EE">
              <w:t> </w:t>
            </w:r>
            <w:r w:rsidRPr="00F673EE">
              <w:t>2 of this Act</w:t>
            </w:r>
          </w:p>
        </w:tc>
      </w:tr>
    </w:tbl>
    <w:p w:rsidR="00AF1440" w:rsidRPr="00F673EE" w:rsidRDefault="00AF1440" w:rsidP="00B865E0">
      <w:pPr>
        <w:pStyle w:val="ActHead5"/>
      </w:pPr>
      <w:bookmarkStart w:id="84" w:name="_Toc532465301"/>
      <w:r w:rsidRPr="00F673EE">
        <w:rPr>
          <w:rStyle w:val="CharSectno"/>
        </w:rPr>
        <w:t>9</w:t>
      </w:r>
      <w:r w:rsidRPr="00F673EE">
        <w:t xml:space="preserve">  </w:t>
      </w:r>
      <w:smartTag w:uri="urn:schemas-microsoft-com:office:smarttags" w:element="place">
        <w:r w:rsidRPr="00F673EE">
          <w:t>Tasmania</w:t>
        </w:r>
      </w:smartTag>
      <w:bookmarkEnd w:id="84"/>
    </w:p>
    <w:p w:rsidR="0074383C" w:rsidRPr="00F673EE" w:rsidRDefault="0074383C" w:rsidP="0074383C">
      <w:pPr>
        <w:pStyle w:val="Tabletext"/>
      </w:pPr>
    </w:p>
    <w:tbl>
      <w:tblPr>
        <w:tblW w:w="0" w:type="auto"/>
        <w:tblInd w:w="1101" w:type="dxa"/>
        <w:tblLayout w:type="fixed"/>
        <w:tblLook w:val="0000" w:firstRow="0" w:lastRow="0" w:firstColumn="0" w:lastColumn="0" w:noHBand="0" w:noVBand="0"/>
      </w:tblPr>
      <w:tblGrid>
        <w:gridCol w:w="6076"/>
      </w:tblGrid>
      <w:tr w:rsidR="00AF1440" w:rsidRPr="00F673EE" w:rsidTr="00BA32E2">
        <w:tc>
          <w:tcPr>
            <w:tcW w:w="6076" w:type="dxa"/>
            <w:shd w:val="clear" w:color="auto" w:fill="auto"/>
          </w:tcPr>
          <w:p w:rsidR="00AF1440" w:rsidRPr="00F673EE" w:rsidRDefault="00AF1440" w:rsidP="00781601">
            <w:pPr>
              <w:pStyle w:val="Tabletext"/>
              <w:rPr>
                <w:b/>
              </w:rPr>
            </w:pPr>
            <w:r w:rsidRPr="00F673EE">
              <w:rPr>
                <w:b/>
              </w:rPr>
              <w:t>Firearms and other prohibited or offensive weapons</w:t>
            </w:r>
          </w:p>
        </w:tc>
      </w:tr>
      <w:tr w:rsidR="00AF1440" w:rsidRPr="00F673EE" w:rsidTr="00BA32E2">
        <w:tc>
          <w:tcPr>
            <w:tcW w:w="6076" w:type="dxa"/>
            <w:shd w:val="clear" w:color="auto" w:fill="auto"/>
          </w:tcPr>
          <w:p w:rsidR="00AF1440" w:rsidRPr="00F673EE" w:rsidRDefault="00AF1440" w:rsidP="00D24366">
            <w:pPr>
              <w:pStyle w:val="Tabletext"/>
            </w:pPr>
            <w:r w:rsidRPr="00F673EE">
              <w:rPr>
                <w:i/>
              </w:rPr>
              <w:t>Firearms Act 1996</w:t>
            </w:r>
            <w:r w:rsidRPr="00F673EE">
              <w:rPr>
                <w:i/>
              </w:rPr>
              <w:br/>
            </w:r>
          </w:p>
        </w:tc>
      </w:tr>
      <w:tr w:rsidR="00AF1440" w:rsidRPr="00F673EE" w:rsidTr="00BA32E2">
        <w:tc>
          <w:tcPr>
            <w:tcW w:w="6076" w:type="dxa"/>
            <w:shd w:val="clear" w:color="auto" w:fill="auto"/>
          </w:tcPr>
          <w:p w:rsidR="00AF1440" w:rsidRPr="00F673EE" w:rsidRDefault="00AF1440" w:rsidP="00D24366">
            <w:pPr>
              <w:pStyle w:val="Tabletext"/>
            </w:pPr>
            <w:r w:rsidRPr="00F673EE">
              <w:rPr>
                <w:b/>
              </w:rPr>
              <w:t>Fireworks</w:t>
            </w:r>
          </w:p>
        </w:tc>
      </w:tr>
      <w:tr w:rsidR="00AF1440" w:rsidRPr="00F673EE" w:rsidTr="00BA32E2">
        <w:tc>
          <w:tcPr>
            <w:tcW w:w="6076" w:type="dxa"/>
            <w:shd w:val="clear" w:color="auto" w:fill="auto"/>
          </w:tcPr>
          <w:p w:rsidR="00AF1440" w:rsidRPr="00F673EE" w:rsidRDefault="00AF1440" w:rsidP="00D24366">
            <w:pPr>
              <w:pStyle w:val="Tabletext"/>
            </w:pPr>
            <w:r w:rsidRPr="00F673EE">
              <w:rPr>
                <w:i/>
              </w:rPr>
              <w:t>Dangerous Goods Act 1976</w:t>
            </w:r>
            <w:r w:rsidRPr="00F673EE">
              <w:t xml:space="preserve"> (to the extent that it deals with fireworks)</w:t>
            </w:r>
            <w:r w:rsidRPr="00F673EE">
              <w:br/>
            </w:r>
          </w:p>
        </w:tc>
      </w:tr>
      <w:tr w:rsidR="00AF1440" w:rsidRPr="00F673EE" w:rsidTr="00BA32E2">
        <w:tc>
          <w:tcPr>
            <w:tcW w:w="6076" w:type="dxa"/>
            <w:shd w:val="clear" w:color="auto" w:fill="auto"/>
          </w:tcPr>
          <w:p w:rsidR="00AF1440" w:rsidRPr="00F673EE" w:rsidRDefault="00AF1440" w:rsidP="00D24366">
            <w:pPr>
              <w:pStyle w:val="Tabletext"/>
            </w:pPr>
            <w:r w:rsidRPr="00F673EE">
              <w:rPr>
                <w:b/>
              </w:rPr>
              <w:t>Gaming machines</w:t>
            </w:r>
          </w:p>
        </w:tc>
      </w:tr>
      <w:tr w:rsidR="00AF1440" w:rsidRPr="00F673EE" w:rsidTr="00BA32E2">
        <w:tc>
          <w:tcPr>
            <w:tcW w:w="6076" w:type="dxa"/>
            <w:shd w:val="clear" w:color="auto" w:fill="auto"/>
          </w:tcPr>
          <w:p w:rsidR="00AF1440" w:rsidRPr="00F673EE" w:rsidRDefault="00AF1440" w:rsidP="00D24366">
            <w:pPr>
              <w:pStyle w:val="Tabletext"/>
            </w:pPr>
            <w:r w:rsidRPr="00F673EE">
              <w:rPr>
                <w:i/>
              </w:rPr>
              <w:t>Gaming Control Act 1993</w:t>
            </w:r>
            <w:r w:rsidRPr="00F673EE">
              <w:t xml:space="preserve"> (to the extent that it deals with gaming machines)</w:t>
            </w:r>
            <w:r w:rsidRPr="00F673EE">
              <w:br/>
            </w:r>
          </w:p>
        </w:tc>
      </w:tr>
      <w:tr w:rsidR="00522FF9" w:rsidRPr="00F673EE" w:rsidTr="00BA32E2">
        <w:tc>
          <w:tcPr>
            <w:tcW w:w="6076" w:type="dxa"/>
            <w:shd w:val="clear" w:color="auto" w:fill="auto"/>
          </w:tcPr>
          <w:p w:rsidR="00522FF9" w:rsidRPr="00F673EE" w:rsidRDefault="00522FF9" w:rsidP="00D24366">
            <w:pPr>
              <w:pStyle w:val="Tabletext"/>
            </w:pPr>
            <w:r w:rsidRPr="00F673EE">
              <w:rPr>
                <w:b/>
                <w:bCs/>
                <w:iCs/>
              </w:rPr>
              <w:t>Gas appliances</w:t>
            </w:r>
          </w:p>
        </w:tc>
      </w:tr>
      <w:tr w:rsidR="00522FF9" w:rsidRPr="00F673EE" w:rsidTr="00BA32E2">
        <w:tc>
          <w:tcPr>
            <w:tcW w:w="6076" w:type="dxa"/>
            <w:shd w:val="clear" w:color="auto" w:fill="auto"/>
          </w:tcPr>
          <w:p w:rsidR="00522FF9" w:rsidRPr="00F673EE" w:rsidRDefault="00522FF9" w:rsidP="00D24366">
            <w:pPr>
              <w:pStyle w:val="Tabletext"/>
            </w:pPr>
            <w:r w:rsidRPr="00F673EE">
              <w:rPr>
                <w:i/>
              </w:rPr>
              <w:t>Gas Act 2000</w:t>
            </w:r>
            <w:r w:rsidRPr="00F673EE">
              <w:rPr>
                <w:iCs/>
              </w:rPr>
              <w:t>,</w:t>
            </w:r>
            <w:r w:rsidRPr="00F673EE">
              <w:rPr>
                <w:i/>
              </w:rPr>
              <w:t xml:space="preserve"> </w:t>
            </w:r>
            <w:r w:rsidRPr="00F673EE">
              <w:t>to the extent that it deals with the regulation of gas appliances</w:t>
            </w:r>
            <w:r w:rsidRPr="00F673EE">
              <w:rPr>
                <w:iCs/>
              </w:rPr>
              <w:br/>
            </w:r>
          </w:p>
        </w:tc>
      </w:tr>
      <w:tr w:rsidR="00522FF9" w:rsidRPr="00F673EE" w:rsidTr="00BA32E2">
        <w:tc>
          <w:tcPr>
            <w:tcW w:w="6076" w:type="dxa"/>
            <w:shd w:val="clear" w:color="auto" w:fill="auto"/>
          </w:tcPr>
          <w:p w:rsidR="00522FF9" w:rsidRPr="00F673EE" w:rsidRDefault="00522FF9" w:rsidP="00D24366">
            <w:pPr>
              <w:pStyle w:val="Tabletext"/>
            </w:pPr>
            <w:r w:rsidRPr="00F673EE">
              <w:rPr>
                <w:b/>
                <w:bCs/>
                <w:iCs/>
              </w:rPr>
              <w:lastRenderedPageBreak/>
              <w:t>Hazardous substances, industrial chemicals and dangerous goods</w:t>
            </w:r>
          </w:p>
        </w:tc>
      </w:tr>
      <w:tr w:rsidR="00522FF9" w:rsidRPr="00F673EE" w:rsidTr="00BA32E2">
        <w:tc>
          <w:tcPr>
            <w:tcW w:w="6076" w:type="dxa"/>
            <w:shd w:val="clear" w:color="auto" w:fill="auto"/>
          </w:tcPr>
          <w:p w:rsidR="00522FF9" w:rsidRPr="00F673EE" w:rsidRDefault="00522FF9" w:rsidP="00D24366">
            <w:pPr>
              <w:pStyle w:val="Tabletext"/>
            </w:pPr>
            <w:r w:rsidRPr="00F673EE">
              <w:rPr>
                <w:i/>
              </w:rPr>
              <w:t>Poisons Act 1971</w:t>
            </w:r>
            <w:r w:rsidRPr="00F673EE">
              <w:t>, to the extent that it deals with packaging and labelling of hazardous substances, industrial chemicals and dangerous goods and would be affected by Part</w:t>
            </w:r>
            <w:r w:rsidR="00F673EE">
              <w:t> </w:t>
            </w:r>
            <w:r w:rsidRPr="00F673EE">
              <w:t>2 of this Act</w:t>
            </w:r>
          </w:p>
        </w:tc>
      </w:tr>
      <w:tr w:rsidR="00522FF9" w:rsidRPr="00F673EE" w:rsidTr="00BA32E2">
        <w:tc>
          <w:tcPr>
            <w:tcW w:w="6076" w:type="dxa"/>
            <w:shd w:val="clear" w:color="auto" w:fill="auto"/>
          </w:tcPr>
          <w:p w:rsidR="00522FF9" w:rsidRPr="00F673EE" w:rsidRDefault="00522FF9" w:rsidP="00D24366">
            <w:pPr>
              <w:pStyle w:val="Tabletext"/>
            </w:pPr>
            <w:r w:rsidRPr="00F673EE">
              <w:rPr>
                <w:i/>
              </w:rPr>
              <w:t>Dangerous Goods Act 1976</w:t>
            </w:r>
          </w:p>
        </w:tc>
      </w:tr>
      <w:tr w:rsidR="00522FF9" w:rsidRPr="00F673EE" w:rsidTr="00BA32E2">
        <w:tc>
          <w:tcPr>
            <w:tcW w:w="6076" w:type="dxa"/>
            <w:shd w:val="clear" w:color="auto" w:fill="auto"/>
          </w:tcPr>
          <w:p w:rsidR="00522FF9" w:rsidRPr="00F673EE" w:rsidRDefault="00522FF9" w:rsidP="00D24366">
            <w:pPr>
              <w:pStyle w:val="Tabletext"/>
            </w:pPr>
            <w:r w:rsidRPr="00F673EE">
              <w:rPr>
                <w:i/>
              </w:rPr>
              <w:t>Workplace Health and Safety Act 1995</w:t>
            </w:r>
            <w:r w:rsidRPr="00F673EE">
              <w:rPr>
                <w:i/>
              </w:rPr>
              <w:br/>
            </w:r>
          </w:p>
        </w:tc>
      </w:tr>
      <w:tr w:rsidR="00AF1440" w:rsidRPr="00F673EE" w:rsidTr="00BA32E2">
        <w:tc>
          <w:tcPr>
            <w:tcW w:w="6076" w:type="dxa"/>
            <w:shd w:val="clear" w:color="auto" w:fill="auto"/>
          </w:tcPr>
          <w:p w:rsidR="00AF1440" w:rsidRPr="00F673EE" w:rsidRDefault="00AF1440" w:rsidP="00D24366">
            <w:pPr>
              <w:pStyle w:val="Tabletext"/>
            </w:pPr>
            <w:r w:rsidRPr="00F673EE">
              <w:rPr>
                <w:b/>
              </w:rPr>
              <w:t>Indecent material</w:t>
            </w:r>
          </w:p>
        </w:tc>
      </w:tr>
      <w:tr w:rsidR="00AF1440" w:rsidRPr="00F673EE" w:rsidTr="00BA32E2">
        <w:tc>
          <w:tcPr>
            <w:tcW w:w="6076" w:type="dxa"/>
            <w:shd w:val="clear" w:color="auto" w:fill="auto"/>
          </w:tcPr>
          <w:p w:rsidR="00AF1440" w:rsidRPr="00F673EE" w:rsidRDefault="00AF1440" w:rsidP="00D24366">
            <w:pPr>
              <w:pStyle w:val="Tabletext"/>
            </w:pPr>
            <w:r w:rsidRPr="00F673EE">
              <w:rPr>
                <w:i/>
              </w:rPr>
              <w:t>Classification (Publications, Films and Computer Games) Enforcement Act 1995</w:t>
            </w:r>
            <w:r w:rsidRPr="00F673EE">
              <w:rPr>
                <w:i/>
              </w:rPr>
              <w:br/>
            </w:r>
          </w:p>
        </w:tc>
      </w:tr>
      <w:tr w:rsidR="00AF1440" w:rsidRPr="00F673EE" w:rsidTr="00BA32E2">
        <w:tc>
          <w:tcPr>
            <w:tcW w:w="6076" w:type="dxa"/>
            <w:shd w:val="clear" w:color="auto" w:fill="auto"/>
          </w:tcPr>
          <w:p w:rsidR="00AF1440" w:rsidRPr="00F673EE" w:rsidRDefault="00AF1440" w:rsidP="00D24366">
            <w:pPr>
              <w:pStyle w:val="Tabletext"/>
            </w:pPr>
            <w:r w:rsidRPr="00F673EE">
              <w:rPr>
                <w:b/>
              </w:rPr>
              <w:t>Ozone protection</w:t>
            </w:r>
          </w:p>
        </w:tc>
      </w:tr>
      <w:tr w:rsidR="00AF1440" w:rsidRPr="00F673EE" w:rsidTr="00BA32E2">
        <w:tc>
          <w:tcPr>
            <w:tcW w:w="6076" w:type="dxa"/>
            <w:shd w:val="clear" w:color="auto" w:fill="auto"/>
          </w:tcPr>
          <w:p w:rsidR="00AF1440" w:rsidRPr="00F673EE" w:rsidRDefault="00AF1440" w:rsidP="00D24366">
            <w:pPr>
              <w:pStyle w:val="Tabletext"/>
            </w:pPr>
            <w:r w:rsidRPr="00F673EE">
              <w:rPr>
                <w:i/>
              </w:rPr>
              <w:t>Environmental Management and Pollution Control Act 1994</w:t>
            </w:r>
            <w:r w:rsidRPr="00F673EE">
              <w:t xml:space="preserve"> (to the extent that it deals with ozone protection)</w:t>
            </w:r>
            <w:r w:rsidRPr="00F673EE">
              <w:br/>
            </w:r>
          </w:p>
        </w:tc>
      </w:tr>
      <w:tr w:rsidR="00AF1440" w:rsidRPr="00F673EE" w:rsidTr="00BA32E2">
        <w:tc>
          <w:tcPr>
            <w:tcW w:w="6076" w:type="dxa"/>
            <w:shd w:val="clear" w:color="auto" w:fill="auto"/>
          </w:tcPr>
          <w:p w:rsidR="00AF1440" w:rsidRPr="00F673EE" w:rsidRDefault="00AF1440" w:rsidP="00D24366">
            <w:pPr>
              <w:pStyle w:val="Tabletext"/>
            </w:pPr>
            <w:r w:rsidRPr="00F673EE">
              <w:rPr>
                <w:b/>
              </w:rPr>
              <w:t>Other</w:t>
            </w:r>
          </w:p>
        </w:tc>
      </w:tr>
      <w:tr w:rsidR="00AF1440" w:rsidRPr="00F673EE" w:rsidTr="00BA32E2">
        <w:tc>
          <w:tcPr>
            <w:tcW w:w="6076" w:type="dxa"/>
            <w:shd w:val="clear" w:color="auto" w:fill="auto"/>
          </w:tcPr>
          <w:p w:rsidR="00AF1440" w:rsidRPr="00F673EE" w:rsidRDefault="00AF1440" w:rsidP="00D24366">
            <w:pPr>
              <w:pStyle w:val="Tabletext"/>
            </w:pPr>
            <w:r w:rsidRPr="00F673EE">
              <w:rPr>
                <w:i/>
              </w:rPr>
              <w:t>Living Marine Resources Management Act 1995</w:t>
            </w:r>
            <w:r w:rsidRPr="00F673EE">
              <w:t xml:space="preserve"> (to the extent that it relates to the possession, sale or capture of abalone, crayfish or scallops of a certain minimum size)</w:t>
            </w:r>
            <w:r w:rsidR="00A346E4" w:rsidRPr="00F673EE">
              <w:rPr>
                <w:i/>
              </w:rPr>
              <w:t xml:space="preserve"> </w:t>
            </w:r>
            <w:r w:rsidR="00A346E4" w:rsidRPr="00F673EE">
              <w:rPr>
                <w:i/>
              </w:rPr>
              <w:br/>
            </w:r>
          </w:p>
        </w:tc>
      </w:tr>
      <w:tr w:rsidR="00522FF9" w:rsidRPr="00F673EE" w:rsidTr="00BA32E2">
        <w:tc>
          <w:tcPr>
            <w:tcW w:w="6076" w:type="dxa"/>
            <w:shd w:val="clear" w:color="auto" w:fill="auto"/>
          </w:tcPr>
          <w:p w:rsidR="00522FF9" w:rsidRPr="00F673EE" w:rsidRDefault="00522FF9" w:rsidP="00D24366">
            <w:pPr>
              <w:pStyle w:val="Tabletext"/>
            </w:pPr>
            <w:r w:rsidRPr="00F673EE">
              <w:rPr>
                <w:b/>
                <w:bCs/>
                <w:iCs/>
              </w:rPr>
              <w:t>Therapeutic goods</w:t>
            </w:r>
          </w:p>
        </w:tc>
      </w:tr>
      <w:tr w:rsidR="00522FF9" w:rsidRPr="00F673EE" w:rsidTr="00BA32E2">
        <w:tc>
          <w:tcPr>
            <w:tcW w:w="6076" w:type="dxa"/>
            <w:shd w:val="clear" w:color="auto" w:fill="auto"/>
          </w:tcPr>
          <w:p w:rsidR="00522FF9" w:rsidRPr="00F673EE" w:rsidRDefault="00522FF9" w:rsidP="00D24366">
            <w:pPr>
              <w:pStyle w:val="Tabletext"/>
            </w:pPr>
            <w:r w:rsidRPr="00F673EE">
              <w:rPr>
                <w:i/>
              </w:rPr>
              <w:t>Poisons Act 1971</w:t>
            </w:r>
            <w:r w:rsidRPr="00F673EE">
              <w:t>, to the extent that it deals with packaging and labelling of pharmaceutical drugs and would be affected by Part</w:t>
            </w:r>
            <w:r w:rsidR="00F673EE">
              <w:t> </w:t>
            </w:r>
            <w:r w:rsidRPr="00F673EE">
              <w:t>2 of this Act</w:t>
            </w:r>
          </w:p>
        </w:tc>
      </w:tr>
    </w:tbl>
    <w:p w:rsidR="00AF1440" w:rsidRPr="00F673EE" w:rsidRDefault="00AF1440" w:rsidP="00B865E0">
      <w:pPr>
        <w:pStyle w:val="ActHead5"/>
      </w:pPr>
      <w:bookmarkStart w:id="85" w:name="_Toc532465302"/>
      <w:r w:rsidRPr="00F673EE">
        <w:rPr>
          <w:rStyle w:val="CharSectno"/>
        </w:rPr>
        <w:t>10</w:t>
      </w:r>
      <w:r w:rsidRPr="00F673EE">
        <w:t xml:space="preserve">  </w:t>
      </w:r>
      <w:smartTag w:uri="urn:schemas-microsoft-com:office:smarttags" w:element="place">
        <w:r w:rsidRPr="00F673EE">
          <w:t>Australian Capital Territory</w:t>
        </w:r>
      </w:smartTag>
      <w:bookmarkEnd w:id="85"/>
    </w:p>
    <w:p w:rsidR="0074383C" w:rsidRPr="00F673EE" w:rsidRDefault="0074383C" w:rsidP="0074383C">
      <w:pPr>
        <w:pStyle w:val="Tabletext"/>
      </w:pPr>
    </w:p>
    <w:tbl>
      <w:tblPr>
        <w:tblW w:w="0" w:type="auto"/>
        <w:tblInd w:w="1101" w:type="dxa"/>
        <w:tblLayout w:type="fixed"/>
        <w:tblLook w:val="0000" w:firstRow="0" w:lastRow="0" w:firstColumn="0" w:lastColumn="0" w:noHBand="0" w:noVBand="0"/>
      </w:tblPr>
      <w:tblGrid>
        <w:gridCol w:w="6090"/>
      </w:tblGrid>
      <w:tr w:rsidR="007B6261" w:rsidRPr="00F673EE" w:rsidTr="00BA32E2">
        <w:tc>
          <w:tcPr>
            <w:tcW w:w="6090" w:type="dxa"/>
            <w:shd w:val="clear" w:color="auto" w:fill="auto"/>
          </w:tcPr>
          <w:p w:rsidR="007B6261" w:rsidRPr="00F673EE" w:rsidRDefault="007B6261" w:rsidP="00781601">
            <w:pPr>
              <w:pStyle w:val="Tabletext"/>
              <w:rPr>
                <w:b/>
              </w:rPr>
            </w:pPr>
            <w:r w:rsidRPr="00F673EE">
              <w:rPr>
                <w:b/>
              </w:rPr>
              <w:t>Container deposit scheme</w:t>
            </w:r>
          </w:p>
        </w:tc>
      </w:tr>
      <w:tr w:rsidR="007B6261" w:rsidRPr="00F673EE" w:rsidTr="00BA32E2">
        <w:tc>
          <w:tcPr>
            <w:tcW w:w="6090" w:type="dxa"/>
            <w:shd w:val="clear" w:color="auto" w:fill="auto"/>
          </w:tcPr>
          <w:p w:rsidR="007B6261" w:rsidRPr="00F673EE" w:rsidRDefault="007B6261" w:rsidP="007B6261">
            <w:pPr>
              <w:pStyle w:val="Tabletext"/>
            </w:pPr>
            <w:r w:rsidRPr="00F673EE">
              <w:t>The following laws:</w:t>
            </w:r>
          </w:p>
          <w:p w:rsidR="007B6261" w:rsidRPr="00F673EE" w:rsidRDefault="007B6261" w:rsidP="007B6261">
            <w:pPr>
              <w:pStyle w:val="Tablea"/>
            </w:pPr>
            <w:r w:rsidRPr="00F673EE">
              <w:t>(a) Part</w:t>
            </w:r>
            <w:r w:rsidR="00F673EE">
              <w:t> </w:t>
            </w:r>
            <w:r w:rsidRPr="00F673EE">
              <w:t xml:space="preserve">10A of the </w:t>
            </w:r>
            <w:r w:rsidRPr="00F673EE">
              <w:rPr>
                <w:i/>
              </w:rPr>
              <w:t>Waste Management and Resource Recovery Act 2016</w:t>
            </w:r>
            <w:r w:rsidRPr="00F673EE">
              <w:t>;</w:t>
            </w:r>
          </w:p>
          <w:p w:rsidR="007B6261" w:rsidRPr="00F673EE" w:rsidRDefault="007B6261" w:rsidP="007B6261">
            <w:pPr>
              <w:pStyle w:val="Tablea"/>
            </w:pPr>
            <w:r w:rsidRPr="00F673EE">
              <w:t>(b) all other provisions of that Act, to the extent that they relate to the container deposit scheme established by that Part;</w:t>
            </w:r>
          </w:p>
          <w:p w:rsidR="007B6261" w:rsidRPr="00F673EE" w:rsidRDefault="007B6261" w:rsidP="007849FF">
            <w:pPr>
              <w:pStyle w:val="Tablea"/>
            </w:pPr>
            <w:r w:rsidRPr="00F673EE">
              <w:t>(c) regulations made under that Act, to the extent that they relate to that scheme</w:t>
            </w:r>
          </w:p>
        </w:tc>
      </w:tr>
      <w:tr w:rsidR="00AF1440" w:rsidRPr="00F673EE" w:rsidTr="00BA32E2">
        <w:tc>
          <w:tcPr>
            <w:tcW w:w="6090" w:type="dxa"/>
            <w:shd w:val="clear" w:color="auto" w:fill="auto"/>
          </w:tcPr>
          <w:p w:rsidR="00AF1440" w:rsidRPr="00F673EE" w:rsidRDefault="00AF1440" w:rsidP="00781601">
            <w:pPr>
              <w:pStyle w:val="Tabletext"/>
              <w:rPr>
                <w:b/>
              </w:rPr>
            </w:pPr>
            <w:r w:rsidRPr="00F673EE">
              <w:rPr>
                <w:b/>
              </w:rPr>
              <w:lastRenderedPageBreak/>
              <w:t>Firearms and other prohibited or offensive weapons</w:t>
            </w:r>
          </w:p>
        </w:tc>
      </w:tr>
      <w:tr w:rsidR="00AF1440" w:rsidRPr="00F673EE" w:rsidTr="00BA32E2">
        <w:tc>
          <w:tcPr>
            <w:tcW w:w="6090" w:type="dxa"/>
            <w:shd w:val="clear" w:color="auto" w:fill="auto"/>
          </w:tcPr>
          <w:p w:rsidR="00AF1440" w:rsidRPr="00F673EE" w:rsidRDefault="00AF1440" w:rsidP="00D24366">
            <w:pPr>
              <w:pStyle w:val="Tabletext"/>
            </w:pPr>
            <w:r w:rsidRPr="00F673EE">
              <w:rPr>
                <w:i/>
              </w:rPr>
              <w:t>Weapons Act 1991</w:t>
            </w:r>
            <w:r w:rsidRPr="00F673EE">
              <w:rPr>
                <w:i/>
              </w:rPr>
              <w:br/>
            </w:r>
          </w:p>
        </w:tc>
      </w:tr>
      <w:tr w:rsidR="00AF1440" w:rsidRPr="00F673EE" w:rsidTr="00BA32E2">
        <w:tc>
          <w:tcPr>
            <w:tcW w:w="6090" w:type="dxa"/>
            <w:shd w:val="clear" w:color="auto" w:fill="auto"/>
          </w:tcPr>
          <w:p w:rsidR="00AF1440" w:rsidRPr="00F673EE" w:rsidRDefault="00AF1440" w:rsidP="00D24366">
            <w:pPr>
              <w:pStyle w:val="Tabletext"/>
            </w:pPr>
            <w:r w:rsidRPr="00F673EE">
              <w:rPr>
                <w:b/>
              </w:rPr>
              <w:t>Fireworks</w:t>
            </w:r>
          </w:p>
        </w:tc>
      </w:tr>
      <w:tr w:rsidR="00AF1440" w:rsidRPr="00F673EE" w:rsidTr="00BA32E2">
        <w:tc>
          <w:tcPr>
            <w:tcW w:w="6090" w:type="dxa"/>
            <w:shd w:val="clear" w:color="auto" w:fill="auto"/>
          </w:tcPr>
          <w:p w:rsidR="00AF1440" w:rsidRPr="00F673EE" w:rsidRDefault="00AF1440" w:rsidP="00D24366">
            <w:pPr>
              <w:pStyle w:val="Tabletext"/>
            </w:pPr>
            <w:r w:rsidRPr="00F673EE">
              <w:rPr>
                <w:i/>
              </w:rPr>
              <w:t>Dangerous Goods Act 1975</w:t>
            </w:r>
            <w:r w:rsidRPr="00F673EE">
              <w:t xml:space="preserve"> of New South </w:t>
            </w:r>
            <w:smartTag w:uri="urn:schemas-microsoft-com:office:smarttags" w:element="country-region">
              <w:smartTag w:uri="urn:schemas-microsoft-com:office:smarttags" w:element="place">
                <w:r w:rsidRPr="00F673EE">
                  <w:t>Wales</w:t>
                </w:r>
              </w:smartTag>
            </w:smartTag>
            <w:r w:rsidRPr="00F673EE">
              <w:t xml:space="preserve"> in its application to the </w:t>
            </w:r>
            <w:smartTag w:uri="urn:schemas-microsoft-com:office:smarttags" w:element="State">
              <w:smartTag w:uri="urn:schemas-microsoft-com:office:smarttags" w:element="place">
                <w:r w:rsidRPr="00F673EE">
                  <w:t>Australian Capital Territory</w:t>
                </w:r>
              </w:smartTag>
            </w:smartTag>
            <w:r w:rsidRPr="00F673EE">
              <w:t xml:space="preserve"> (to the extent that it deals with fireworks)</w:t>
            </w:r>
            <w:r w:rsidRPr="00F673EE">
              <w:br/>
            </w:r>
          </w:p>
        </w:tc>
      </w:tr>
      <w:tr w:rsidR="00AF1440" w:rsidRPr="00F673EE" w:rsidTr="00BA32E2">
        <w:tc>
          <w:tcPr>
            <w:tcW w:w="6090" w:type="dxa"/>
            <w:shd w:val="clear" w:color="auto" w:fill="auto"/>
          </w:tcPr>
          <w:p w:rsidR="00AF1440" w:rsidRPr="00F673EE" w:rsidRDefault="00AF1440" w:rsidP="00E87B33">
            <w:pPr>
              <w:pStyle w:val="Tabletext"/>
              <w:keepNext/>
              <w:keepLines/>
            </w:pPr>
            <w:r w:rsidRPr="00F673EE">
              <w:rPr>
                <w:b/>
              </w:rPr>
              <w:t>Gaming machines</w:t>
            </w:r>
          </w:p>
        </w:tc>
      </w:tr>
      <w:tr w:rsidR="00AF1440" w:rsidRPr="00F673EE" w:rsidTr="00BA32E2">
        <w:tc>
          <w:tcPr>
            <w:tcW w:w="6090" w:type="dxa"/>
            <w:shd w:val="clear" w:color="auto" w:fill="auto"/>
          </w:tcPr>
          <w:p w:rsidR="00AF1440" w:rsidRPr="00F673EE" w:rsidRDefault="00AF1440" w:rsidP="00D24366">
            <w:pPr>
              <w:pStyle w:val="Tabletext"/>
            </w:pPr>
            <w:r w:rsidRPr="00F673EE">
              <w:rPr>
                <w:i/>
              </w:rPr>
              <w:t>Gaming Machine Act 1987</w:t>
            </w:r>
            <w:r w:rsidRPr="00F673EE">
              <w:rPr>
                <w:i/>
              </w:rPr>
              <w:br/>
            </w:r>
          </w:p>
        </w:tc>
      </w:tr>
      <w:tr w:rsidR="00522FF9" w:rsidRPr="00F673EE" w:rsidTr="00BA32E2">
        <w:tc>
          <w:tcPr>
            <w:tcW w:w="6090" w:type="dxa"/>
            <w:shd w:val="clear" w:color="auto" w:fill="auto"/>
          </w:tcPr>
          <w:p w:rsidR="00522FF9" w:rsidRPr="00F673EE" w:rsidRDefault="00522FF9" w:rsidP="00D24366">
            <w:pPr>
              <w:pStyle w:val="Tabletext"/>
            </w:pPr>
            <w:r w:rsidRPr="00F673EE">
              <w:rPr>
                <w:b/>
                <w:bCs/>
                <w:iCs/>
              </w:rPr>
              <w:t>Gas appliances</w:t>
            </w:r>
          </w:p>
        </w:tc>
      </w:tr>
      <w:tr w:rsidR="00522FF9" w:rsidRPr="00F673EE" w:rsidTr="00BA32E2">
        <w:tc>
          <w:tcPr>
            <w:tcW w:w="6090" w:type="dxa"/>
            <w:shd w:val="clear" w:color="auto" w:fill="auto"/>
          </w:tcPr>
          <w:p w:rsidR="00522FF9" w:rsidRPr="00F673EE" w:rsidRDefault="00522FF9" w:rsidP="00D24366">
            <w:pPr>
              <w:pStyle w:val="Tabletext"/>
            </w:pPr>
            <w:r w:rsidRPr="00F673EE">
              <w:rPr>
                <w:i/>
              </w:rPr>
              <w:t>Gas Safety Act 2000</w:t>
            </w:r>
            <w:r w:rsidRPr="00F673EE">
              <w:rPr>
                <w:iCs/>
              </w:rPr>
              <w:t>,</w:t>
            </w:r>
            <w:r w:rsidRPr="00F673EE">
              <w:rPr>
                <w:i/>
              </w:rPr>
              <w:t xml:space="preserve"> </w:t>
            </w:r>
            <w:r w:rsidRPr="00F673EE">
              <w:t>to the extent that it deals with the regulation of gas appliances</w:t>
            </w:r>
            <w:r w:rsidRPr="00F673EE">
              <w:rPr>
                <w:iCs/>
              </w:rPr>
              <w:br/>
            </w:r>
          </w:p>
        </w:tc>
      </w:tr>
      <w:tr w:rsidR="00522FF9" w:rsidRPr="00F673EE" w:rsidTr="00BA32E2">
        <w:tc>
          <w:tcPr>
            <w:tcW w:w="6090" w:type="dxa"/>
            <w:shd w:val="clear" w:color="auto" w:fill="auto"/>
          </w:tcPr>
          <w:p w:rsidR="00522FF9" w:rsidRPr="00F673EE" w:rsidRDefault="00522FF9" w:rsidP="00D24366">
            <w:pPr>
              <w:pStyle w:val="Tabletext"/>
            </w:pPr>
            <w:r w:rsidRPr="00F673EE">
              <w:rPr>
                <w:b/>
                <w:bCs/>
                <w:iCs/>
              </w:rPr>
              <w:t>Hazardous substances, industrial chemicals and dangerous goods</w:t>
            </w:r>
          </w:p>
        </w:tc>
      </w:tr>
      <w:tr w:rsidR="00522FF9" w:rsidRPr="00F673EE" w:rsidTr="00BA32E2">
        <w:tc>
          <w:tcPr>
            <w:tcW w:w="6090" w:type="dxa"/>
            <w:shd w:val="clear" w:color="auto" w:fill="auto"/>
          </w:tcPr>
          <w:p w:rsidR="00522FF9" w:rsidRPr="00F673EE" w:rsidRDefault="00522FF9" w:rsidP="00D24366">
            <w:pPr>
              <w:pStyle w:val="Tabletext"/>
            </w:pPr>
            <w:r w:rsidRPr="00F673EE">
              <w:rPr>
                <w:i/>
              </w:rPr>
              <w:t>Poisons and Drugs Act 1978</w:t>
            </w:r>
            <w:r w:rsidRPr="00F673EE">
              <w:rPr>
                <w:iCs/>
              </w:rPr>
              <w:t>,</w:t>
            </w:r>
            <w:r w:rsidRPr="00F673EE">
              <w:t xml:space="preserve"> to the extent that it deals with packaging and labelling of hazardous substances, industrial chemicals and dangerous goods and would be affected by Part</w:t>
            </w:r>
            <w:r w:rsidR="00F673EE">
              <w:t> </w:t>
            </w:r>
            <w:r w:rsidRPr="00F673EE">
              <w:t>2 of this Act</w:t>
            </w:r>
          </w:p>
        </w:tc>
      </w:tr>
      <w:tr w:rsidR="00522FF9" w:rsidRPr="00F673EE" w:rsidTr="00BA32E2">
        <w:tc>
          <w:tcPr>
            <w:tcW w:w="6090" w:type="dxa"/>
            <w:shd w:val="clear" w:color="auto" w:fill="auto"/>
          </w:tcPr>
          <w:p w:rsidR="00522FF9" w:rsidRPr="00F673EE" w:rsidRDefault="00522FF9" w:rsidP="00D24366">
            <w:pPr>
              <w:pStyle w:val="Tabletext"/>
            </w:pPr>
            <w:r w:rsidRPr="00F673EE">
              <w:rPr>
                <w:i/>
              </w:rPr>
              <w:t>Occupational Health and Safety Act 1989</w:t>
            </w:r>
            <w:r w:rsidRPr="00F673EE">
              <w:rPr>
                <w:i/>
              </w:rPr>
              <w:br/>
            </w:r>
          </w:p>
        </w:tc>
      </w:tr>
      <w:tr w:rsidR="00AF1440" w:rsidRPr="00F673EE" w:rsidTr="00BA32E2">
        <w:tc>
          <w:tcPr>
            <w:tcW w:w="6090" w:type="dxa"/>
            <w:shd w:val="clear" w:color="auto" w:fill="auto"/>
          </w:tcPr>
          <w:p w:rsidR="00AF1440" w:rsidRPr="00F673EE" w:rsidRDefault="00AF1440" w:rsidP="00D24366">
            <w:pPr>
              <w:pStyle w:val="Tabletext"/>
            </w:pPr>
            <w:r w:rsidRPr="00F673EE">
              <w:rPr>
                <w:b/>
              </w:rPr>
              <w:t>Indecent material</w:t>
            </w:r>
          </w:p>
        </w:tc>
      </w:tr>
      <w:tr w:rsidR="00AF1440" w:rsidRPr="00F673EE" w:rsidTr="00BA32E2">
        <w:tc>
          <w:tcPr>
            <w:tcW w:w="6090" w:type="dxa"/>
            <w:shd w:val="clear" w:color="auto" w:fill="auto"/>
          </w:tcPr>
          <w:p w:rsidR="00AF1440" w:rsidRPr="00F673EE" w:rsidRDefault="00AF1440" w:rsidP="00D24366">
            <w:pPr>
              <w:pStyle w:val="Tabletext"/>
            </w:pPr>
            <w:r w:rsidRPr="00F673EE">
              <w:rPr>
                <w:i/>
              </w:rPr>
              <w:t xml:space="preserve">Business Franchise </w:t>
            </w:r>
            <w:r w:rsidR="00285F01" w:rsidRPr="00F673EE">
              <w:rPr>
                <w:i/>
              </w:rPr>
              <w:t>(</w:t>
            </w:r>
            <w:r w:rsidRPr="00F673EE">
              <w:rPr>
                <w:i/>
              </w:rPr>
              <w:t>“X” Videos) Act 1990</w:t>
            </w:r>
          </w:p>
        </w:tc>
      </w:tr>
      <w:tr w:rsidR="00AF1440" w:rsidRPr="00F673EE" w:rsidTr="00BA32E2">
        <w:tc>
          <w:tcPr>
            <w:tcW w:w="6090" w:type="dxa"/>
            <w:shd w:val="clear" w:color="auto" w:fill="auto"/>
          </w:tcPr>
          <w:p w:rsidR="00AF1440" w:rsidRPr="00F673EE" w:rsidRDefault="00AF1440" w:rsidP="00D24366">
            <w:pPr>
              <w:pStyle w:val="Tabletext"/>
            </w:pPr>
            <w:r w:rsidRPr="00F673EE">
              <w:rPr>
                <w:i/>
              </w:rPr>
              <w:t>Classification (Publications, Films and Computer Games) (Enforcement) Act 1995</w:t>
            </w:r>
            <w:r w:rsidRPr="00F673EE">
              <w:rPr>
                <w:i/>
              </w:rPr>
              <w:br/>
            </w:r>
          </w:p>
        </w:tc>
      </w:tr>
      <w:tr w:rsidR="00AF1440" w:rsidRPr="00F673EE" w:rsidTr="00BA32E2">
        <w:tc>
          <w:tcPr>
            <w:tcW w:w="6090" w:type="dxa"/>
            <w:shd w:val="clear" w:color="auto" w:fill="auto"/>
          </w:tcPr>
          <w:p w:rsidR="00AF1440" w:rsidRPr="00F673EE" w:rsidRDefault="00AF1440" w:rsidP="00D24366">
            <w:pPr>
              <w:pStyle w:val="Tabletext"/>
            </w:pPr>
            <w:r w:rsidRPr="00F673EE">
              <w:rPr>
                <w:b/>
              </w:rPr>
              <w:t>Ozone protection</w:t>
            </w:r>
          </w:p>
        </w:tc>
      </w:tr>
      <w:tr w:rsidR="00AF1440" w:rsidRPr="00F673EE" w:rsidTr="00BA32E2">
        <w:tc>
          <w:tcPr>
            <w:tcW w:w="6090" w:type="dxa"/>
            <w:shd w:val="clear" w:color="auto" w:fill="auto"/>
          </w:tcPr>
          <w:p w:rsidR="00AF1440" w:rsidRPr="00F673EE" w:rsidRDefault="00AF1440" w:rsidP="00D24366">
            <w:pPr>
              <w:pStyle w:val="Tabletext"/>
            </w:pPr>
            <w:r w:rsidRPr="00F673EE">
              <w:rPr>
                <w:i/>
              </w:rPr>
              <w:t>Ozone Protection Act 1991</w:t>
            </w:r>
            <w:r w:rsidR="00A346E4" w:rsidRPr="00F673EE">
              <w:rPr>
                <w:i/>
              </w:rPr>
              <w:br/>
            </w:r>
          </w:p>
        </w:tc>
      </w:tr>
      <w:tr w:rsidR="00522FF9" w:rsidRPr="00F673EE" w:rsidTr="00BA32E2">
        <w:tc>
          <w:tcPr>
            <w:tcW w:w="6090" w:type="dxa"/>
            <w:shd w:val="clear" w:color="auto" w:fill="auto"/>
          </w:tcPr>
          <w:p w:rsidR="00522FF9" w:rsidRPr="00F673EE" w:rsidRDefault="00522FF9" w:rsidP="00D24366">
            <w:pPr>
              <w:pStyle w:val="Tabletext"/>
            </w:pPr>
            <w:r w:rsidRPr="00F673EE">
              <w:rPr>
                <w:b/>
                <w:bCs/>
                <w:iCs/>
              </w:rPr>
              <w:t>Therapeutic goods</w:t>
            </w:r>
          </w:p>
        </w:tc>
      </w:tr>
      <w:tr w:rsidR="00522FF9" w:rsidRPr="00F673EE" w:rsidTr="00BA32E2">
        <w:tc>
          <w:tcPr>
            <w:tcW w:w="6090" w:type="dxa"/>
            <w:shd w:val="clear" w:color="auto" w:fill="auto"/>
          </w:tcPr>
          <w:p w:rsidR="00522FF9" w:rsidRPr="00F673EE" w:rsidRDefault="00522FF9" w:rsidP="00D24366">
            <w:pPr>
              <w:pStyle w:val="Tabletext"/>
            </w:pPr>
            <w:r w:rsidRPr="00F673EE">
              <w:rPr>
                <w:i/>
              </w:rPr>
              <w:t>Poisons and Drugs Act 1978</w:t>
            </w:r>
            <w:r w:rsidRPr="00F673EE">
              <w:t>, to the extent that it deals with packaging and labelling of pharmaceutical drugs and would be affected by Part</w:t>
            </w:r>
            <w:r w:rsidR="00F673EE">
              <w:t> </w:t>
            </w:r>
            <w:r w:rsidRPr="00F673EE">
              <w:t>2 of this Act</w:t>
            </w:r>
          </w:p>
        </w:tc>
      </w:tr>
    </w:tbl>
    <w:p w:rsidR="00AF1440" w:rsidRPr="00F673EE" w:rsidRDefault="00AF1440" w:rsidP="00AF1440">
      <w:pPr>
        <w:pStyle w:val="ActHead5"/>
      </w:pPr>
      <w:bookmarkStart w:id="86" w:name="_Toc532465303"/>
      <w:r w:rsidRPr="00F673EE">
        <w:rPr>
          <w:rStyle w:val="CharSectno"/>
        </w:rPr>
        <w:t>11</w:t>
      </w:r>
      <w:r w:rsidRPr="00F673EE">
        <w:t xml:space="preserve">  </w:t>
      </w:r>
      <w:smartTag w:uri="urn:schemas-microsoft-com:office:smarttags" w:element="State">
        <w:smartTag w:uri="urn:schemas-microsoft-com:office:smarttags" w:element="place">
          <w:r w:rsidRPr="00F673EE">
            <w:t>Northern Territory</w:t>
          </w:r>
        </w:smartTag>
      </w:smartTag>
      <w:bookmarkEnd w:id="86"/>
    </w:p>
    <w:p w:rsidR="0074383C" w:rsidRPr="00F673EE" w:rsidRDefault="0074383C" w:rsidP="0074383C">
      <w:pPr>
        <w:pStyle w:val="Tabletext"/>
      </w:pPr>
    </w:p>
    <w:tbl>
      <w:tblPr>
        <w:tblW w:w="0" w:type="auto"/>
        <w:tblInd w:w="1101" w:type="dxa"/>
        <w:tblLayout w:type="fixed"/>
        <w:tblLook w:val="0000" w:firstRow="0" w:lastRow="0" w:firstColumn="0" w:lastColumn="0" w:noHBand="0" w:noVBand="0"/>
      </w:tblPr>
      <w:tblGrid>
        <w:gridCol w:w="6090"/>
      </w:tblGrid>
      <w:tr w:rsidR="00AF1440" w:rsidRPr="00F673EE" w:rsidTr="00BA32E2">
        <w:tc>
          <w:tcPr>
            <w:tcW w:w="6090" w:type="dxa"/>
            <w:shd w:val="clear" w:color="auto" w:fill="auto"/>
          </w:tcPr>
          <w:p w:rsidR="00AF1440" w:rsidRPr="00F673EE" w:rsidRDefault="00AF1440" w:rsidP="00781601">
            <w:pPr>
              <w:pStyle w:val="Tabletext"/>
              <w:rPr>
                <w:b/>
              </w:rPr>
            </w:pPr>
            <w:r w:rsidRPr="00F673EE">
              <w:rPr>
                <w:b/>
              </w:rPr>
              <w:lastRenderedPageBreak/>
              <w:t>Firearms and other prohibited or offensive weapons</w:t>
            </w:r>
          </w:p>
        </w:tc>
      </w:tr>
      <w:tr w:rsidR="00AF1440" w:rsidRPr="00F673EE" w:rsidTr="00BA32E2">
        <w:tc>
          <w:tcPr>
            <w:tcW w:w="6090" w:type="dxa"/>
            <w:shd w:val="clear" w:color="auto" w:fill="auto"/>
          </w:tcPr>
          <w:p w:rsidR="00AF1440" w:rsidRPr="00F673EE" w:rsidRDefault="00AF1440" w:rsidP="00D24366">
            <w:pPr>
              <w:pStyle w:val="Tabletext"/>
            </w:pPr>
            <w:r w:rsidRPr="00F673EE">
              <w:rPr>
                <w:i/>
              </w:rPr>
              <w:t>Firearms Act 1992</w:t>
            </w:r>
            <w:r w:rsidRPr="00F673EE">
              <w:rPr>
                <w:i/>
              </w:rPr>
              <w:br/>
            </w:r>
          </w:p>
        </w:tc>
      </w:tr>
      <w:tr w:rsidR="00AF1440" w:rsidRPr="00F673EE" w:rsidTr="00BA32E2">
        <w:tc>
          <w:tcPr>
            <w:tcW w:w="6090" w:type="dxa"/>
            <w:shd w:val="clear" w:color="auto" w:fill="auto"/>
          </w:tcPr>
          <w:p w:rsidR="00AF1440" w:rsidRPr="00F673EE" w:rsidRDefault="00AF1440" w:rsidP="00D24366">
            <w:pPr>
              <w:pStyle w:val="Tabletext"/>
            </w:pPr>
            <w:r w:rsidRPr="00F673EE">
              <w:rPr>
                <w:b/>
              </w:rPr>
              <w:t>Fireworks</w:t>
            </w:r>
          </w:p>
        </w:tc>
      </w:tr>
      <w:tr w:rsidR="00AF1440" w:rsidRPr="00F673EE" w:rsidTr="00BA32E2">
        <w:tc>
          <w:tcPr>
            <w:tcW w:w="6090" w:type="dxa"/>
            <w:shd w:val="clear" w:color="auto" w:fill="auto"/>
          </w:tcPr>
          <w:p w:rsidR="00AF1440" w:rsidRPr="00F673EE" w:rsidRDefault="00AF1440" w:rsidP="00D24366">
            <w:pPr>
              <w:pStyle w:val="Tabletext"/>
            </w:pPr>
            <w:r w:rsidRPr="00F673EE">
              <w:rPr>
                <w:i/>
              </w:rPr>
              <w:t>Dangerous Goods Act 1980</w:t>
            </w:r>
            <w:r w:rsidRPr="00F673EE">
              <w:t xml:space="preserve"> (to the extent that it deals with fireworks)</w:t>
            </w:r>
            <w:r w:rsidRPr="00F673EE">
              <w:br/>
            </w:r>
          </w:p>
        </w:tc>
      </w:tr>
      <w:tr w:rsidR="00AF1440" w:rsidRPr="00F673EE" w:rsidTr="00BA32E2">
        <w:tc>
          <w:tcPr>
            <w:tcW w:w="6090" w:type="dxa"/>
            <w:shd w:val="clear" w:color="auto" w:fill="auto"/>
          </w:tcPr>
          <w:p w:rsidR="00AF1440" w:rsidRPr="00F673EE" w:rsidRDefault="00AF1440" w:rsidP="00E87B33">
            <w:pPr>
              <w:pStyle w:val="Tabletext"/>
              <w:keepNext/>
              <w:keepLines/>
            </w:pPr>
            <w:r w:rsidRPr="00F673EE">
              <w:rPr>
                <w:b/>
              </w:rPr>
              <w:t>Gaming machines</w:t>
            </w:r>
          </w:p>
        </w:tc>
      </w:tr>
      <w:tr w:rsidR="00AF1440" w:rsidRPr="00F673EE" w:rsidTr="00BA32E2">
        <w:tc>
          <w:tcPr>
            <w:tcW w:w="6090" w:type="dxa"/>
            <w:shd w:val="clear" w:color="auto" w:fill="auto"/>
          </w:tcPr>
          <w:p w:rsidR="00AF1440" w:rsidRPr="00F673EE" w:rsidRDefault="00AF1440" w:rsidP="00D24366">
            <w:pPr>
              <w:pStyle w:val="Tabletext"/>
            </w:pPr>
            <w:r w:rsidRPr="00F673EE">
              <w:rPr>
                <w:i/>
              </w:rPr>
              <w:t>Gaming Control Act 1993</w:t>
            </w:r>
            <w:r w:rsidRPr="00F673EE">
              <w:rPr>
                <w:i/>
              </w:rPr>
              <w:br/>
            </w:r>
          </w:p>
        </w:tc>
      </w:tr>
      <w:tr w:rsidR="00522FF9" w:rsidRPr="00F673EE" w:rsidTr="00BA32E2">
        <w:tc>
          <w:tcPr>
            <w:tcW w:w="6090" w:type="dxa"/>
            <w:shd w:val="clear" w:color="auto" w:fill="auto"/>
          </w:tcPr>
          <w:p w:rsidR="00522FF9" w:rsidRPr="00F673EE" w:rsidRDefault="00522FF9" w:rsidP="00D24366">
            <w:pPr>
              <w:pStyle w:val="Tabletext"/>
            </w:pPr>
            <w:r w:rsidRPr="00F673EE">
              <w:rPr>
                <w:b/>
                <w:bCs/>
                <w:iCs/>
              </w:rPr>
              <w:t>Gas appliances</w:t>
            </w:r>
          </w:p>
        </w:tc>
      </w:tr>
      <w:tr w:rsidR="00522FF9" w:rsidRPr="00F673EE" w:rsidTr="00BA32E2">
        <w:tc>
          <w:tcPr>
            <w:tcW w:w="6090" w:type="dxa"/>
            <w:shd w:val="clear" w:color="auto" w:fill="auto"/>
          </w:tcPr>
          <w:p w:rsidR="00522FF9" w:rsidRPr="00F673EE" w:rsidRDefault="00522FF9" w:rsidP="00D24366">
            <w:pPr>
              <w:pStyle w:val="Tabletext"/>
            </w:pPr>
            <w:r w:rsidRPr="00F673EE">
              <w:rPr>
                <w:i/>
              </w:rPr>
              <w:t>Dangerous Goods Act</w:t>
            </w:r>
            <w:r w:rsidRPr="00F673EE">
              <w:rPr>
                <w:iCs/>
              </w:rPr>
              <w:t xml:space="preserve">, </w:t>
            </w:r>
            <w:r w:rsidRPr="00F673EE">
              <w:t>to the extent that it deals with the regulation of gas appliances</w:t>
            </w:r>
            <w:r w:rsidRPr="00F673EE">
              <w:rPr>
                <w:iCs/>
              </w:rPr>
              <w:br/>
            </w:r>
          </w:p>
        </w:tc>
      </w:tr>
      <w:tr w:rsidR="00522FF9" w:rsidRPr="00F673EE" w:rsidTr="00BA32E2">
        <w:tc>
          <w:tcPr>
            <w:tcW w:w="6090" w:type="dxa"/>
            <w:shd w:val="clear" w:color="auto" w:fill="auto"/>
          </w:tcPr>
          <w:p w:rsidR="00522FF9" w:rsidRPr="00F673EE" w:rsidRDefault="00522FF9" w:rsidP="00D24366">
            <w:pPr>
              <w:pStyle w:val="Tabletext"/>
            </w:pPr>
            <w:r w:rsidRPr="00F673EE">
              <w:rPr>
                <w:b/>
                <w:bCs/>
                <w:iCs/>
              </w:rPr>
              <w:t>Hazardous substances, industrial chemicals and dangerous goods</w:t>
            </w:r>
          </w:p>
        </w:tc>
      </w:tr>
      <w:tr w:rsidR="00522FF9" w:rsidRPr="00F673EE" w:rsidTr="00BA32E2">
        <w:tc>
          <w:tcPr>
            <w:tcW w:w="6090" w:type="dxa"/>
            <w:shd w:val="clear" w:color="auto" w:fill="auto"/>
          </w:tcPr>
          <w:p w:rsidR="00522FF9" w:rsidRPr="00F673EE" w:rsidRDefault="00522FF9" w:rsidP="00D24366">
            <w:pPr>
              <w:pStyle w:val="Tabletext"/>
            </w:pPr>
            <w:r w:rsidRPr="00F673EE">
              <w:rPr>
                <w:i/>
              </w:rPr>
              <w:t>Poisons and Dangerous Drugs Act</w:t>
            </w:r>
            <w:r w:rsidRPr="00F673EE">
              <w:rPr>
                <w:iCs/>
              </w:rPr>
              <w:t>,</w:t>
            </w:r>
            <w:r w:rsidRPr="00F673EE">
              <w:t xml:space="preserve"> to the extent that it deals with packaging and labelling of hazardous substances, industrial chemicals and dangerous goods and would be affected by Part</w:t>
            </w:r>
            <w:r w:rsidR="00F673EE">
              <w:t> </w:t>
            </w:r>
            <w:r w:rsidRPr="00F673EE">
              <w:t>2 of this Act</w:t>
            </w:r>
          </w:p>
        </w:tc>
      </w:tr>
      <w:tr w:rsidR="00522FF9" w:rsidRPr="00F673EE" w:rsidTr="00BA32E2">
        <w:tc>
          <w:tcPr>
            <w:tcW w:w="6090" w:type="dxa"/>
            <w:shd w:val="clear" w:color="auto" w:fill="auto"/>
          </w:tcPr>
          <w:p w:rsidR="00522FF9" w:rsidRPr="00F673EE" w:rsidRDefault="00522FF9" w:rsidP="00D24366">
            <w:pPr>
              <w:pStyle w:val="Tabletext"/>
            </w:pPr>
            <w:r w:rsidRPr="00F673EE">
              <w:rPr>
                <w:i/>
              </w:rPr>
              <w:t>Dangerous Goods Act</w:t>
            </w:r>
          </w:p>
        </w:tc>
      </w:tr>
      <w:tr w:rsidR="00522FF9" w:rsidRPr="00F673EE" w:rsidTr="00BA32E2">
        <w:tc>
          <w:tcPr>
            <w:tcW w:w="6090" w:type="dxa"/>
            <w:shd w:val="clear" w:color="auto" w:fill="auto"/>
          </w:tcPr>
          <w:p w:rsidR="00522FF9" w:rsidRPr="00F673EE" w:rsidRDefault="00522FF9" w:rsidP="00D24366">
            <w:pPr>
              <w:pStyle w:val="Tabletext"/>
            </w:pPr>
            <w:r w:rsidRPr="00F673EE">
              <w:rPr>
                <w:i/>
              </w:rPr>
              <w:t>Work Health Act</w:t>
            </w:r>
            <w:r w:rsidRPr="00F673EE">
              <w:rPr>
                <w:i/>
              </w:rPr>
              <w:br/>
            </w:r>
          </w:p>
        </w:tc>
      </w:tr>
      <w:tr w:rsidR="00AF1440" w:rsidRPr="00F673EE" w:rsidTr="00BA32E2">
        <w:tc>
          <w:tcPr>
            <w:tcW w:w="6090" w:type="dxa"/>
            <w:shd w:val="clear" w:color="auto" w:fill="auto"/>
          </w:tcPr>
          <w:p w:rsidR="00AF1440" w:rsidRPr="00F673EE" w:rsidRDefault="00AF1440" w:rsidP="00D24366">
            <w:pPr>
              <w:pStyle w:val="Tabletext"/>
            </w:pPr>
            <w:r w:rsidRPr="00F673EE">
              <w:rPr>
                <w:b/>
              </w:rPr>
              <w:t>Indecent material</w:t>
            </w:r>
          </w:p>
        </w:tc>
      </w:tr>
      <w:tr w:rsidR="00AF1440" w:rsidRPr="00F673EE" w:rsidTr="00BA32E2">
        <w:tc>
          <w:tcPr>
            <w:tcW w:w="6090" w:type="dxa"/>
            <w:shd w:val="clear" w:color="auto" w:fill="auto"/>
          </w:tcPr>
          <w:p w:rsidR="00AF1440" w:rsidRPr="00F673EE" w:rsidRDefault="00AF1440" w:rsidP="00D24366">
            <w:pPr>
              <w:pStyle w:val="Tabletext"/>
            </w:pPr>
            <w:r w:rsidRPr="00F673EE">
              <w:rPr>
                <w:i/>
              </w:rPr>
              <w:t>Classification of Publications and Films Act 1985</w:t>
            </w:r>
            <w:r w:rsidRPr="00F673EE">
              <w:rPr>
                <w:i/>
              </w:rPr>
              <w:br/>
            </w:r>
          </w:p>
        </w:tc>
      </w:tr>
      <w:tr w:rsidR="00AF1440" w:rsidRPr="00F673EE" w:rsidTr="00BA32E2">
        <w:tc>
          <w:tcPr>
            <w:tcW w:w="6090" w:type="dxa"/>
            <w:shd w:val="clear" w:color="auto" w:fill="auto"/>
          </w:tcPr>
          <w:p w:rsidR="00AF1440" w:rsidRPr="00F673EE" w:rsidRDefault="00AF1440" w:rsidP="00D24366">
            <w:pPr>
              <w:pStyle w:val="Tabletext"/>
            </w:pPr>
            <w:r w:rsidRPr="00F673EE">
              <w:rPr>
                <w:b/>
              </w:rPr>
              <w:t>Ozone protection</w:t>
            </w:r>
          </w:p>
        </w:tc>
      </w:tr>
      <w:tr w:rsidR="00AF1440" w:rsidRPr="00F673EE" w:rsidTr="00BA32E2">
        <w:tc>
          <w:tcPr>
            <w:tcW w:w="6090" w:type="dxa"/>
            <w:shd w:val="clear" w:color="auto" w:fill="auto"/>
          </w:tcPr>
          <w:p w:rsidR="00AF1440" w:rsidRPr="00F673EE" w:rsidRDefault="00AF1440" w:rsidP="00D24366">
            <w:pPr>
              <w:pStyle w:val="Tabletext"/>
            </w:pPr>
            <w:r w:rsidRPr="00F673EE">
              <w:rPr>
                <w:i/>
              </w:rPr>
              <w:t>Ozone Protection Act 1990</w:t>
            </w:r>
            <w:r w:rsidR="00A346E4" w:rsidRPr="00F673EE">
              <w:rPr>
                <w:i/>
              </w:rPr>
              <w:br/>
            </w:r>
          </w:p>
        </w:tc>
      </w:tr>
      <w:tr w:rsidR="00522FF9" w:rsidRPr="00F673EE" w:rsidTr="00BA32E2">
        <w:tc>
          <w:tcPr>
            <w:tcW w:w="6090" w:type="dxa"/>
            <w:shd w:val="clear" w:color="auto" w:fill="auto"/>
          </w:tcPr>
          <w:p w:rsidR="00522FF9" w:rsidRPr="00F673EE" w:rsidRDefault="00522FF9" w:rsidP="00D24366">
            <w:pPr>
              <w:pStyle w:val="Tabletext"/>
            </w:pPr>
            <w:r w:rsidRPr="00F673EE">
              <w:rPr>
                <w:b/>
                <w:bCs/>
                <w:iCs/>
              </w:rPr>
              <w:t>Therapeutic goods</w:t>
            </w:r>
          </w:p>
        </w:tc>
      </w:tr>
      <w:tr w:rsidR="00522FF9" w:rsidRPr="00F673EE" w:rsidTr="00BA32E2">
        <w:tc>
          <w:tcPr>
            <w:tcW w:w="6090" w:type="dxa"/>
            <w:shd w:val="clear" w:color="auto" w:fill="auto"/>
          </w:tcPr>
          <w:p w:rsidR="00522FF9" w:rsidRPr="00F673EE" w:rsidRDefault="00522FF9" w:rsidP="00D24366">
            <w:pPr>
              <w:pStyle w:val="Tabletext"/>
            </w:pPr>
            <w:r w:rsidRPr="00F673EE">
              <w:rPr>
                <w:i/>
              </w:rPr>
              <w:t>Poisons and Dangerous Drugs Act</w:t>
            </w:r>
            <w:r w:rsidRPr="00F673EE">
              <w:rPr>
                <w:iCs/>
              </w:rPr>
              <w:t>,</w:t>
            </w:r>
            <w:r w:rsidRPr="00F673EE">
              <w:rPr>
                <w:i/>
              </w:rPr>
              <w:t xml:space="preserve"> </w:t>
            </w:r>
            <w:r w:rsidRPr="00F673EE">
              <w:t>to the extent that it deals with packaging and labelling of pharmaceutical drugs and would be affected by Part</w:t>
            </w:r>
            <w:r w:rsidR="00F673EE">
              <w:t> </w:t>
            </w:r>
            <w:r w:rsidRPr="00F673EE">
              <w:t>2 of this Act</w:t>
            </w:r>
          </w:p>
        </w:tc>
      </w:tr>
    </w:tbl>
    <w:p w:rsidR="00BE5F14" w:rsidRPr="00F673EE" w:rsidRDefault="00BE5F14">
      <w:pPr>
        <w:sectPr w:rsidR="00BE5F14" w:rsidRPr="00F673EE" w:rsidSect="00DC7DD5">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AF1440" w:rsidRPr="00F673EE" w:rsidRDefault="00AF1440" w:rsidP="00AF1440">
      <w:pPr>
        <w:pStyle w:val="ActHead1"/>
      </w:pPr>
      <w:bookmarkStart w:id="87" w:name="_Toc532465304"/>
      <w:r w:rsidRPr="00F673EE">
        <w:rPr>
          <w:rStyle w:val="CharChapNo"/>
        </w:rPr>
        <w:lastRenderedPageBreak/>
        <w:t>Schedule</w:t>
      </w:r>
      <w:r w:rsidR="00F673EE" w:rsidRPr="00F673EE">
        <w:rPr>
          <w:rStyle w:val="CharChapNo"/>
        </w:rPr>
        <w:t> </w:t>
      </w:r>
      <w:r w:rsidRPr="00F673EE">
        <w:rPr>
          <w:rStyle w:val="CharChapNo"/>
        </w:rPr>
        <w:t>3</w:t>
      </w:r>
      <w:r w:rsidRPr="00F673EE">
        <w:t>—</w:t>
      </w:r>
      <w:r w:rsidRPr="00F673EE">
        <w:rPr>
          <w:rStyle w:val="CharChapText"/>
        </w:rPr>
        <w:t>Special exemptions</w:t>
      </w:r>
      <w:bookmarkEnd w:id="87"/>
    </w:p>
    <w:p w:rsidR="00AF1440" w:rsidRPr="00F673EE" w:rsidRDefault="0074383C" w:rsidP="00AF1440">
      <w:pPr>
        <w:pStyle w:val="Header"/>
      </w:pPr>
      <w:r w:rsidRPr="00F673EE">
        <w:rPr>
          <w:rStyle w:val="CharPartNo"/>
        </w:rPr>
        <w:t xml:space="preserve"> </w:t>
      </w:r>
      <w:r w:rsidRPr="00F673EE">
        <w:rPr>
          <w:rStyle w:val="CharPartText"/>
        </w:rPr>
        <w:t xml:space="preserve"> </w:t>
      </w:r>
    </w:p>
    <w:p w:rsidR="00AF1440" w:rsidRPr="00F673EE" w:rsidRDefault="0074383C" w:rsidP="00AF1440">
      <w:pPr>
        <w:pStyle w:val="Header"/>
      </w:pPr>
      <w:r w:rsidRPr="00F673EE">
        <w:rPr>
          <w:rStyle w:val="CharDivNo"/>
        </w:rPr>
        <w:t xml:space="preserve"> </w:t>
      </w:r>
      <w:r w:rsidRPr="00F673EE">
        <w:rPr>
          <w:rStyle w:val="CharDivText"/>
        </w:rPr>
        <w:t xml:space="preserve"> </w:t>
      </w:r>
    </w:p>
    <w:p w:rsidR="00AF1440" w:rsidRPr="00F673EE" w:rsidRDefault="00AF1440" w:rsidP="00AF1440">
      <w:pPr>
        <w:pStyle w:val="notemargin"/>
      </w:pPr>
      <w:r w:rsidRPr="00F673EE">
        <w:t>Note:</w:t>
      </w:r>
      <w:r w:rsidRPr="00F673EE">
        <w:tab/>
        <w:t>See section</w:t>
      </w:r>
      <w:r w:rsidR="00F673EE">
        <w:t> </w:t>
      </w:r>
      <w:r w:rsidRPr="00F673EE">
        <w:t>48.</w:t>
      </w:r>
    </w:p>
    <w:p w:rsidR="00AF1440" w:rsidRPr="00F673EE" w:rsidRDefault="00AF1440" w:rsidP="00AF1440">
      <w:pPr>
        <w:pStyle w:val="subsection"/>
      </w:pPr>
      <w:r w:rsidRPr="00F673EE">
        <w:tab/>
      </w:r>
      <w:r w:rsidRPr="00F673EE">
        <w:tab/>
        <w:t>The laws specified or described in this Schedule are exempt from the operation of this Act.</w:t>
      </w:r>
    </w:p>
    <w:p w:rsidR="00BE5F14" w:rsidRPr="00F673EE" w:rsidRDefault="00BE5F14">
      <w:pPr>
        <w:sectPr w:rsidR="00BE5F14" w:rsidRPr="00F673EE" w:rsidSect="00DC7DD5">
          <w:headerReference w:type="even" r:id="rId34"/>
          <w:headerReference w:type="default" r:id="rId35"/>
          <w:footerReference w:type="even" r:id="rId36"/>
          <w:footerReference w:type="default" r:id="rId37"/>
          <w:headerReference w:type="first" r:id="rId38"/>
          <w:footerReference w:type="first" r:id="rId39"/>
          <w:pgSz w:w="11907" w:h="16839" w:code="9"/>
          <w:pgMar w:top="1871" w:right="2410" w:bottom="4252" w:left="2410" w:header="720" w:footer="3402" w:gutter="0"/>
          <w:cols w:space="720"/>
          <w:docGrid w:linePitch="299"/>
        </w:sectPr>
      </w:pPr>
    </w:p>
    <w:p w:rsidR="00AF1440" w:rsidRPr="00F673EE" w:rsidRDefault="00AF1440" w:rsidP="00AF1440">
      <w:pPr>
        <w:pStyle w:val="ActHead1"/>
      </w:pPr>
      <w:bookmarkStart w:id="88" w:name="_Toc532465305"/>
      <w:r w:rsidRPr="00F673EE">
        <w:rPr>
          <w:rStyle w:val="CharChapNo"/>
        </w:rPr>
        <w:lastRenderedPageBreak/>
        <w:t>Schedule</w:t>
      </w:r>
      <w:r w:rsidR="00F673EE" w:rsidRPr="00F673EE">
        <w:rPr>
          <w:rStyle w:val="CharChapNo"/>
        </w:rPr>
        <w:t> </w:t>
      </w:r>
      <w:r w:rsidRPr="00F673EE">
        <w:rPr>
          <w:rStyle w:val="CharChapNo"/>
        </w:rPr>
        <w:t>4</w:t>
      </w:r>
      <w:r w:rsidRPr="00F673EE">
        <w:t>—</w:t>
      </w:r>
      <w:r w:rsidRPr="00F673EE">
        <w:rPr>
          <w:rStyle w:val="CharChapText"/>
        </w:rPr>
        <w:t>Exempt laws relating to occupations</w:t>
      </w:r>
      <w:bookmarkEnd w:id="88"/>
    </w:p>
    <w:p w:rsidR="00AF1440" w:rsidRPr="00F673EE" w:rsidRDefault="0074383C" w:rsidP="00AF1440">
      <w:pPr>
        <w:pStyle w:val="Header"/>
      </w:pPr>
      <w:r w:rsidRPr="00F673EE">
        <w:rPr>
          <w:rStyle w:val="CharPartNo"/>
        </w:rPr>
        <w:t xml:space="preserve"> </w:t>
      </w:r>
      <w:r w:rsidRPr="00F673EE">
        <w:rPr>
          <w:rStyle w:val="CharPartText"/>
        </w:rPr>
        <w:t xml:space="preserve"> </w:t>
      </w:r>
    </w:p>
    <w:p w:rsidR="00AF1440" w:rsidRPr="00F673EE" w:rsidRDefault="0074383C" w:rsidP="00AF1440">
      <w:pPr>
        <w:pStyle w:val="Header"/>
      </w:pPr>
      <w:r w:rsidRPr="00F673EE">
        <w:rPr>
          <w:rStyle w:val="CharDivNo"/>
        </w:rPr>
        <w:t xml:space="preserve"> </w:t>
      </w:r>
      <w:r w:rsidRPr="00F673EE">
        <w:rPr>
          <w:rStyle w:val="CharDivText"/>
        </w:rPr>
        <w:t xml:space="preserve"> </w:t>
      </w:r>
    </w:p>
    <w:p w:rsidR="00AF1440" w:rsidRPr="00F673EE" w:rsidRDefault="00AF1440" w:rsidP="00AF1440">
      <w:pPr>
        <w:pStyle w:val="notemargin"/>
      </w:pPr>
      <w:r w:rsidRPr="00F673EE">
        <w:t>Note:</w:t>
      </w:r>
      <w:r w:rsidRPr="00F673EE">
        <w:tab/>
        <w:t>See section</w:t>
      </w:r>
      <w:r w:rsidR="00F673EE">
        <w:t> </w:t>
      </w:r>
      <w:r w:rsidRPr="00F673EE">
        <w:t>49.</w:t>
      </w:r>
    </w:p>
    <w:p w:rsidR="00AF1440" w:rsidRPr="00F673EE" w:rsidRDefault="00AF1440" w:rsidP="00AF1440">
      <w:pPr>
        <w:pStyle w:val="ActHead5"/>
      </w:pPr>
      <w:bookmarkStart w:id="89" w:name="_Toc532465306"/>
      <w:r w:rsidRPr="00F673EE">
        <w:rPr>
          <w:rStyle w:val="CharSectno"/>
        </w:rPr>
        <w:t>1</w:t>
      </w:r>
      <w:r w:rsidRPr="00F673EE">
        <w:t xml:space="preserve">  Exempt laws</w:t>
      </w:r>
      <w:bookmarkEnd w:id="89"/>
    </w:p>
    <w:p w:rsidR="00AF1440" w:rsidRPr="00F673EE" w:rsidRDefault="00AF1440" w:rsidP="00AF1440">
      <w:pPr>
        <w:pStyle w:val="subsection"/>
      </w:pPr>
      <w:r w:rsidRPr="00F673EE">
        <w:tab/>
      </w:r>
      <w:r w:rsidRPr="00F673EE">
        <w:tab/>
        <w:t>The laws specified or described in this Schedule are exempt from the operation of this Act to the extent indicated.</w:t>
      </w:r>
    </w:p>
    <w:p w:rsidR="00AF1440" w:rsidRPr="00F673EE" w:rsidRDefault="00AF1440" w:rsidP="00AF1440">
      <w:pPr>
        <w:pStyle w:val="ActHead5"/>
      </w:pPr>
      <w:bookmarkStart w:id="90" w:name="_Toc532465307"/>
      <w:r w:rsidRPr="00F673EE">
        <w:rPr>
          <w:rStyle w:val="CharSectno"/>
        </w:rPr>
        <w:t>2</w:t>
      </w:r>
      <w:r w:rsidRPr="00F673EE">
        <w:t xml:space="preserve">  Medical practitioners</w:t>
      </w:r>
      <w:bookmarkEnd w:id="90"/>
    </w:p>
    <w:p w:rsidR="00AF1440" w:rsidRPr="00F673EE" w:rsidRDefault="00AF1440" w:rsidP="00AF1440">
      <w:pPr>
        <w:pStyle w:val="subsection"/>
        <w:spacing w:after="240"/>
      </w:pPr>
      <w:r w:rsidRPr="00F673EE">
        <w:tab/>
      </w:r>
      <w:r w:rsidRPr="00F673EE">
        <w:tab/>
        <w:t>The following laws, to the extent that they deal with the occupation of medical practitioners as referred to in them:</w:t>
      </w:r>
    </w:p>
    <w:p w:rsidR="0074383C" w:rsidRPr="00F673EE" w:rsidRDefault="0074383C" w:rsidP="0074383C">
      <w:pPr>
        <w:pStyle w:val="Tabletext"/>
      </w:pPr>
    </w:p>
    <w:tbl>
      <w:tblPr>
        <w:tblW w:w="0" w:type="auto"/>
        <w:tblInd w:w="1101" w:type="dxa"/>
        <w:tblLayout w:type="fixed"/>
        <w:tblLook w:val="0000" w:firstRow="0" w:lastRow="0" w:firstColumn="0" w:lastColumn="0" w:noHBand="0" w:noVBand="0"/>
      </w:tblPr>
      <w:tblGrid>
        <w:gridCol w:w="6076"/>
      </w:tblGrid>
      <w:tr w:rsidR="00AF1440" w:rsidRPr="00F673EE" w:rsidTr="00BA32E2">
        <w:tc>
          <w:tcPr>
            <w:tcW w:w="6076" w:type="dxa"/>
            <w:shd w:val="clear" w:color="auto" w:fill="auto"/>
          </w:tcPr>
          <w:p w:rsidR="00AF1440" w:rsidRPr="00F673EE" w:rsidRDefault="00AF1440" w:rsidP="00781601">
            <w:pPr>
              <w:pStyle w:val="Tabletext"/>
              <w:rPr>
                <w:b/>
              </w:rPr>
            </w:pPr>
            <w:r w:rsidRPr="00F673EE">
              <w:rPr>
                <w:i/>
              </w:rPr>
              <w:t>Medical Practice Act 1992</w:t>
            </w:r>
            <w:r w:rsidRPr="00F673EE">
              <w:t xml:space="preserve"> of New South Wales;</w:t>
            </w:r>
          </w:p>
        </w:tc>
      </w:tr>
      <w:tr w:rsidR="00AF1440" w:rsidRPr="00F673EE" w:rsidTr="00BA32E2">
        <w:tc>
          <w:tcPr>
            <w:tcW w:w="6076" w:type="dxa"/>
            <w:shd w:val="clear" w:color="auto" w:fill="auto"/>
          </w:tcPr>
          <w:p w:rsidR="00AF1440" w:rsidRPr="00F673EE" w:rsidRDefault="00AF1440" w:rsidP="00D24366">
            <w:pPr>
              <w:pStyle w:val="Tabletext"/>
            </w:pPr>
            <w:r w:rsidRPr="00F673EE">
              <w:rPr>
                <w:i/>
              </w:rPr>
              <w:t>Medical Practice Act 1994</w:t>
            </w:r>
            <w:r w:rsidRPr="00F673EE">
              <w:t xml:space="preserve"> of Victoria;</w:t>
            </w:r>
          </w:p>
        </w:tc>
      </w:tr>
      <w:tr w:rsidR="00AF1440" w:rsidRPr="00F673EE" w:rsidTr="00BA32E2">
        <w:tc>
          <w:tcPr>
            <w:tcW w:w="6076" w:type="dxa"/>
            <w:shd w:val="clear" w:color="auto" w:fill="auto"/>
          </w:tcPr>
          <w:p w:rsidR="00AF1440" w:rsidRPr="00F673EE" w:rsidRDefault="00AF1440" w:rsidP="00D24366">
            <w:pPr>
              <w:pStyle w:val="Tabletext"/>
            </w:pPr>
            <w:r w:rsidRPr="00F673EE">
              <w:rPr>
                <w:i/>
              </w:rPr>
              <w:t>Medical Act 1939</w:t>
            </w:r>
            <w:r w:rsidRPr="00F673EE">
              <w:t xml:space="preserve"> of Queensland;</w:t>
            </w:r>
          </w:p>
        </w:tc>
      </w:tr>
      <w:tr w:rsidR="00AF1440" w:rsidRPr="00F673EE" w:rsidTr="00BA32E2">
        <w:tc>
          <w:tcPr>
            <w:tcW w:w="6076" w:type="dxa"/>
            <w:shd w:val="clear" w:color="auto" w:fill="auto"/>
          </w:tcPr>
          <w:p w:rsidR="00AF1440" w:rsidRPr="00F673EE" w:rsidRDefault="00AF1440" w:rsidP="00D24366">
            <w:pPr>
              <w:pStyle w:val="Tabletext"/>
            </w:pPr>
            <w:r w:rsidRPr="00F673EE">
              <w:rPr>
                <w:i/>
              </w:rPr>
              <w:t>Medical Act 1894</w:t>
            </w:r>
            <w:r w:rsidRPr="00F673EE">
              <w:t xml:space="preserve"> of Western Australia;</w:t>
            </w:r>
          </w:p>
        </w:tc>
      </w:tr>
      <w:tr w:rsidR="00AF1440" w:rsidRPr="00F673EE" w:rsidTr="00BA32E2">
        <w:tc>
          <w:tcPr>
            <w:tcW w:w="6076" w:type="dxa"/>
            <w:shd w:val="clear" w:color="auto" w:fill="auto"/>
          </w:tcPr>
          <w:p w:rsidR="00AF1440" w:rsidRPr="00F673EE" w:rsidRDefault="00AF1440" w:rsidP="00D24366">
            <w:pPr>
              <w:pStyle w:val="Tabletext"/>
            </w:pPr>
            <w:r w:rsidRPr="00F673EE">
              <w:rPr>
                <w:i/>
              </w:rPr>
              <w:t>Medical Practitioners Act 1983</w:t>
            </w:r>
            <w:r w:rsidRPr="00F673EE">
              <w:t xml:space="preserve"> of South Australia;</w:t>
            </w:r>
          </w:p>
        </w:tc>
      </w:tr>
      <w:tr w:rsidR="00AF1440" w:rsidRPr="00F673EE" w:rsidTr="00BA32E2">
        <w:tc>
          <w:tcPr>
            <w:tcW w:w="6076" w:type="dxa"/>
            <w:shd w:val="clear" w:color="auto" w:fill="auto"/>
          </w:tcPr>
          <w:p w:rsidR="00AF1440" w:rsidRPr="00F673EE" w:rsidRDefault="00AF1440" w:rsidP="00D24366">
            <w:pPr>
              <w:pStyle w:val="Tabletext"/>
            </w:pPr>
            <w:r w:rsidRPr="00F673EE">
              <w:rPr>
                <w:i/>
              </w:rPr>
              <w:t>Medical Practitioners Registration Act 1996</w:t>
            </w:r>
            <w:r w:rsidRPr="00F673EE">
              <w:t xml:space="preserve"> of Tasmania;</w:t>
            </w:r>
          </w:p>
        </w:tc>
      </w:tr>
      <w:tr w:rsidR="00AF1440" w:rsidRPr="00F673EE" w:rsidTr="00BA32E2">
        <w:tc>
          <w:tcPr>
            <w:tcW w:w="6076" w:type="dxa"/>
            <w:shd w:val="clear" w:color="auto" w:fill="auto"/>
          </w:tcPr>
          <w:p w:rsidR="00AF1440" w:rsidRPr="00F673EE" w:rsidRDefault="00AF1440" w:rsidP="00D24366">
            <w:pPr>
              <w:pStyle w:val="Tabletext"/>
            </w:pPr>
            <w:r w:rsidRPr="00F673EE">
              <w:rPr>
                <w:i/>
              </w:rPr>
              <w:t>Medical Practitioners Act 1930</w:t>
            </w:r>
            <w:r w:rsidRPr="00F673EE">
              <w:t xml:space="preserve"> of the Australian Capital Territory;</w:t>
            </w:r>
          </w:p>
        </w:tc>
      </w:tr>
      <w:tr w:rsidR="00AF1440" w:rsidRPr="00F673EE" w:rsidTr="00BA32E2">
        <w:tc>
          <w:tcPr>
            <w:tcW w:w="6076" w:type="dxa"/>
            <w:shd w:val="clear" w:color="auto" w:fill="auto"/>
          </w:tcPr>
          <w:p w:rsidR="00AF1440" w:rsidRPr="00F673EE" w:rsidRDefault="00AF1440" w:rsidP="00D24366">
            <w:pPr>
              <w:pStyle w:val="Tabletext"/>
            </w:pPr>
            <w:r w:rsidRPr="00F673EE">
              <w:rPr>
                <w:i/>
              </w:rPr>
              <w:t>Medical Act 1995</w:t>
            </w:r>
            <w:r w:rsidRPr="00F673EE">
              <w:t xml:space="preserve"> of the Northern Territory.</w:t>
            </w:r>
          </w:p>
        </w:tc>
      </w:tr>
    </w:tbl>
    <w:p w:rsidR="00AF1440" w:rsidRPr="00F673EE" w:rsidRDefault="00AF1440" w:rsidP="00BE5F14">
      <w:pPr>
        <w:pStyle w:val="ActHead1"/>
        <w:pageBreakBefore/>
      </w:pPr>
      <w:bookmarkStart w:id="91" w:name="_Toc532465308"/>
      <w:r w:rsidRPr="00F673EE">
        <w:rPr>
          <w:rStyle w:val="CharChapNo"/>
        </w:rPr>
        <w:lastRenderedPageBreak/>
        <w:t>Schedule</w:t>
      </w:r>
      <w:r w:rsidR="00F673EE" w:rsidRPr="00F673EE">
        <w:rPr>
          <w:rStyle w:val="CharChapNo"/>
        </w:rPr>
        <w:t> </w:t>
      </w:r>
      <w:r w:rsidRPr="00F673EE">
        <w:rPr>
          <w:rStyle w:val="CharChapNo"/>
        </w:rPr>
        <w:t>5</w:t>
      </w:r>
      <w:r w:rsidRPr="00F673EE">
        <w:t>—</w:t>
      </w:r>
      <w:r w:rsidRPr="00F673EE">
        <w:rPr>
          <w:rStyle w:val="CharChapText"/>
        </w:rPr>
        <w:t>Privacy of information collected under the Act</w:t>
      </w:r>
      <w:bookmarkEnd w:id="91"/>
    </w:p>
    <w:p w:rsidR="00AF1440" w:rsidRPr="00F673EE" w:rsidRDefault="00AF1440" w:rsidP="00AF1440">
      <w:pPr>
        <w:pStyle w:val="notemargin"/>
      </w:pPr>
      <w:r w:rsidRPr="00F673EE">
        <w:t>Note:</w:t>
      </w:r>
      <w:r w:rsidRPr="00F673EE">
        <w:tab/>
        <w:t>See section</w:t>
      </w:r>
      <w:r w:rsidR="00F673EE">
        <w:t> </w:t>
      </w:r>
      <w:r w:rsidRPr="00F673EE">
        <w:t>39.</w:t>
      </w:r>
    </w:p>
    <w:p w:rsidR="00AF1440" w:rsidRPr="00F673EE" w:rsidRDefault="00AF1440" w:rsidP="00AF1440">
      <w:pPr>
        <w:pStyle w:val="ActHead2"/>
      </w:pPr>
      <w:bookmarkStart w:id="92" w:name="_Toc532465309"/>
      <w:r w:rsidRPr="00F673EE">
        <w:rPr>
          <w:rStyle w:val="CharPartNo"/>
        </w:rPr>
        <w:t>Part</w:t>
      </w:r>
      <w:r w:rsidR="00F673EE" w:rsidRPr="00F673EE">
        <w:rPr>
          <w:rStyle w:val="CharPartNo"/>
        </w:rPr>
        <w:t> </w:t>
      </w:r>
      <w:r w:rsidRPr="00F673EE">
        <w:rPr>
          <w:rStyle w:val="CharPartNo"/>
        </w:rPr>
        <w:t>1</w:t>
      </w:r>
      <w:r w:rsidRPr="00F673EE">
        <w:t>—</w:t>
      </w:r>
      <w:r w:rsidRPr="00F673EE">
        <w:rPr>
          <w:rStyle w:val="CharPartText"/>
        </w:rPr>
        <w:t>Interpretation</w:t>
      </w:r>
      <w:bookmarkEnd w:id="92"/>
    </w:p>
    <w:p w:rsidR="00AF1440" w:rsidRPr="00F673EE" w:rsidRDefault="0074383C" w:rsidP="00AF1440">
      <w:pPr>
        <w:pStyle w:val="Header"/>
      </w:pPr>
      <w:r w:rsidRPr="00F673EE">
        <w:rPr>
          <w:rStyle w:val="CharDivNo"/>
        </w:rPr>
        <w:t xml:space="preserve"> </w:t>
      </w:r>
      <w:r w:rsidRPr="00F673EE">
        <w:rPr>
          <w:rStyle w:val="CharDivText"/>
        </w:rPr>
        <w:t xml:space="preserve"> </w:t>
      </w:r>
    </w:p>
    <w:p w:rsidR="00AF1440" w:rsidRPr="00F673EE" w:rsidRDefault="00AF1440" w:rsidP="00AF1440">
      <w:pPr>
        <w:pStyle w:val="ActHead5"/>
      </w:pPr>
      <w:bookmarkStart w:id="93" w:name="_Toc532465310"/>
      <w:r w:rsidRPr="00F673EE">
        <w:rPr>
          <w:rStyle w:val="CharSectno"/>
        </w:rPr>
        <w:t>1</w:t>
      </w:r>
      <w:r w:rsidRPr="00F673EE">
        <w:t xml:space="preserve">  Interpretation</w:t>
      </w:r>
      <w:bookmarkEnd w:id="93"/>
    </w:p>
    <w:p w:rsidR="00AF1440" w:rsidRPr="00F673EE" w:rsidRDefault="00AF1440" w:rsidP="00AF1440">
      <w:pPr>
        <w:pStyle w:val="subsection"/>
      </w:pPr>
      <w:r w:rsidRPr="00F673EE">
        <w:tab/>
      </w:r>
      <w:r w:rsidRPr="00F673EE">
        <w:tab/>
        <w:t>In this Schedule:</w:t>
      </w:r>
    </w:p>
    <w:p w:rsidR="00AF1440" w:rsidRPr="00F673EE" w:rsidRDefault="00AF1440" w:rsidP="00AF1440">
      <w:pPr>
        <w:pStyle w:val="Definition"/>
      </w:pPr>
      <w:r w:rsidRPr="00F673EE">
        <w:rPr>
          <w:b/>
          <w:i/>
        </w:rPr>
        <w:t>consent</w:t>
      </w:r>
      <w:r w:rsidRPr="00F673EE">
        <w:t xml:space="preserve"> means express consent or implied consent.</w:t>
      </w:r>
    </w:p>
    <w:p w:rsidR="00AF1440" w:rsidRPr="00F673EE" w:rsidRDefault="00AF1440" w:rsidP="00AF1440">
      <w:pPr>
        <w:pStyle w:val="Definition"/>
      </w:pPr>
      <w:r w:rsidRPr="00F673EE">
        <w:rPr>
          <w:b/>
          <w:i/>
        </w:rPr>
        <w:t>individual</w:t>
      </w:r>
      <w:r w:rsidRPr="00F673EE">
        <w:t xml:space="preserve"> means a natural person.</w:t>
      </w:r>
    </w:p>
    <w:p w:rsidR="00AF1440" w:rsidRPr="00F673EE" w:rsidRDefault="00AF1440" w:rsidP="00AF1440">
      <w:pPr>
        <w:pStyle w:val="Definition"/>
      </w:pPr>
      <w:r w:rsidRPr="00F673EE">
        <w:rPr>
          <w:b/>
          <w:i/>
        </w:rPr>
        <w:t>individual concerned</w:t>
      </w:r>
      <w:r w:rsidRPr="00F673EE">
        <w:t>, in relation to personal information or a record of personal information, means the individual to whom the information relates.</w:t>
      </w:r>
    </w:p>
    <w:p w:rsidR="00AF1440" w:rsidRPr="00F673EE" w:rsidRDefault="00AF1440" w:rsidP="00AF1440">
      <w:pPr>
        <w:pStyle w:val="Definition"/>
      </w:pPr>
      <w:r w:rsidRPr="00F673EE">
        <w:rPr>
          <w:b/>
          <w:i/>
        </w:rPr>
        <w:t>personal information</w:t>
      </w:r>
      <w:r w:rsidRPr="00F673EE">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rsidR="00AF1440" w:rsidRPr="00F673EE" w:rsidRDefault="00AF1440" w:rsidP="00AF1440">
      <w:pPr>
        <w:pStyle w:val="Definition"/>
      </w:pPr>
      <w:r w:rsidRPr="00F673EE">
        <w:rPr>
          <w:b/>
          <w:i/>
        </w:rPr>
        <w:t>record</w:t>
      </w:r>
      <w:r w:rsidRPr="00F673EE">
        <w:t xml:space="preserve"> means:</w:t>
      </w:r>
    </w:p>
    <w:p w:rsidR="00AF1440" w:rsidRPr="00F673EE" w:rsidRDefault="00AF1440" w:rsidP="00AF1440">
      <w:pPr>
        <w:pStyle w:val="paragraph"/>
      </w:pPr>
      <w:r w:rsidRPr="00F673EE">
        <w:tab/>
        <w:t>(a)</w:t>
      </w:r>
      <w:r w:rsidRPr="00F673EE">
        <w:tab/>
        <w:t>a document; or</w:t>
      </w:r>
    </w:p>
    <w:p w:rsidR="00AF1440" w:rsidRPr="00F673EE" w:rsidRDefault="00AF1440" w:rsidP="00AF1440">
      <w:pPr>
        <w:pStyle w:val="paragraph"/>
      </w:pPr>
      <w:r w:rsidRPr="00F673EE">
        <w:tab/>
        <w:t>(b)</w:t>
      </w:r>
      <w:r w:rsidRPr="00F673EE">
        <w:tab/>
        <w:t>a database (however kept); or</w:t>
      </w:r>
    </w:p>
    <w:p w:rsidR="00AF1440" w:rsidRPr="00F673EE" w:rsidRDefault="00AF1440" w:rsidP="00AF1440">
      <w:pPr>
        <w:pStyle w:val="paragraph"/>
      </w:pPr>
      <w:r w:rsidRPr="00F673EE">
        <w:tab/>
        <w:t>(c)</w:t>
      </w:r>
      <w:r w:rsidRPr="00F673EE">
        <w:tab/>
        <w:t>a photograph or other pictorial representation of a person;</w:t>
      </w:r>
    </w:p>
    <w:p w:rsidR="00AF1440" w:rsidRPr="00F673EE" w:rsidRDefault="00AF1440" w:rsidP="00AF1440">
      <w:pPr>
        <w:pStyle w:val="subsection2"/>
      </w:pPr>
      <w:r w:rsidRPr="00F673EE">
        <w:t>but does not include:</w:t>
      </w:r>
    </w:p>
    <w:p w:rsidR="00AF1440" w:rsidRPr="00F673EE" w:rsidRDefault="00AF1440" w:rsidP="00AF1440">
      <w:pPr>
        <w:pStyle w:val="paragraph"/>
      </w:pPr>
      <w:r w:rsidRPr="00F673EE">
        <w:tab/>
        <w:t>(d)</w:t>
      </w:r>
      <w:r w:rsidRPr="00F673EE">
        <w:tab/>
        <w:t>a generally available publication; or</w:t>
      </w:r>
    </w:p>
    <w:p w:rsidR="00AF1440" w:rsidRPr="00F673EE" w:rsidRDefault="00AF1440" w:rsidP="00AF1440">
      <w:pPr>
        <w:pStyle w:val="paragraph"/>
      </w:pPr>
      <w:r w:rsidRPr="00F673EE">
        <w:tab/>
        <w:t>(e)</w:t>
      </w:r>
      <w:r w:rsidRPr="00F673EE">
        <w:tab/>
        <w:t>anything kept in a library, art gallery or museum for the purposes of reference, study or exhibition; or</w:t>
      </w:r>
    </w:p>
    <w:p w:rsidR="00AF1440" w:rsidRPr="00F673EE" w:rsidRDefault="00AF1440" w:rsidP="00AF1440">
      <w:pPr>
        <w:pStyle w:val="paragraph"/>
      </w:pPr>
      <w:r w:rsidRPr="00F673EE">
        <w:tab/>
        <w:t>(f)</w:t>
      </w:r>
      <w:r w:rsidRPr="00F673EE">
        <w:tab/>
        <w:t>letters or other articles in the course of transmission by post.</w:t>
      </w:r>
    </w:p>
    <w:p w:rsidR="00AF1440" w:rsidRPr="00F673EE" w:rsidRDefault="00AF1440" w:rsidP="00AF1440">
      <w:pPr>
        <w:pStyle w:val="Definition"/>
      </w:pPr>
      <w:r w:rsidRPr="00F673EE">
        <w:rPr>
          <w:b/>
          <w:i/>
        </w:rPr>
        <w:lastRenderedPageBreak/>
        <w:t>solicit</w:t>
      </w:r>
      <w:r w:rsidRPr="00F673EE">
        <w:t>, in relation to personal information, means request a person to provide that information, or a kind of information in which that information is included.</w:t>
      </w:r>
    </w:p>
    <w:p w:rsidR="00AF1440" w:rsidRPr="00F673EE" w:rsidRDefault="00AF1440" w:rsidP="00AF1440">
      <w:pPr>
        <w:pStyle w:val="Definition"/>
      </w:pPr>
      <w:r w:rsidRPr="00F673EE">
        <w:rPr>
          <w:b/>
          <w:i/>
        </w:rPr>
        <w:t>use</w:t>
      </w:r>
      <w:r w:rsidRPr="00F673EE">
        <w:t>, in relation to information, does not include mere disclosure of the information, but does include the inclusion of the information in a publication.</w:t>
      </w:r>
    </w:p>
    <w:p w:rsidR="00AF1440" w:rsidRPr="00F673EE" w:rsidRDefault="00AF1440" w:rsidP="00D24366">
      <w:pPr>
        <w:pStyle w:val="ActHead2"/>
        <w:pageBreakBefore/>
      </w:pPr>
      <w:bookmarkStart w:id="94" w:name="_Toc532465311"/>
      <w:r w:rsidRPr="00F673EE">
        <w:rPr>
          <w:rStyle w:val="CharPartNo"/>
        </w:rPr>
        <w:lastRenderedPageBreak/>
        <w:t>Part</w:t>
      </w:r>
      <w:r w:rsidR="00F673EE" w:rsidRPr="00F673EE">
        <w:rPr>
          <w:rStyle w:val="CharPartNo"/>
        </w:rPr>
        <w:t> </w:t>
      </w:r>
      <w:r w:rsidRPr="00F673EE">
        <w:rPr>
          <w:rStyle w:val="CharPartNo"/>
        </w:rPr>
        <w:t>2</w:t>
      </w:r>
      <w:r w:rsidRPr="00F673EE">
        <w:t>—</w:t>
      </w:r>
      <w:r w:rsidRPr="00F673EE">
        <w:rPr>
          <w:rStyle w:val="CharPartText"/>
        </w:rPr>
        <w:t>Principles</w:t>
      </w:r>
      <w:bookmarkEnd w:id="94"/>
    </w:p>
    <w:p w:rsidR="00AF1440" w:rsidRPr="00F673EE" w:rsidRDefault="0074383C" w:rsidP="00AF1440">
      <w:pPr>
        <w:pStyle w:val="Header"/>
      </w:pPr>
      <w:r w:rsidRPr="00F673EE">
        <w:rPr>
          <w:rStyle w:val="CharDivNo"/>
        </w:rPr>
        <w:t xml:space="preserve"> </w:t>
      </w:r>
      <w:r w:rsidRPr="00F673EE">
        <w:rPr>
          <w:rStyle w:val="CharDivText"/>
        </w:rPr>
        <w:t xml:space="preserve"> </w:t>
      </w:r>
    </w:p>
    <w:p w:rsidR="00AF1440" w:rsidRPr="00F673EE" w:rsidRDefault="00AF1440" w:rsidP="00AF1440">
      <w:pPr>
        <w:pStyle w:val="ActHead5"/>
      </w:pPr>
      <w:bookmarkStart w:id="95" w:name="_Toc532465312"/>
      <w:r w:rsidRPr="00F673EE">
        <w:rPr>
          <w:rStyle w:val="CharSectno"/>
        </w:rPr>
        <w:t>2</w:t>
      </w:r>
      <w:r w:rsidRPr="00F673EE">
        <w:t xml:space="preserve">  Solicitation of personal information from individual concerned</w:t>
      </w:r>
      <w:bookmarkEnd w:id="95"/>
    </w:p>
    <w:p w:rsidR="00AF1440" w:rsidRPr="00F673EE" w:rsidRDefault="00AF1440" w:rsidP="00AF1440">
      <w:pPr>
        <w:pStyle w:val="subsection"/>
      </w:pPr>
      <w:r w:rsidRPr="00F673EE">
        <w:tab/>
      </w:r>
      <w:r w:rsidRPr="00F673EE">
        <w:tab/>
        <w:t>Where:</w:t>
      </w:r>
    </w:p>
    <w:p w:rsidR="00AF1440" w:rsidRPr="00F673EE" w:rsidRDefault="00AF1440" w:rsidP="00AF1440">
      <w:pPr>
        <w:pStyle w:val="paragraph"/>
      </w:pPr>
      <w:r w:rsidRPr="00F673EE">
        <w:tab/>
        <w:t>(a)</w:t>
      </w:r>
      <w:r w:rsidRPr="00F673EE">
        <w:tab/>
        <w:t>a local registration authority collects personal information under this Act; and</w:t>
      </w:r>
    </w:p>
    <w:p w:rsidR="00AF1440" w:rsidRPr="00F673EE" w:rsidRDefault="00AF1440" w:rsidP="00AF1440">
      <w:pPr>
        <w:pStyle w:val="paragraph"/>
      </w:pPr>
      <w:r w:rsidRPr="00F673EE">
        <w:tab/>
        <w:t>(b)</w:t>
      </w:r>
      <w:r w:rsidRPr="00F673EE">
        <w:tab/>
        <w:t>the information is solicited by the authority from the individuals concerned;</w:t>
      </w:r>
    </w:p>
    <w:p w:rsidR="00AF1440" w:rsidRPr="00F673EE" w:rsidRDefault="00AF1440" w:rsidP="00AF1440">
      <w:pPr>
        <w:pStyle w:val="subsection2"/>
      </w:pPr>
      <w:r w:rsidRPr="00F673EE">
        <w:t>the authority must ensure that the forms issued to individuals in connection with collecting the information specify:</w:t>
      </w:r>
    </w:p>
    <w:p w:rsidR="00AF1440" w:rsidRPr="00F673EE" w:rsidRDefault="00AF1440" w:rsidP="00AF1440">
      <w:pPr>
        <w:pStyle w:val="paragraph"/>
      </w:pPr>
      <w:r w:rsidRPr="00F673EE">
        <w:tab/>
        <w:t>(c)</w:t>
      </w:r>
      <w:r w:rsidRPr="00F673EE">
        <w:tab/>
        <w:t>the purpose for which the information is being collected; and</w:t>
      </w:r>
    </w:p>
    <w:p w:rsidR="00AF1440" w:rsidRPr="00F673EE" w:rsidRDefault="00AF1440" w:rsidP="00AF1440">
      <w:pPr>
        <w:pStyle w:val="paragraph"/>
      </w:pPr>
      <w:r w:rsidRPr="00F673EE">
        <w:tab/>
        <w:t>(d)</w:t>
      </w:r>
      <w:r w:rsidRPr="00F673EE">
        <w:tab/>
        <w:t>any person to whom, or any body or agency to which, it is the authority's usual practice to disclose personal information of the kind so collected, and (if known by the authority) any person to whom, or any body or agency to which, it is the usual practice of that first</w:t>
      </w:r>
      <w:r w:rsidR="00F673EE">
        <w:noBreakHyphen/>
      </w:r>
      <w:r w:rsidRPr="00F673EE">
        <w:t>mentioned person, body or agency to pass on that information.</w:t>
      </w:r>
    </w:p>
    <w:p w:rsidR="00AF1440" w:rsidRPr="00F673EE" w:rsidRDefault="00AF1440" w:rsidP="00AF1440">
      <w:pPr>
        <w:pStyle w:val="ActHead5"/>
      </w:pPr>
      <w:bookmarkStart w:id="96" w:name="_Toc532465313"/>
      <w:r w:rsidRPr="00F673EE">
        <w:rPr>
          <w:rStyle w:val="CharSectno"/>
        </w:rPr>
        <w:t>3</w:t>
      </w:r>
      <w:r w:rsidRPr="00F673EE">
        <w:t xml:space="preserve">  Storage and security of personal information</w:t>
      </w:r>
      <w:bookmarkEnd w:id="96"/>
    </w:p>
    <w:p w:rsidR="00AF1440" w:rsidRPr="00F673EE" w:rsidRDefault="00AF1440" w:rsidP="00AF1440">
      <w:pPr>
        <w:pStyle w:val="subsection"/>
      </w:pPr>
      <w:r w:rsidRPr="00F673EE">
        <w:tab/>
      </w:r>
      <w:r w:rsidRPr="00F673EE">
        <w:tab/>
        <w:t>A local registration authority who has possession or control of a record that contains personal information must ensure:</w:t>
      </w:r>
    </w:p>
    <w:p w:rsidR="00AF1440" w:rsidRPr="00F673EE" w:rsidRDefault="00AF1440" w:rsidP="00AF1440">
      <w:pPr>
        <w:pStyle w:val="paragraph"/>
      </w:pPr>
      <w:r w:rsidRPr="00F673EE">
        <w:tab/>
        <w:t>(a)</w:t>
      </w:r>
      <w:r w:rsidRPr="00F673EE">
        <w:tab/>
        <w:t>that the record is protected, by such security safeguards as it is reasonable in the circumstances to take, against loss, against unauthorised access, use, modification or disclosure, and against other misuse; and</w:t>
      </w:r>
    </w:p>
    <w:p w:rsidR="00AF1440" w:rsidRPr="00F673EE" w:rsidRDefault="00AF1440" w:rsidP="00AF1440">
      <w:pPr>
        <w:pStyle w:val="paragraph"/>
      </w:pPr>
      <w:r w:rsidRPr="00F673EE">
        <w:tab/>
        <w:t>(b)</w:t>
      </w:r>
      <w:r w:rsidRPr="00F673EE">
        <w:tab/>
        <w:t>that if it is necessary for the record to be given to a person in connection with the provision of a service to the local registration authority, everything reasonably within the power of the authority is done to prevent unauthorised use or disclosure of information contained in the record.</w:t>
      </w:r>
    </w:p>
    <w:p w:rsidR="00AF1440" w:rsidRPr="00F673EE" w:rsidRDefault="00AF1440" w:rsidP="00AF1440">
      <w:pPr>
        <w:pStyle w:val="ActHead5"/>
      </w:pPr>
      <w:bookmarkStart w:id="97" w:name="_Toc532465314"/>
      <w:r w:rsidRPr="00F673EE">
        <w:rPr>
          <w:rStyle w:val="CharSectno"/>
        </w:rPr>
        <w:lastRenderedPageBreak/>
        <w:t>4</w:t>
      </w:r>
      <w:r w:rsidRPr="00F673EE">
        <w:t xml:space="preserve">  Limits on use of personal information</w:t>
      </w:r>
      <w:bookmarkEnd w:id="97"/>
    </w:p>
    <w:p w:rsidR="00AF1440" w:rsidRPr="00F673EE" w:rsidRDefault="00AF1440" w:rsidP="00AF1440">
      <w:pPr>
        <w:pStyle w:val="subsection"/>
      </w:pPr>
      <w:r w:rsidRPr="00F673EE">
        <w:tab/>
        <w:t>(1)</w:t>
      </w:r>
      <w:r w:rsidRPr="00F673EE">
        <w:tab/>
        <w:t>A local registration authority who has possession or control of a record that contains personal information that was obtained under this Act for a particular purpose must not use the information for any other purpose unless:</w:t>
      </w:r>
    </w:p>
    <w:p w:rsidR="00AF1440" w:rsidRPr="00F673EE" w:rsidRDefault="00AF1440" w:rsidP="00AF1440">
      <w:pPr>
        <w:pStyle w:val="paragraph"/>
      </w:pPr>
      <w:r w:rsidRPr="00F673EE">
        <w:tab/>
        <w:t>(a)</w:t>
      </w:r>
      <w:r w:rsidRPr="00F673EE">
        <w:tab/>
        <w:t>the individual concerned has consented to use of the information for that other purpose; or</w:t>
      </w:r>
    </w:p>
    <w:p w:rsidR="00AF1440" w:rsidRPr="00F673EE" w:rsidRDefault="00AF1440" w:rsidP="00AF1440">
      <w:pPr>
        <w:pStyle w:val="paragraph"/>
      </w:pPr>
      <w:r w:rsidRPr="00F673EE">
        <w:tab/>
        <w:t>(b)</w:t>
      </w:r>
      <w:r w:rsidRPr="00F673EE">
        <w:tab/>
        <w:t>use of the information for that other purpose is required or authorised by or under law; or</w:t>
      </w:r>
    </w:p>
    <w:p w:rsidR="00AF1440" w:rsidRPr="00F673EE" w:rsidRDefault="00AF1440" w:rsidP="00AF1440">
      <w:pPr>
        <w:pStyle w:val="paragraph"/>
      </w:pPr>
      <w:r w:rsidRPr="00F673EE">
        <w:tab/>
        <w:t>(c)</w:t>
      </w:r>
      <w:r w:rsidRPr="00F673EE">
        <w:tab/>
        <w:t>use of the information for that other purpose is reasonably necessary for enforcement of the criminal law or of a law imposing a pecuniary penalty, or for the protection of the public revenue.</w:t>
      </w:r>
    </w:p>
    <w:p w:rsidR="00AF1440" w:rsidRPr="00F673EE" w:rsidRDefault="00AF1440" w:rsidP="00AF1440">
      <w:pPr>
        <w:pStyle w:val="subsection"/>
      </w:pPr>
      <w:r w:rsidRPr="00F673EE">
        <w:tab/>
        <w:t>(2)</w:t>
      </w:r>
      <w:r w:rsidRPr="00F673EE">
        <w:tab/>
        <w:t>Where personal information is used for enforcement of the criminal law or of a law imposing a pecuniary penalty, or for the protection of the public revenue, the local registration authority must include in the record containing that information a note of that use.</w:t>
      </w:r>
    </w:p>
    <w:p w:rsidR="00AF1440" w:rsidRPr="00F673EE" w:rsidRDefault="00AF1440" w:rsidP="00AF1440">
      <w:pPr>
        <w:pStyle w:val="ActHead5"/>
      </w:pPr>
      <w:bookmarkStart w:id="98" w:name="_Toc532465315"/>
      <w:r w:rsidRPr="00F673EE">
        <w:rPr>
          <w:rStyle w:val="CharSectno"/>
        </w:rPr>
        <w:t>5</w:t>
      </w:r>
      <w:r w:rsidRPr="00F673EE">
        <w:t xml:space="preserve">  Limits on disclosure for personal information</w:t>
      </w:r>
      <w:bookmarkEnd w:id="98"/>
    </w:p>
    <w:p w:rsidR="00AF1440" w:rsidRPr="00F673EE" w:rsidRDefault="00AF1440" w:rsidP="00AF1440">
      <w:pPr>
        <w:pStyle w:val="subsection"/>
      </w:pPr>
      <w:r w:rsidRPr="00F673EE">
        <w:tab/>
        <w:t>(1)</w:t>
      </w:r>
      <w:r w:rsidRPr="00F673EE">
        <w:tab/>
        <w:t>A local registration authority who has possession or control of a record that contains personal information must not disclose the information to a person, body or agency (other than the individual concerned) unless:</w:t>
      </w:r>
    </w:p>
    <w:p w:rsidR="00AF1440" w:rsidRPr="00F673EE" w:rsidRDefault="00AF1440" w:rsidP="00AF1440">
      <w:pPr>
        <w:pStyle w:val="paragraph"/>
      </w:pPr>
      <w:r w:rsidRPr="00F673EE">
        <w:tab/>
        <w:t>(a)</w:t>
      </w:r>
      <w:r w:rsidRPr="00F673EE">
        <w:tab/>
        <w:t>the individual concerned is reasonably likely to have been aware, or made aware under the principle set out in clause</w:t>
      </w:r>
      <w:r w:rsidR="00F673EE">
        <w:t> </w:t>
      </w:r>
      <w:r w:rsidRPr="00F673EE">
        <w:t>2, that information of that kind is usually passed to that person, body or agency; or</w:t>
      </w:r>
    </w:p>
    <w:p w:rsidR="00AF1440" w:rsidRPr="00F673EE" w:rsidRDefault="00AF1440" w:rsidP="00AF1440">
      <w:pPr>
        <w:pStyle w:val="paragraph"/>
      </w:pPr>
      <w:r w:rsidRPr="00F673EE">
        <w:tab/>
        <w:t>(b)</w:t>
      </w:r>
      <w:r w:rsidRPr="00F673EE">
        <w:tab/>
        <w:t>the individual concerned has consented to the disclosure; or</w:t>
      </w:r>
    </w:p>
    <w:p w:rsidR="00AF1440" w:rsidRPr="00F673EE" w:rsidRDefault="00AF1440" w:rsidP="00AF1440">
      <w:pPr>
        <w:pStyle w:val="paragraph"/>
      </w:pPr>
      <w:r w:rsidRPr="00F673EE">
        <w:tab/>
        <w:t>(c)</w:t>
      </w:r>
      <w:r w:rsidRPr="00F673EE">
        <w:tab/>
        <w:t>the disclosure is required or authorised by or under law; or</w:t>
      </w:r>
    </w:p>
    <w:p w:rsidR="00AF1440" w:rsidRPr="00F673EE" w:rsidRDefault="00AF1440" w:rsidP="00AF1440">
      <w:pPr>
        <w:pStyle w:val="paragraph"/>
      </w:pPr>
      <w:r w:rsidRPr="00F673EE">
        <w:tab/>
        <w:t>(d)</w:t>
      </w:r>
      <w:r w:rsidRPr="00F673EE">
        <w:tab/>
        <w:t>the disclosure is reasonably necessary for the enforcement of the criminal law or of a law imposing a pecuniary penalty, or for the protection of the public revenue.</w:t>
      </w:r>
    </w:p>
    <w:p w:rsidR="00AF1440" w:rsidRPr="00F673EE" w:rsidRDefault="00AF1440" w:rsidP="00AF1440">
      <w:pPr>
        <w:pStyle w:val="subsection"/>
      </w:pPr>
      <w:r w:rsidRPr="00F673EE">
        <w:lastRenderedPageBreak/>
        <w:tab/>
        <w:t>(2)</w:t>
      </w:r>
      <w:r w:rsidRPr="00F673EE">
        <w:tab/>
        <w:t>Where personal information is disclosed for the purposes of enforcement of the criminal law or of a law imposing a pecuniary penalty, or for the purpose of the protection of the public revenue, the local registration authority must include in the record containing that information a note of the disclosure.</w:t>
      </w:r>
    </w:p>
    <w:p w:rsidR="00AF1440" w:rsidRPr="00F673EE" w:rsidRDefault="00AF1440" w:rsidP="00AF1440">
      <w:pPr>
        <w:pStyle w:val="subsection"/>
      </w:pPr>
      <w:r w:rsidRPr="00F673EE">
        <w:tab/>
        <w:t>(3)</w:t>
      </w:r>
      <w:r w:rsidRPr="00F673EE">
        <w:tab/>
        <w:t xml:space="preserve">A person, body or agency to whom personal information is disclosed under </w:t>
      </w:r>
      <w:r w:rsidR="00F673EE">
        <w:t>subclause (</w:t>
      </w:r>
      <w:r w:rsidRPr="00F673EE">
        <w:t>1) must not use or disclose the information for a purpose other than the purpose for which the information was given to the person, body or agency.</w:t>
      </w:r>
    </w:p>
    <w:p w:rsidR="00BE5F14" w:rsidRPr="00F673EE" w:rsidRDefault="00BE5F14">
      <w:pPr>
        <w:sectPr w:rsidR="00BE5F14" w:rsidRPr="00F673EE" w:rsidSect="00DC7DD5">
          <w:headerReference w:type="even" r:id="rId40"/>
          <w:headerReference w:type="default" r:id="rId41"/>
          <w:footerReference w:type="even" r:id="rId42"/>
          <w:footerReference w:type="default" r:id="rId43"/>
          <w:headerReference w:type="first" r:id="rId44"/>
          <w:footerReference w:type="first" r:id="rId45"/>
          <w:pgSz w:w="11907" w:h="16839" w:code="9"/>
          <w:pgMar w:top="2381" w:right="2410" w:bottom="4253" w:left="2410" w:header="720" w:footer="3402" w:gutter="0"/>
          <w:cols w:space="720"/>
          <w:docGrid w:linePitch="299"/>
        </w:sectPr>
      </w:pPr>
    </w:p>
    <w:p w:rsidR="0074383C" w:rsidRPr="00F673EE" w:rsidRDefault="0074383C" w:rsidP="00D24366">
      <w:pPr>
        <w:pStyle w:val="ENotesHeading1"/>
        <w:pageBreakBefore/>
        <w:outlineLvl w:val="9"/>
      </w:pPr>
      <w:bookmarkStart w:id="99" w:name="_Toc532465316"/>
      <w:r w:rsidRPr="00F673EE">
        <w:lastRenderedPageBreak/>
        <w:t>Endnotes</w:t>
      </w:r>
      <w:bookmarkEnd w:id="99"/>
    </w:p>
    <w:p w:rsidR="007B6261" w:rsidRPr="00F673EE" w:rsidRDefault="007B6261" w:rsidP="007B6261">
      <w:pPr>
        <w:pStyle w:val="ENotesHeading2"/>
        <w:spacing w:line="240" w:lineRule="auto"/>
        <w:outlineLvl w:val="9"/>
      </w:pPr>
      <w:bookmarkStart w:id="100" w:name="_Toc532465317"/>
      <w:r w:rsidRPr="00F673EE">
        <w:t>Endnote 1—About the endnotes</w:t>
      </w:r>
      <w:bookmarkEnd w:id="100"/>
    </w:p>
    <w:p w:rsidR="007B6261" w:rsidRPr="00F673EE" w:rsidRDefault="007B6261" w:rsidP="007B6261">
      <w:pPr>
        <w:spacing w:after="120"/>
      </w:pPr>
      <w:r w:rsidRPr="00F673EE">
        <w:t>The endnotes provide information about this compilation and the compiled law.</w:t>
      </w:r>
    </w:p>
    <w:p w:rsidR="007B6261" w:rsidRPr="00F673EE" w:rsidRDefault="007B6261" w:rsidP="007B6261">
      <w:pPr>
        <w:spacing w:after="120"/>
      </w:pPr>
      <w:r w:rsidRPr="00F673EE">
        <w:t>The following endnotes are included in every compilation:</w:t>
      </w:r>
    </w:p>
    <w:p w:rsidR="007B6261" w:rsidRPr="00F673EE" w:rsidRDefault="007B6261" w:rsidP="007B6261">
      <w:r w:rsidRPr="00F673EE">
        <w:t>Endnote 1—About the endnotes</w:t>
      </w:r>
    </w:p>
    <w:p w:rsidR="007B6261" w:rsidRPr="00F673EE" w:rsidRDefault="007B6261" w:rsidP="007B6261">
      <w:r w:rsidRPr="00F673EE">
        <w:t>Endnote 2—Abbreviation key</w:t>
      </w:r>
    </w:p>
    <w:p w:rsidR="007B6261" w:rsidRPr="00F673EE" w:rsidRDefault="007B6261" w:rsidP="007B6261">
      <w:r w:rsidRPr="00F673EE">
        <w:t>Endnote 3—Legislation history</w:t>
      </w:r>
    </w:p>
    <w:p w:rsidR="007B6261" w:rsidRPr="00F673EE" w:rsidRDefault="007B6261" w:rsidP="007B6261">
      <w:pPr>
        <w:spacing w:after="120"/>
      </w:pPr>
      <w:r w:rsidRPr="00F673EE">
        <w:t>Endnote 4—Amendment history</w:t>
      </w:r>
    </w:p>
    <w:p w:rsidR="007B6261" w:rsidRPr="00F673EE" w:rsidRDefault="007B6261" w:rsidP="007B6261">
      <w:r w:rsidRPr="00F673EE">
        <w:rPr>
          <w:b/>
        </w:rPr>
        <w:t>Abbreviation key—Endnote 2</w:t>
      </w:r>
    </w:p>
    <w:p w:rsidR="007B6261" w:rsidRPr="00F673EE" w:rsidRDefault="007B6261" w:rsidP="007B6261">
      <w:pPr>
        <w:spacing w:after="120"/>
      </w:pPr>
      <w:r w:rsidRPr="00F673EE">
        <w:t>The abbreviation key sets out abbreviations that may be used in the endnotes.</w:t>
      </w:r>
    </w:p>
    <w:p w:rsidR="007B6261" w:rsidRPr="00F673EE" w:rsidRDefault="007B6261" w:rsidP="007B6261">
      <w:pPr>
        <w:rPr>
          <w:b/>
        </w:rPr>
      </w:pPr>
      <w:r w:rsidRPr="00F673EE">
        <w:rPr>
          <w:b/>
        </w:rPr>
        <w:t>Legislation history and amendment history—Endnotes 3 and 4</w:t>
      </w:r>
    </w:p>
    <w:p w:rsidR="007B6261" w:rsidRPr="00F673EE" w:rsidRDefault="007B6261" w:rsidP="007B6261">
      <w:pPr>
        <w:spacing w:after="120"/>
      </w:pPr>
      <w:r w:rsidRPr="00F673EE">
        <w:t>Amending laws are annotated in the legislation history and amendment history.</w:t>
      </w:r>
    </w:p>
    <w:p w:rsidR="007B6261" w:rsidRPr="00F673EE" w:rsidRDefault="007B6261" w:rsidP="007B6261">
      <w:pPr>
        <w:spacing w:after="120"/>
      </w:pPr>
      <w:r w:rsidRPr="00F673E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B6261" w:rsidRPr="00F673EE" w:rsidRDefault="007B6261" w:rsidP="007B6261">
      <w:pPr>
        <w:spacing w:after="120"/>
      </w:pPr>
      <w:r w:rsidRPr="00F673E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B6261" w:rsidRPr="00F673EE" w:rsidRDefault="007B6261" w:rsidP="007B6261">
      <w:pPr>
        <w:rPr>
          <w:b/>
        </w:rPr>
      </w:pPr>
      <w:r w:rsidRPr="00F673EE">
        <w:rPr>
          <w:b/>
        </w:rPr>
        <w:t>Editorial changes</w:t>
      </w:r>
    </w:p>
    <w:p w:rsidR="007B6261" w:rsidRPr="00F673EE" w:rsidRDefault="007B6261" w:rsidP="007B6261">
      <w:pPr>
        <w:spacing w:after="120"/>
      </w:pPr>
      <w:r w:rsidRPr="00F673EE">
        <w:t xml:space="preserve">The </w:t>
      </w:r>
      <w:r w:rsidRPr="00F673EE">
        <w:rPr>
          <w:i/>
        </w:rPr>
        <w:t>Legislation Act 2003</w:t>
      </w:r>
      <w:r w:rsidRPr="00F673E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B6261" w:rsidRPr="00F673EE" w:rsidRDefault="007B6261" w:rsidP="007B6261">
      <w:pPr>
        <w:spacing w:after="120"/>
      </w:pPr>
      <w:r w:rsidRPr="00F673EE">
        <w:t xml:space="preserve">If the compilation includes editorial changes, the endnotes include a brief outline of the changes in general terms. Full details of any changes can be obtained from the Office of Parliamentary Counsel. </w:t>
      </w:r>
    </w:p>
    <w:p w:rsidR="007B6261" w:rsidRPr="00F673EE" w:rsidRDefault="007B6261" w:rsidP="007B6261">
      <w:pPr>
        <w:keepNext/>
      </w:pPr>
      <w:r w:rsidRPr="00F673EE">
        <w:rPr>
          <w:b/>
        </w:rPr>
        <w:t>Misdescribed amendments</w:t>
      </w:r>
    </w:p>
    <w:p w:rsidR="007B6261" w:rsidRPr="00F673EE" w:rsidRDefault="007B6261" w:rsidP="007B6261">
      <w:pPr>
        <w:spacing w:after="120"/>
      </w:pPr>
      <w:r w:rsidRPr="00F673EE">
        <w:t xml:space="preserve">A misdescribed amendment is an amendment that does not accurately describe the amendment to be made. If, despite the misdescription, the amendment can </w:t>
      </w:r>
      <w:r w:rsidRPr="00F673EE">
        <w:lastRenderedPageBreak/>
        <w:t xml:space="preserve">be given effect as intended, the amendment is incorporated into the compiled law and the abbreviation “(md)” added to the details of the amendment included in the amendment history. </w:t>
      </w:r>
    </w:p>
    <w:p w:rsidR="007B6261" w:rsidRPr="00F673EE" w:rsidRDefault="007B6261" w:rsidP="007B6261">
      <w:pPr>
        <w:spacing w:before="120"/>
      </w:pPr>
      <w:r w:rsidRPr="00F673EE">
        <w:t>If a misdescribed amendment cannot be given effect as intended, the abbreviation “(md not incorp)” is added to the details of the amendment included in the amendment history.</w:t>
      </w:r>
    </w:p>
    <w:p w:rsidR="00300BDF" w:rsidRPr="00F673EE" w:rsidRDefault="00300BDF" w:rsidP="00300BDF">
      <w:pPr>
        <w:spacing w:before="120"/>
      </w:pPr>
    </w:p>
    <w:p w:rsidR="007B6261" w:rsidRPr="00F673EE" w:rsidRDefault="007B6261" w:rsidP="007B6261">
      <w:pPr>
        <w:pStyle w:val="ENotesHeading2"/>
        <w:pageBreakBefore/>
        <w:outlineLvl w:val="9"/>
      </w:pPr>
      <w:bookmarkStart w:id="101" w:name="_Toc532465318"/>
      <w:r w:rsidRPr="00F673EE">
        <w:lastRenderedPageBreak/>
        <w:t>Endnote 2—Abbreviation key</w:t>
      </w:r>
      <w:bookmarkEnd w:id="101"/>
    </w:p>
    <w:p w:rsidR="007B6261" w:rsidRPr="00F673EE" w:rsidRDefault="007B6261" w:rsidP="007B6261">
      <w:pPr>
        <w:pStyle w:val="Tabletext"/>
      </w:pPr>
    </w:p>
    <w:tbl>
      <w:tblPr>
        <w:tblW w:w="7939" w:type="dxa"/>
        <w:tblInd w:w="108" w:type="dxa"/>
        <w:tblLayout w:type="fixed"/>
        <w:tblLook w:val="0000" w:firstRow="0" w:lastRow="0" w:firstColumn="0" w:lastColumn="0" w:noHBand="0" w:noVBand="0"/>
      </w:tblPr>
      <w:tblGrid>
        <w:gridCol w:w="4253"/>
        <w:gridCol w:w="3686"/>
      </w:tblGrid>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ad = added or inserted</w:t>
            </w:r>
          </w:p>
        </w:tc>
        <w:tc>
          <w:tcPr>
            <w:tcW w:w="3686" w:type="dxa"/>
            <w:shd w:val="clear" w:color="auto" w:fill="auto"/>
          </w:tcPr>
          <w:p w:rsidR="007B6261" w:rsidRPr="00F673EE" w:rsidRDefault="007B6261" w:rsidP="007B6261">
            <w:pPr>
              <w:spacing w:before="60"/>
              <w:ind w:left="34"/>
              <w:rPr>
                <w:sz w:val="20"/>
              </w:rPr>
            </w:pPr>
            <w:r w:rsidRPr="00F673EE">
              <w:rPr>
                <w:sz w:val="20"/>
              </w:rPr>
              <w:t>o = order(s)</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am = amended</w:t>
            </w:r>
          </w:p>
        </w:tc>
        <w:tc>
          <w:tcPr>
            <w:tcW w:w="3686" w:type="dxa"/>
            <w:shd w:val="clear" w:color="auto" w:fill="auto"/>
          </w:tcPr>
          <w:p w:rsidR="007B6261" w:rsidRPr="00F673EE" w:rsidRDefault="007B6261" w:rsidP="007B6261">
            <w:pPr>
              <w:spacing w:before="60"/>
              <w:ind w:left="34"/>
              <w:rPr>
                <w:sz w:val="20"/>
              </w:rPr>
            </w:pPr>
            <w:r w:rsidRPr="00F673EE">
              <w:rPr>
                <w:sz w:val="20"/>
              </w:rPr>
              <w:t>Ord = Ordinance</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amdt = amendment</w:t>
            </w:r>
          </w:p>
        </w:tc>
        <w:tc>
          <w:tcPr>
            <w:tcW w:w="3686" w:type="dxa"/>
            <w:shd w:val="clear" w:color="auto" w:fill="auto"/>
          </w:tcPr>
          <w:p w:rsidR="007B6261" w:rsidRPr="00F673EE" w:rsidRDefault="007B6261" w:rsidP="007B6261">
            <w:pPr>
              <w:spacing w:before="60"/>
              <w:ind w:left="34"/>
              <w:rPr>
                <w:sz w:val="20"/>
              </w:rPr>
            </w:pPr>
            <w:r w:rsidRPr="00F673EE">
              <w:rPr>
                <w:sz w:val="20"/>
              </w:rPr>
              <w:t>orig = original</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c = clause(s)</w:t>
            </w:r>
          </w:p>
        </w:tc>
        <w:tc>
          <w:tcPr>
            <w:tcW w:w="3686" w:type="dxa"/>
            <w:shd w:val="clear" w:color="auto" w:fill="auto"/>
          </w:tcPr>
          <w:p w:rsidR="007B6261" w:rsidRPr="00F673EE" w:rsidRDefault="007B6261" w:rsidP="007B6261">
            <w:pPr>
              <w:spacing w:before="60"/>
              <w:ind w:left="34"/>
              <w:rPr>
                <w:sz w:val="20"/>
              </w:rPr>
            </w:pPr>
            <w:r w:rsidRPr="00F673EE">
              <w:rPr>
                <w:sz w:val="20"/>
              </w:rPr>
              <w:t>par = paragraph(s)/subparagraph(s)</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C[x] = Compilation No. x</w:t>
            </w:r>
          </w:p>
        </w:tc>
        <w:tc>
          <w:tcPr>
            <w:tcW w:w="3686" w:type="dxa"/>
            <w:shd w:val="clear" w:color="auto" w:fill="auto"/>
          </w:tcPr>
          <w:p w:rsidR="007B6261" w:rsidRPr="00F673EE" w:rsidRDefault="007B6261" w:rsidP="007B6261">
            <w:pPr>
              <w:ind w:left="34"/>
              <w:rPr>
                <w:sz w:val="20"/>
              </w:rPr>
            </w:pPr>
            <w:r w:rsidRPr="00F673EE">
              <w:rPr>
                <w:sz w:val="20"/>
              </w:rPr>
              <w:t xml:space="preserve">    /sub</w:t>
            </w:r>
            <w:r w:rsidR="00F673EE">
              <w:rPr>
                <w:sz w:val="20"/>
              </w:rPr>
              <w:noBreakHyphen/>
            </w:r>
            <w:r w:rsidRPr="00F673EE">
              <w:rPr>
                <w:sz w:val="20"/>
              </w:rPr>
              <w:t>subparagraph(s)</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Ch = Chapter(s)</w:t>
            </w:r>
          </w:p>
        </w:tc>
        <w:tc>
          <w:tcPr>
            <w:tcW w:w="3686" w:type="dxa"/>
            <w:shd w:val="clear" w:color="auto" w:fill="auto"/>
          </w:tcPr>
          <w:p w:rsidR="007B6261" w:rsidRPr="00F673EE" w:rsidRDefault="007B6261" w:rsidP="007B6261">
            <w:pPr>
              <w:spacing w:before="60"/>
              <w:ind w:left="34"/>
              <w:rPr>
                <w:sz w:val="20"/>
              </w:rPr>
            </w:pPr>
            <w:r w:rsidRPr="00F673EE">
              <w:rPr>
                <w:sz w:val="20"/>
              </w:rPr>
              <w:t>pres = present</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def = definition(s)</w:t>
            </w:r>
          </w:p>
        </w:tc>
        <w:tc>
          <w:tcPr>
            <w:tcW w:w="3686" w:type="dxa"/>
            <w:shd w:val="clear" w:color="auto" w:fill="auto"/>
          </w:tcPr>
          <w:p w:rsidR="007B6261" w:rsidRPr="00F673EE" w:rsidRDefault="007B6261" w:rsidP="007B6261">
            <w:pPr>
              <w:spacing w:before="60"/>
              <w:ind w:left="34"/>
              <w:rPr>
                <w:sz w:val="20"/>
              </w:rPr>
            </w:pPr>
            <w:r w:rsidRPr="00F673EE">
              <w:rPr>
                <w:sz w:val="20"/>
              </w:rPr>
              <w:t>prev = previous</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Dict = Dictionary</w:t>
            </w:r>
          </w:p>
        </w:tc>
        <w:tc>
          <w:tcPr>
            <w:tcW w:w="3686" w:type="dxa"/>
            <w:shd w:val="clear" w:color="auto" w:fill="auto"/>
          </w:tcPr>
          <w:p w:rsidR="007B6261" w:rsidRPr="00F673EE" w:rsidRDefault="007B6261" w:rsidP="007B6261">
            <w:pPr>
              <w:spacing w:before="60"/>
              <w:ind w:left="34"/>
              <w:rPr>
                <w:sz w:val="20"/>
              </w:rPr>
            </w:pPr>
            <w:r w:rsidRPr="00F673EE">
              <w:rPr>
                <w:sz w:val="20"/>
              </w:rPr>
              <w:t>(prev…) = previously</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disallowed = disallowed by Parliament</w:t>
            </w:r>
          </w:p>
        </w:tc>
        <w:tc>
          <w:tcPr>
            <w:tcW w:w="3686" w:type="dxa"/>
            <w:shd w:val="clear" w:color="auto" w:fill="auto"/>
          </w:tcPr>
          <w:p w:rsidR="007B6261" w:rsidRPr="00F673EE" w:rsidRDefault="007B6261" w:rsidP="007B6261">
            <w:pPr>
              <w:spacing w:before="60"/>
              <w:ind w:left="34"/>
              <w:rPr>
                <w:sz w:val="20"/>
              </w:rPr>
            </w:pPr>
            <w:r w:rsidRPr="00F673EE">
              <w:rPr>
                <w:sz w:val="20"/>
              </w:rPr>
              <w:t>Pt = Part(s)</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Div = Division(s)</w:t>
            </w:r>
          </w:p>
        </w:tc>
        <w:tc>
          <w:tcPr>
            <w:tcW w:w="3686" w:type="dxa"/>
            <w:shd w:val="clear" w:color="auto" w:fill="auto"/>
          </w:tcPr>
          <w:p w:rsidR="007B6261" w:rsidRPr="00F673EE" w:rsidRDefault="007B6261" w:rsidP="007B6261">
            <w:pPr>
              <w:spacing w:before="60"/>
              <w:ind w:left="34"/>
              <w:rPr>
                <w:sz w:val="20"/>
              </w:rPr>
            </w:pPr>
            <w:r w:rsidRPr="00F673EE">
              <w:rPr>
                <w:sz w:val="20"/>
              </w:rPr>
              <w:t>r = regulation(s)/rule(s)</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ed = editorial change</w:t>
            </w:r>
          </w:p>
        </w:tc>
        <w:tc>
          <w:tcPr>
            <w:tcW w:w="3686" w:type="dxa"/>
            <w:shd w:val="clear" w:color="auto" w:fill="auto"/>
          </w:tcPr>
          <w:p w:rsidR="007B6261" w:rsidRPr="00F673EE" w:rsidRDefault="007B6261" w:rsidP="007B6261">
            <w:pPr>
              <w:spacing w:before="60"/>
              <w:ind w:left="34"/>
              <w:rPr>
                <w:sz w:val="20"/>
              </w:rPr>
            </w:pPr>
            <w:r w:rsidRPr="00F673EE">
              <w:rPr>
                <w:sz w:val="20"/>
              </w:rPr>
              <w:t>reloc = relocated</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exp = expires/expired or ceases/ceased to have</w:t>
            </w:r>
          </w:p>
        </w:tc>
        <w:tc>
          <w:tcPr>
            <w:tcW w:w="3686" w:type="dxa"/>
            <w:shd w:val="clear" w:color="auto" w:fill="auto"/>
          </w:tcPr>
          <w:p w:rsidR="007B6261" w:rsidRPr="00F673EE" w:rsidRDefault="007B6261" w:rsidP="007B6261">
            <w:pPr>
              <w:spacing w:before="60"/>
              <w:ind w:left="34"/>
              <w:rPr>
                <w:sz w:val="20"/>
              </w:rPr>
            </w:pPr>
            <w:r w:rsidRPr="00F673EE">
              <w:rPr>
                <w:sz w:val="20"/>
              </w:rPr>
              <w:t>renum = renumbered</w:t>
            </w:r>
          </w:p>
        </w:tc>
      </w:tr>
      <w:tr w:rsidR="007B6261" w:rsidRPr="00F673EE" w:rsidTr="007B6261">
        <w:tc>
          <w:tcPr>
            <w:tcW w:w="4253" w:type="dxa"/>
            <w:shd w:val="clear" w:color="auto" w:fill="auto"/>
          </w:tcPr>
          <w:p w:rsidR="007B6261" w:rsidRPr="00F673EE" w:rsidRDefault="007B6261" w:rsidP="007B6261">
            <w:pPr>
              <w:ind w:left="34"/>
              <w:rPr>
                <w:sz w:val="20"/>
              </w:rPr>
            </w:pPr>
            <w:r w:rsidRPr="00F673EE">
              <w:rPr>
                <w:sz w:val="20"/>
              </w:rPr>
              <w:t xml:space="preserve">    effect</w:t>
            </w:r>
          </w:p>
        </w:tc>
        <w:tc>
          <w:tcPr>
            <w:tcW w:w="3686" w:type="dxa"/>
            <w:shd w:val="clear" w:color="auto" w:fill="auto"/>
          </w:tcPr>
          <w:p w:rsidR="007B6261" w:rsidRPr="00F673EE" w:rsidRDefault="007B6261" w:rsidP="007B6261">
            <w:pPr>
              <w:spacing w:before="60"/>
              <w:ind w:left="34"/>
              <w:rPr>
                <w:sz w:val="20"/>
              </w:rPr>
            </w:pPr>
            <w:r w:rsidRPr="00F673EE">
              <w:rPr>
                <w:sz w:val="20"/>
              </w:rPr>
              <w:t>rep = repealed</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F = Federal Register of Legislation</w:t>
            </w:r>
          </w:p>
        </w:tc>
        <w:tc>
          <w:tcPr>
            <w:tcW w:w="3686" w:type="dxa"/>
            <w:shd w:val="clear" w:color="auto" w:fill="auto"/>
          </w:tcPr>
          <w:p w:rsidR="007B6261" w:rsidRPr="00F673EE" w:rsidRDefault="007B6261" w:rsidP="007B6261">
            <w:pPr>
              <w:spacing w:before="60"/>
              <w:ind w:left="34"/>
              <w:rPr>
                <w:sz w:val="20"/>
              </w:rPr>
            </w:pPr>
            <w:r w:rsidRPr="00F673EE">
              <w:rPr>
                <w:sz w:val="20"/>
              </w:rPr>
              <w:t>rs = repealed and substituted</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gaz = gazette</w:t>
            </w:r>
          </w:p>
        </w:tc>
        <w:tc>
          <w:tcPr>
            <w:tcW w:w="3686" w:type="dxa"/>
            <w:shd w:val="clear" w:color="auto" w:fill="auto"/>
          </w:tcPr>
          <w:p w:rsidR="007B6261" w:rsidRPr="00F673EE" w:rsidRDefault="007B6261" w:rsidP="007B6261">
            <w:pPr>
              <w:spacing w:before="60"/>
              <w:ind w:left="34"/>
              <w:rPr>
                <w:sz w:val="20"/>
              </w:rPr>
            </w:pPr>
            <w:r w:rsidRPr="00F673EE">
              <w:rPr>
                <w:sz w:val="20"/>
              </w:rPr>
              <w:t>s = section(s)/subsection(s)</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 xml:space="preserve">LA = </w:t>
            </w:r>
            <w:r w:rsidRPr="00F673EE">
              <w:rPr>
                <w:i/>
                <w:sz w:val="20"/>
              </w:rPr>
              <w:t>Legislation Act 2003</w:t>
            </w:r>
          </w:p>
        </w:tc>
        <w:tc>
          <w:tcPr>
            <w:tcW w:w="3686" w:type="dxa"/>
            <w:shd w:val="clear" w:color="auto" w:fill="auto"/>
          </w:tcPr>
          <w:p w:rsidR="007B6261" w:rsidRPr="00F673EE" w:rsidRDefault="007B6261" w:rsidP="007B6261">
            <w:pPr>
              <w:spacing w:before="60"/>
              <w:ind w:left="34"/>
              <w:rPr>
                <w:sz w:val="20"/>
              </w:rPr>
            </w:pPr>
            <w:r w:rsidRPr="00F673EE">
              <w:rPr>
                <w:sz w:val="20"/>
              </w:rPr>
              <w:t>Sch = Schedule(s)</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 xml:space="preserve">LIA = </w:t>
            </w:r>
            <w:r w:rsidRPr="00F673EE">
              <w:rPr>
                <w:i/>
                <w:sz w:val="20"/>
              </w:rPr>
              <w:t>Legislative Instruments Act 2003</w:t>
            </w:r>
          </w:p>
        </w:tc>
        <w:tc>
          <w:tcPr>
            <w:tcW w:w="3686" w:type="dxa"/>
            <w:shd w:val="clear" w:color="auto" w:fill="auto"/>
          </w:tcPr>
          <w:p w:rsidR="007B6261" w:rsidRPr="00F673EE" w:rsidRDefault="007B6261" w:rsidP="007B6261">
            <w:pPr>
              <w:spacing w:before="60"/>
              <w:ind w:left="34"/>
              <w:rPr>
                <w:sz w:val="20"/>
              </w:rPr>
            </w:pPr>
            <w:r w:rsidRPr="00F673EE">
              <w:rPr>
                <w:sz w:val="20"/>
              </w:rPr>
              <w:t>Sdiv = Subdivision(s)</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(md) = misdescribed amendment can be given</w:t>
            </w:r>
          </w:p>
        </w:tc>
        <w:tc>
          <w:tcPr>
            <w:tcW w:w="3686" w:type="dxa"/>
            <w:shd w:val="clear" w:color="auto" w:fill="auto"/>
          </w:tcPr>
          <w:p w:rsidR="007B6261" w:rsidRPr="00F673EE" w:rsidRDefault="007B6261" w:rsidP="007B6261">
            <w:pPr>
              <w:spacing w:before="60"/>
              <w:ind w:left="34"/>
              <w:rPr>
                <w:sz w:val="20"/>
              </w:rPr>
            </w:pPr>
            <w:r w:rsidRPr="00F673EE">
              <w:rPr>
                <w:sz w:val="20"/>
              </w:rPr>
              <w:t>SLI = Select Legislative Instrument</w:t>
            </w:r>
          </w:p>
        </w:tc>
      </w:tr>
      <w:tr w:rsidR="007B6261" w:rsidRPr="00F673EE" w:rsidTr="007B6261">
        <w:tc>
          <w:tcPr>
            <w:tcW w:w="4253" w:type="dxa"/>
            <w:shd w:val="clear" w:color="auto" w:fill="auto"/>
          </w:tcPr>
          <w:p w:rsidR="007B6261" w:rsidRPr="00F673EE" w:rsidRDefault="007B6261" w:rsidP="007B6261">
            <w:pPr>
              <w:ind w:left="34"/>
              <w:rPr>
                <w:sz w:val="20"/>
              </w:rPr>
            </w:pPr>
            <w:r w:rsidRPr="00F673EE">
              <w:rPr>
                <w:sz w:val="20"/>
              </w:rPr>
              <w:t xml:space="preserve">    effect</w:t>
            </w:r>
          </w:p>
        </w:tc>
        <w:tc>
          <w:tcPr>
            <w:tcW w:w="3686" w:type="dxa"/>
            <w:shd w:val="clear" w:color="auto" w:fill="auto"/>
          </w:tcPr>
          <w:p w:rsidR="007B6261" w:rsidRPr="00F673EE" w:rsidRDefault="007B6261" w:rsidP="007B6261">
            <w:pPr>
              <w:spacing w:before="60"/>
              <w:ind w:left="34"/>
              <w:rPr>
                <w:sz w:val="20"/>
              </w:rPr>
            </w:pPr>
            <w:r w:rsidRPr="00F673EE">
              <w:rPr>
                <w:sz w:val="20"/>
              </w:rPr>
              <w:t>SR = Statutory Rules</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(md not incorp) = misdescribed amendment</w:t>
            </w:r>
          </w:p>
        </w:tc>
        <w:tc>
          <w:tcPr>
            <w:tcW w:w="3686" w:type="dxa"/>
            <w:shd w:val="clear" w:color="auto" w:fill="auto"/>
          </w:tcPr>
          <w:p w:rsidR="007B6261" w:rsidRPr="00F673EE" w:rsidRDefault="007B6261" w:rsidP="007B6261">
            <w:pPr>
              <w:spacing w:before="60"/>
              <w:ind w:left="34"/>
              <w:rPr>
                <w:sz w:val="20"/>
              </w:rPr>
            </w:pPr>
            <w:r w:rsidRPr="00F673EE">
              <w:rPr>
                <w:sz w:val="20"/>
              </w:rPr>
              <w:t>Sub</w:t>
            </w:r>
            <w:r w:rsidR="00F673EE">
              <w:rPr>
                <w:sz w:val="20"/>
              </w:rPr>
              <w:noBreakHyphen/>
            </w:r>
            <w:r w:rsidRPr="00F673EE">
              <w:rPr>
                <w:sz w:val="20"/>
              </w:rPr>
              <w:t>Ch = Sub</w:t>
            </w:r>
            <w:r w:rsidR="00F673EE">
              <w:rPr>
                <w:sz w:val="20"/>
              </w:rPr>
              <w:noBreakHyphen/>
            </w:r>
            <w:r w:rsidRPr="00F673EE">
              <w:rPr>
                <w:sz w:val="20"/>
              </w:rPr>
              <w:t>Chapter(s)</w:t>
            </w:r>
          </w:p>
        </w:tc>
      </w:tr>
      <w:tr w:rsidR="007B6261" w:rsidRPr="00F673EE" w:rsidTr="007B6261">
        <w:tc>
          <w:tcPr>
            <w:tcW w:w="4253" w:type="dxa"/>
            <w:shd w:val="clear" w:color="auto" w:fill="auto"/>
          </w:tcPr>
          <w:p w:rsidR="007B6261" w:rsidRPr="00F673EE" w:rsidRDefault="007B6261" w:rsidP="007B6261">
            <w:pPr>
              <w:ind w:left="34"/>
              <w:rPr>
                <w:sz w:val="20"/>
              </w:rPr>
            </w:pPr>
            <w:r w:rsidRPr="00F673EE">
              <w:rPr>
                <w:sz w:val="20"/>
              </w:rPr>
              <w:t xml:space="preserve">    cannot be given effect</w:t>
            </w:r>
          </w:p>
        </w:tc>
        <w:tc>
          <w:tcPr>
            <w:tcW w:w="3686" w:type="dxa"/>
            <w:shd w:val="clear" w:color="auto" w:fill="auto"/>
          </w:tcPr>
          <w:p w:rsidR="007B6261" w:rsidRPr="00F673EE" w:rsidRDefault="007B6261" w:rsidP="007B6261">
            <w:pPr>
              <w:spacing w:before="60"/>
              <w:ind w:left="34"/>
              <w:rPr>
                <w:sz w:val="20"/>
              </w:rPr>
            </w:pPr>
            <w:r w:rsidRPr="00F673EE">
              <w:rPr>
                <w:sz w:val="20"/>
              </w:rPr>
              <w:t>SubPt = Subpart(s)</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mod = modified/modification</w:t>
            </w:r>
          </w:p>
        </w:tc>
        <w:tc>
          <w:tcPr>
            <w:tcW w:w="3686" w:type="dxa"/>
            <w:shd w:val="clear" w:color="auto" w:fill="auto"/>
          </w:tcPr>
          <w:p w:rsidR="007B6261" w:rsidRPr="00F673EE" w:rsidRDefault="007B6261" w:rsidP="007B6261">
            <w:pPr>
              <w:spacing w:before="60"/>
              <w:ind w:left="34"/>
              <w:rPr>
                <w:sz w:val="20"/>
              </w:rPr>
            </w:pPr>
            <w:r w:rsidRPr="00F673EE">
              <w:rPr>
                <w:sz w:val="20"/>
                <w:u w:val="single"/>
              </w:rPr>
              <w:t>underlining</w:t>
            </w:r>
            <w:r w:rsidRPr="00F673EE">
              <w:rPr>
                <w:sz w:val="20"/>
              </w:rPr>
              <w:t xml:space="preserve"> = whole or part not</w:t>
            </w:r>
          </w:p>
        </w:tc>
      </w:tr>
      <w:tr w:rsidR="007B6261" w:rsidRPr="00F673EE" w:rsidTr="007B6261">
        <w:tc>
          <w:tcPr>
            <w:tcW w:w="4253" w:type="dxa"/>
            <w:shd w:val="clear" w:color="auto" w:fill="auto"/>
          </w:tcPr>
          <w:p w:rsidR="007B6261" w:rsidRPr="00F673EE" w:rsidRDefault="007B6261" w:rsidP="007B6261">
            <w:pPr>
              <w:spacing w:before="60"/>
              <w:ind w:left="34"/>
              <w:rPr>
                <w:sz w:val="20"/>
              </w:rPr>
            </w:pPr>
            <w:r w:rsidRPr="00F673EE">
              <w:rPr>
                <w:sz w:val="20"/>
              </w:rPr>
              <w:t>No. = Number(s)</w:t>
            </w:r>
          </w:p>
        </w:tc>
        <w:tc>
          <w:tcPr>
            <w:tcW w:w="3686" w:type="dxa"/>
            <w:shd w:val="clear" w:color="auto" w:fill="auto"/>
          </w:tcPr>
          <w:p w:rsidR="007B6261" w:rsidRPr="00F673EE" w:rsidRDefault="007B6261" w:rsidP="007B6261">
            <w:pPr>
              <w:ind w:left="34"/>
              <w:rPr>
                <w:sz w:val="20"/>
              </w:rPr>
            </w:pPr>
            <w:r w:rsidRPr="00F673EE">
              <w:rPr>
                <w:sz w:val="20"/>
              </w:rPr>
              <w:t xml:space="preserve">    commenced or to be commenced</w:t>
            </w:r>
          </w:p>
        </w:tc>
      </w:tr>
    </w:tbl>
    <w:p w:rsidR="007B6261" w:rsidRPr="00F673EE" w:rsidRDefault="007B6261" w:rsidP="007B6261">
      <w:pPr>
        <w:pStyle w:val="Tabletext"/>
      </w:pPr>
    </w:p>
    <w:p w:rsidR="00B05AA2" w:rsidRPr="00F673EE" w:rsidRDefault="00B05AA2" w:rsidP="0091529B">
      <w:pPr>
        <w:pStyle w:val="ENotesHeading2"/>
        <w:pageBreakBefore/>
        <w:outlineLvl w:val="9"/>
      </w:pPr>
      <w:bookmarkStart w:id="102" w:name="_Toc532465319"/>
      <w:r w:rsidRPr="00F673EE">
        <w:lastRenderedPageBreak/>
        <w:t>Endnote 3—Legislation history</w:t>
      </w:r>
      <w:bookmarkEnd w:id="102"/>
    </w:p>
    <w:p w:rsidR="0074383C" w:rsidRPr="00F673EE" w:rsidRDefault="0074383C" w:rsidP="001A0FF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74383C" w:rsidRPr="00F673EE" w:rsidTr="001A0FF4">
        <w:trPr>
          <w:cantSplit/>
          <w:tblHeader/>
        </w:trPr>
        <w:tc>
          <w:tcPr>
            <w:tcW w:w="1838" w:type="dxa"/>
            <w:tcBorders>
              <w:top w:val="single" w:sz="12" w:space="0" w:color="auto"/>
              <w:bottom w:val="single" w:sz="12" w:space="0" w:color="auto"/>
            </w:tcBorders>
            <w:shd w:val="clear" w:color="auto" w:fill="auto"/>
          </w:tcPr>
          <w:p w:rsidR="0074383C" w:rsidRPr="00F673EE" w:rsidRDefault="0074383C" w:rsidP="001A0FF4">
            <w:pPr>
              <w:pStyle w:val="ENoteTableHeading"/>
            </w:pPr>
            <w:r w:rsidRPr="00F673EE">
              <w:t>Act</w:t>
            </w:r>
          </w:p>
        </w:tc>
        <w:tc>
          <w:tcPr>
            <w:tcW w:w="992" w:type="dxa"/>
            <w:tcBorders>
              <w:top w:val="single" w:sz="12" w:space="0" w:color="auto"/>
              <w:bottom w:val="single" w:sz="12" w:space="0" w:color="auto"/>
            </w:tcBorders>
            <w:shd w:val="clear" w:color="auto" w:fill="auto"/>
          </w:tcPr>
          <w:p w:rsidR="0074383C" w:rsidRPr="00F673EE" w:rsidRDefault="0074383C" w:rsidP="001A0FF4">
            <w:pPr>
              <w:pStyle w:val="ENoteTableHeading"/>
            </w:pPr>
            <w:r w:rsidRPr="00F673EE">
              <w:t>Number and year</w:t>
            </w:r>
          </w:p>
        </w:tc>
        <w:tc>
          <w:tcPr>
            <w:tcW w:w="993" w:type="dxa"/>
            <w:tcBorders>
              <w:top w:val="single" w:sz="12" w:space="0" w:color="auto"/>
              <w:bottom w:val="single" w:sz="12" w:space="0" w:color="auto"/>
            </w:tcBorders>
            <w:shd w:val="clear" w:color="auto" w:fill="auto"/>
          </w:tcPr>
          <w:p w:rsidR="0074383C" w:rsidRPr="00F673EE" w:rsidRDefault="0074383C" w:rsidP="00031365">
            <w:pPr>
              <w:pStyle w:val="ENoteTableHeading"/>
            </w:pPr>
            <w:r w:rsidRPr="00F673EE">
              <w:t>Assent</w:t>
            </w:r>
          </w:p>
        </w:tc>
        <w:tc>
          <w:tcPr>
            <w:tcW w:w="1845" w:type="dxa"/>
            <w:tcBorders>
              <w:top w:val="single" w:sz="12" w:space="0" w:color="auto"/>
              <w:bottom w:val="single" w:sz="12" w:space="0" w:color="auto"/>
            </w:tcBorders>
            <w:shd w:val="clear" w:color="auto" w:fill="auto"/>
          </w:tcPr>
          <w:p w:rsidR="0074383C" w:rsidRPr="00F673EE" w:rsidRDefault="001A0FF4" w:rsidP="001A0FF4">
            <w:pPr>
              <w:pStyle w:val="ENoteTableHeading"/>
            </w:pPr>
            <w:r w:rsidRPr="00F673EE">
              <w:t>Commencement</w:t>
            </w:r>
          </w:p>
        </w:tc>
        <w:tc>
          <w:tcPr>
            <w:tcW w:w="1417" w:type="dxa"/>
            <w:tcBorders>
              <w:top w:val="single" w:sz="12" w:space="0" w:color="auto"/>
              <w:bottom w:val="single" w:sz="12" w:space="0" w:color="auto"/>
            </w:tcBorders>
            <w:shd w:val="clear" w:color="auto" w:fill="auto"/>
          </w:tcPr>
          <w:p w:rsidR="0074383C" w:rsidRPr="00F673EE" w:rsidRDefault="0074383C" w:rsidP="001A0FF4">
            <w:pPr>
              <w:pStyle w:val="ENoteTableHeading"/>
            </w:pPr>
            <w:r w:rsidRPr="00F673EE">
              <w:t>Application, saving and transitional provisions</w:t>
            </w:r>
          </w:p>
        </w:tc>
      </w:tr>
      <w:tr w:rsidR="0074383C" w:rsidRPr="00F673EE" w:rsidTr="000F5003">
        <w:trPr>
          <w:cantSplit/>
        </w:trPr>
        <w:tc>
          <w:tcPr>
            <w:tcW w:w="1838" w:type="dxa"/>
            <w:tcBorders>
              <w:top w:val="single" w:sz="12" w:space="0" w:color="auto"/>
              <w:bottom w:val="single" w:sz="4" w:space="0" w:color="auto"/>
            </w:tcBorders>
            <w:shd w:val="clear" w:color="auto" w:fill="auto"/>
          </w:tcPr>
          <w:p w:rsidR="0074383C" w:rsidRPr="00F673EE" w:rsidRDefault="0074383C" w:rsidP="0074383C">
            <w:pPr>
              <w:pStyle w:val="ENoteTableText"/>
            </w:pPr>
            <w:r w:rsidRPr="00F673EE">
              <w:t>Trans</w:t>
            </w:r>
            <w:r w:rsidR="00F673EE">
              <w:noBreakHyphen/>
            </w:r>
            <w:r w:rsidRPr="00F673EE">
              <w:t>Tasman Mutual Recognition Act 1997</w:t>
            </w:r>
          </w:p>
        </w:tc>
        <w:tc>
          <w:tcPr>
            <w:tcW w:w="992" w:type="dxa"/>
            <w:tcBorders>
              <w:top w:val="single" w:sz="12" w:space="0" w:color="auto"/>
              <w:bottom w:val="single" w:sz="4" w:space="0" w:color="auto"/>
            </w:tcBorders>
            <w:shd w:val="clear" w:color="auto" w:fill="auto"/>
          </w:tcPr>
          <w:p w:rsidR="0074383C" w:rsidRPr="00F673EE" w:rsidRDefault="0074383C" w:rsidP="0074383C">
            <w:pPr>
              <w:pStyle w:val="ENoteTableText"/>
            </w:pPr>
            <w:r w:rsidRPr="00F673EE">
              <w:t>190, 1997</w:t>
            </w:r>
          </w:p>
        </w:tc>
        <w:tc>
          <w:tcPr>
            <w:tcW w:w="993" w:type="dxa"/>
            <w:tcBorders>
              <w:top w:val="single" w:sz="12" w:space="0" w:color="auto"/>
              <w:bottom w:val="single" w:sz="4" w:space="0" w:color="auto"/>
            </w:tcBorders>
            <w:shd w:val="clear" w:color="auto" w:fill="auto"/>
          </w:tcPr>
          <w:p w:rsidR="0074383C" w:rsidRPr="00F673EE" w:rsidRDefault="0074383C" w:rsidP="0074383C">
            <w:pPr>
              <w:pStyle w:val="ENoteTableText"/>
            </w:pPr>
            <w:smartTag w:uri="urn:schemas-microsoft-com:office:smarttags" w:element="address">
              <w:smartTagPr>
                <w:attr w:name="Year" w:val="1997"/>
                <w:attr w:name="Day" w:val="7"/>
                <w:attr w:name="Month" w:val="12"/>
              </w:smartTagPr>
              <w:r w:rsidRPr="00F673EE">
                <w:t>7 Dec 1997</w:t>
              </w:r>
            </w:smartTag>
          </w:p>
        </w:tc>
        <w:tc>
          <w:tcPr>
            <w:tcW w:w="1845" w:type="dxa"/>
            <w:tcBorders>
              <w:top w:val="single" w:sz="12" w:space="0" w:color="auto"/>
              <w:bottom w:val="single" w:sz="4" w:space="0" w:color="auto"/>
            </w:tcBorders>
            <w:shd w:val="clear" w:color="auto" w:fill="auto"/>
          </w:tcPr>
          <w:p w:rsidR="0074383C" w:rsidRPr="00F673EE" w:rsidRDefault="00D24366" w:rsidP="00DC060F">
            <w:pPr>
              <w:pStyle w:val="ENoteTableText"/>
            </w:pPr>
            <w:r w:rsidRPr="00F673EE">
              <w:t>s</w:t>
            </w:r>
            <w:r w:rsidR="0074383C" w:rsidRPr="00F673EE">
              <w:t xml:space="preserve"> 1–8: </w:t>
            </w:r>
            <w:r w:rsidR="0058223C" w:rsidRPr="00F673EE">
              <w:t>7 Dec 1997</w:t>
            </w:r>
            <w:r w:rsidR="0074383C" w:rsidRPr="00F673EE">
              <w:t xml:space="preserve"> </w:t>
            </w:r>
            <w:r w:rsidR="0058223C" w:rsidRPr="00F673EE">
              <w:t>(s 2(1))</w:t>
            </w:r>
            <w:r w:rsidR="0074383C" w:rsidRPr="00F673EE">
              <w:br/>
              <w:t>Remainder: 1</w:t>
            </w:r>
            <w:r w:rsidR="00F673EE">
              <w:t> </w:t>
            </w:r>
            <w:r w:rsidR="0074383C" w:rsidRPr="00F673EE">
              <w:t>May 1998 (</w:t>
            </w:r>
            <w:r w:rsidR="0058223C" w:rsidRPr="00F673EE">
              <w:t xml:space="preserve">s 2(2) and </w:t>
            </w:r>
            <w:r w:rsidR="004D7FE5" w:rsidRPr="00F673EE">
              <w:t>gaz</w:t>
            </w:r>
            <w:r w:rsidR="0074383C" w:rsidRPr="00F673EE">
              <w:rPr>
                <w:i/>
              </w:rPr>
              <w:t xml:space="preserve"> </w:t>
            </w:r>
            <w:r w:rsidR="0074383C" w:rsidRPr="00F673EE">
              <w:t>1998, No</w:t>
            </w:r>
            <w:r w:rsidR="00DC060F" w:rsidRPr="00F673EE">
              <w:t> S187)</w:t>
            </w:r>
          </w:p>
        </w:tc>
        <w:tc>
          <w:tcPr>
            <w:tcW w:w="1417" w:type="dxa"/>
            <w:tcBorders>
              <w:top w:val="single" w:sz="12" w:space="0" w:color="auto"/>
              <w:bottom w:val="single" w:sz="4" w:space="0" w:color="auto"/>
            </w:tcBorders>
            <w:shd w:val="clear" w:color="auto" w:fill="auto"/>
          </w:tcPr>
          <w:p w:rsidR="0074383C" w:rsidRPr="00F673EE" w:rsidRDefault="0074383C" w:rsidP="0074383C">
            <w:pPr>
              <w:pStyle w:val="ENoteTableText"/>
            </w:pPr>
          </w:p>
        </w:tc>
      </w:tr>
      <w:tr w:rsidR="0074383C" w:rsidRPr="00F673EE" w:rsidTr="000F5003">
        <w:trPr>
          <w:cantSplit/>
        </w:trPr>
        <w:tc>
          <w:tcPr>
            <w:tcW w:w="1838"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Statute Stocktake Act 1999</w:t>
            </w:r>
          </w:p>
        </w:tc>
        <w:tc>
          <w:tcPr>
            <w:tcW w:w="992"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118, 1999</w:t>
            </w:r>
          </w:p>
        </w:tc>
        <w:tc>
          <w:tcPr>
            <w:tcW w:w="993" w:type="dxa"/>
            <w:tcBorders>
              <w:top w:val="single" w:sz="4" w:space="0" w:color="auto"/>
              <w:bottom w:val="single" w:sz="4" w:space="0" w:color="auto"/>
            </w:tcBorders>
            <w:shd w:val="clear" w:color="auto" w:fill="auto"/>
          </w:tcPr>
          <w:p w:rsidR="0074383C" w:rsidRPr="00F673EE" w:rsidRDefault="0074383C" w:rsidP="0074383C">
            <w:pPr>
              <w:pStyle w:val="ENoteTableText"/>
            </w:pPr>
            <w:smartTag w:uri="urn:schemas-microsoft-com:office:smarttags" w:element="address">
              <w:smartTagPr>
                <w:attr w:name="Year" w:val="1999"/>
                <w:attr w:name="Day" w:val="22"/>
                <w:attr w:name="Month" w:val="9"/>
              </w:smartTagPr>
              <w:r w:rsidRPr="00F673EE">
                <w:t>22 Sept 1999</w:t>
              </w:r>
            </w:smartTag>
          </w:p>
        </w:tc>
        <w:tc>
          <w:tcPr>
            <w:tcW w:w="1845" w:type="dxa"/>
            <w:tcBorders>
              <w:top w:val="single" w:sz="4" w:space="0" w:color="auto"/>
              <w:bottom w:val="single" w:sz="4" w:space="0" w:color="auto"/>
            </w:tcBorders>
            <w:shd w:val="clear" w:color="auto" w:fill="auto"/>
          </w:tcPr>
          <w:p w:rsidR="0074383C" w:rsidRPr="00F673EE" w:rsidRDefault="002150C5" w:rsidP="0074383C">
            <w:pPr>
              <w:pStyle w:val="ENoteTableText"/>
            </w:pPr>
            <w:r w:rsidRPr="00F673EE">
              <w:t>Sch 2 (item</w:t>
            </w:r>
            <w:r w:rsidR="00F673EE">
              <w:t> </w:t>
            </w:r>
            <w:r w:rsidRPr="00F673EE">
              <w:t xml:space="preserve">14): </w:t>
            </w:r>
            <w:r w:rsidR="0074383C" w:rsidRPr="00F673EE">
              <w:t>22 Sept 1999</w:t>
            </w:r>
            <w:r w:rsidRPr="00F673EE">
              <w:t xml:space="preserve"> (s 2(1))</w:t>
            </w:r>
          </w:p>
        </w:tc>
        <w:tc>
          <w:tcPr>
            <w:tcW w:w="1417"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w:t>
            </w:r>
          </w:p>
        </w:tc>
      </w:tr>
      <w:tr w:rsidR="0074383C" w:rsidRPr="00F673EE" w:rsidTr="000F5003">
        <w:trPr>
          <w:cantSplit/>
        </w:trPr>
        <w:tc>
          <w:tcPr>
            <w:tcW w:w="1838"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Ozone Protection and Synthetic Greenhouse Gas Legislation Amendment Act 2003</w:t>
            </w:r>
          </w:p>
        </w:tc>
        <w:tc>
          <w:tcPr>
            <w:tcW w:w="992"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126, 2003</w:t>
            </w:r>
          </w:p>
        </w:tc>
        <w:tc>
          <w:tcPr>
            <w:tcW w:w="993" w:type="dxa"/>
            <w:tcBorders>
              <w:top w:val="single" w:sz="4" w:space="0" w:color="auto"/>
              <w:bottom w:val="single" w:sz="4" w:space="0" w:color="auto"/>
            </w:tcBorders>
            <w:shd w:val="clear" w:color="auto" w:fill="auto"/>
          </w:tcPr>
          <w:p w:rsidR="0074383C" w:rsidRPr="00F673EE" w:rsidRDefault="0074383C" w:rsidP="0074383C">
            <w:pPr>
              <w:pStyle w:val="ENoteTableText"/>
            </w:pPr>
            <w:smartTag w:uri="urn:schemas-microsoft-com:office:smarttags" w:element="address">
              <w:smartTagPr>
                <w:attr w:name="Year" w:val="2003"/>
                <w:attr w:name="Day" w:val="5"/>
                <w:attr w:name="Month" w:val="12"/>
              </w:smartTagPr>
              <w:r w:rsidRPr="00F673EE">
                <w:t>5 Dec 2003</w:t>
              </w:r>
            </w:smartTag>
          </w:p>
        </w:tc>
        <w:tc>
          <w:tcPr>
            <w:tcW w:w="1845" w:type="dxa"/>
            <w:tcBorders>
              <w:top w:val="single" w:sz="4" w:space="0" w:color="auto"/>
              <w:bottom w:val="single" w:sz="4" w:space="0" w:color="auto"/>
            </w:tcBorders>
            <w:shd w:val="clear" w:color="auto" w:fill="auto"/>
          </w:tcPr>
          <w:p w:rsidR="0074383C" w:rsidRPr="00F673EE" w:rsidRDefault="00077820" w:rsidP="0074383C">
            <w:pPr>
              <w:pStyle w:val="ENoteTableText"/>
            </w:pPr>
            <w:r w:rsidRPr="00F673EE">
              <w:t>Sch 1 (item</w:t>
            </w:r>
            <w:r w:rsidR="00F673EE">
              <w:t> </w:t>
            </w:r>
            <w:r w:rsidRPr="00F673EE">
              <w:t xml:space="preserve">85): </w:t>
            </w:r>
            <w:r w:rsidR="0074383C" w:rsidRPr="00F673EE">
              <w:t>5 Dec 2003</w:t>
            </w:r>
            <w:r w:rsidRPr="00F673EE">
              <w:t xml:space="preserve"> (s 2)</w:t>
            </w:r>
          </w:p>
        </w:tc>
        <w:tc>
          <w:tcPr>
            <w:tcW w:w="1417"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w:t>
            </w:r>
          </w:p>
        </w:tc>
      </w:tr>
      <w:tr w:rsidR="0074383C" w:rsidRPr="00F673EE" w:rsidTr="000F5003">
        <w:trPr>
          <w:cantSplit/>
        </w:trPr>
        <w:tc>
          <w:tcPr>
            <w:tcW w:w="1838"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Administrative Appeals Tribunal Amendment Act 2005</w:t>
            </w:r>
          </w:p>
        </w:tc>
        <w:tc>
          <w:tcPr>
            <w:tcW w:w="992"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38, 2005</w:t>
            </w:r>
          </w:p>
        </w:tc>
        <w:tc>
          <w:tcPr>
            <w:tcW w:w="993" w:type="dxa"/>
            <w:tcBorders>
              <w:top w:val="single" w:sz="4" w:space="0" w:color="auto"/>
              <w:bottom w:val="single" w:sz="4" w:space="0" w:color="auto"/>
            </w:tcBorders>
            <w:shd w:val="clear" w:color="auto" w:fill="auto"/>
          </w:tcPr>
          <w:p w:rsidR="0074383C" w:rsidRPr="00F673EE" w:rsidRDefault="0074383C" w:rsidP="0074383C">
            <w:pPr>
              <w:pStyle w:val="ENoteTableText"/>
            </w:pPr>
            <w:smartTag w:uri="urn:schemas-microsoft-com:office:smarttags" w:element="address">
              <w:smartTagPr>
                <w:attr w:name="Year" w:val="2005"/>
                <w:attr w:name="Day" w:val="1"/>
                <w:attr w:name="Month" w:val="4"/>
              </w:smartTagPr>
              <w:r w:rsidRPr="00F673EE">
                <w:t>1 Apr 2005</w:t>
              </w:r>
            </w:smartTag>
          </w:p>
        </w:tc>
        <w:tc>
          <w:tcPr>
            <w:tcW w:w="1845" w:type="dxa"/>
            <w:tcBorders>
              <w:top w:val="single" w:sz="4" w:space="0" w:color="auto"/>
              <w:bottom w:val="single" w:sz="4" w:space="0" w:color="auto"/>
            </w:tcBorders>
            <w:shd w:val="clear" w:color="auto" w:fill="auto"/>
          </w:tcPr>
          <w:p w:rsidR="0074383C" w:rsidRPr="00F673EE" w:rsidRDefault="0074383C" w:rsidP="00316638">
            <w:pPr>
              <w:pStyle w:val="ENoteTableText"/>
            </w:pPr>
            <w:r w:rsidRPr="00F673EE">
              <w:t>Sch</w:t>
            </w:r>
            <w:r w:rsidR="00D24366" w:rsidRPr="00F673EE">
              <w:t> </w:t>
            </w:r>
            <w:r w:rsidRPr="00F673EE">
              <w:t>1 (items</w:t>
            </w:r>
            <w:r w:rsidR="00F673EE">
              <w:t> </w:t>
            </w:r>
            <w:r w:rsidRPr="00F673EE">
              <w:t>235, 236): 16</w:t>
            </w:r>
            <w:r w:rsidR="00F673EE">
              <w:t> </w:t>
            </w:r>
            <w:r w:rsidRPr="00F673EE">
              <w:t>May 2005</w:t>
            </w:r>
            <w:r w:rsidR="00AA3C2D" w:rsidRPr="00F673EE">
              <w:t xml:space="preserve"> (s 2(1) item</w:t>
            </w:r>
            <w:r w:rsidR="00F673EE">
              <w:t> </w:t>
            </w:r>
            <w:r w:rsidR="00AA3C2D" w:rsidRPr="00F673EE">
              <w:t>6)</w:t>
            </w:r>
          </w:p>
        </w:tc>
        <w:tc>
          <w:tcPr>
            <w:tcW w:w="1417"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w:t>
            </w:r>
          </w:p>
        </w:tc>
      </w:tr>
      <w:tr w:rsidR="0074383C" w:rsidRPr="00F673EE" w:rsidTr="000F5003">
        <w:trPr>
          <w:cantSplit/>
        </w:trPr>
        <w:tc>
          <w:tcPr>
            <w:tcW w:w="1838"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Tax Laws Amendment (Repeal of Inoperative Provisions) Act 2006</w:t>
            </w:r>
          </w:p>
        </w:tc>
        <w:tc>
          <w:tcPr>
            <w:tcW w:w="992"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101, 2006</w:t>
            </w:r>
          </w:p>
        </w:tc>
        <w:tc>
          <w:tcPr>
            <w:tcW w:w="993" w:type="dxa"/>
            <w:tcBorders>
              <w:top w:val="single" w:sz="4" w:space="0" w:color="auto"/>
              <w:bottom w:val="single" w:sz="4" w:space="0" w:color="auto"/>
            </w:tcBorders>
            <w:shd w:val="clear" w:color="auto" w:fill="auto"/>
          </w:tcPr>
          <w:p w:rsidR="0074383C" w:rsidRPr="00F673EE" w:rsidRDefault="0074383C" w:rsidP="0074383C">
            <w:pPr>
              <w:pStyle w:val="ENoteTableText"/>
            </w:pPr>
            <w:smartTag w:uri="urn:schemas-microsoft-com:office:smarttags" w:element="address">
              <w:smartTagPr>
                <w:attr w:name="Year" w:val="2006"/>
                <w:attr w:name="Day" w:val="14"/>
                <w:attr w:name="Month" w:val="9"/>
              </w:smartTagPr>
              <w:r w:rsidRPr="00F673EE">
                <w:t>14 Sept 2006</w:t>
              </w:r>
            </w:smartTag>
          </w:p>
        </w:tc>
        <w:tc>
          <w:tcPr>
            <w:tcW w:w="1845" w:type="dxa"/>
            <w:tcBorders>
              <w:top w:val="single" w:sz="4" w:space="0" w:color="auto"/>
              <w:bottom w:val="single" w:sz="4" w:space="0" w:color="auto"/>
            </w:tcBorders>
            <w:shd w:val="clear" w:color="auto" w:fill="auto"/>
          </w:tcPr>
          <w:p w:rsidR="0074383C" w:rsidRPr="00F673EE" w:rsidRDefault="0074383C" w:rsidP="00316638">
            <w:pPr>
              <w:pStyle w:val="ENoteTableText"/>
            </w:pPr>
            <w:r w:rsidRPr="00F673EE">
              <w:t>Sch</w:t>
            </w:r>
            <w:r w:rsidR="00D24366" w:rsidRPr="00F673EE">
              <w:t> </w:t>
            </w:r>
            <w:r w:rsidRPr="00F673EE">
              <w:t>5 (items</w:t>
            </w:r>
            <w:r w:rsidR="00F673EE">
              <w:t> </w:t>
            </w:r>
            <w:r w:rsidRPr="00F673EE">
              <w:t>166–168) and Sch</w:t>
            </w:r>
            <w:r w:rsidR="00D24366" w:rsidRPr="00F673EE">
              <w:t> </w:t>
            </w:r>
            <w:r w:rsidRPr="00F673EE">
              <w:t>6 (items</w:t>
            </w:r>
            <w:r w:rsidR="00F673EE">
              <w:t> </w:t>
            </w:r>
            <w:r w:rsidRPr="00F673EE">
              <w:t xml:space="preserve">5–11): </w:t>
            </w:r>
            <w:r w:rsidR="00AA3C2D" w:rsidRPr="00F673EE">
              <w:t>14 Sept 2006 (s 2(1) item</w:t>
            </w:r>
            <w:r w:rsidR="00F673EE">
              <w:t> </w:t>
            </w:r>
            <w:r w:rsidR="00AA3C2D" w:rsidRPr="00F673EE">
              <w:t>4)</w:t>
            </w:r>
          </w:p>
        </w:tc>
        <w:tc>
          <w:tcPr>
            <w:tcW w:w="1417" w:type="dxa"/>
            <w:tcBorders>
              <w:top w:val="single" w:sz="4" w:space="0" w:color="auto"/>
              <w:bottom w:val="single" w:sz="4" w:space="0" w:color="auto"/>
            </w:tcBorders>
            <w:shd w:val="clear" w:color="auto" w:fill="auto"/>
          </w:tcPr>
          <w:p w:rsidR="0074383C" w:rsidRPr="00F673EE" w:rsidRDefault="0074383C" w:rsidP="008020A5">
            <w:pPr>
              <w:pStyle w:val="ENoteTableText"/>
            </w:pPr>
            <w:r w:rsidRPr="00F673EE">
              <w:t>Sch 6 (items</w:t>
            </w:r>
            <w:r w:rsidR="00F673EE">
              <w:t> </w:t>
            </w:r>
            <w:r w:rsidRPr="00F673EE">
              <w:t>5–11)</w:t>
            </w:r>
          </w:p>
        </w:tc>
      </w:tr>
      <w:tr w:rsidR="0074383C" w:rsidRPr="00F673EE" w:rsidTr="000F5003">
        <w:trPr>
          <w:cantSplit/>
        </w:trPr>
        <w:tc>
          <w:tcPr>
            <w:tcW w:w="1838"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Statute Law Revision Act 2007</w:t>
            </w:r>
          </w:p>
        </w:tc>
        <w:tc>
          <w:tcPr>
            <w:tcW w:w="992"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8, 2007</w:t>
            </w:r>
          </w:p>
        </w:tc>
        <w:tc>
          <w:tcPr>
            <w:tcW w:w="993" w:type="dxa"/>
            <w:tcBorders>
              <w:top w:val="single" w:sz="4" w:space="0" w:color="auto"/>
              <w:bottom w:val="single" w:sz="4" w:space="0" w:color="auto"/>
            </w:tcBorders>
            <w:shd w:val="clear" w:color="auto" w:fill="auto"/>
          </w:tcPr>
          <w:p w:rsidR="0074383C" w:rsidRPr="00F673EE" w:rsidRDefault="0074383C" w:rsidP="0074383C">
            <w:pPr>
              <w:pStyle w:val="ENoteTableText"/>
            </w:pPr>
            <w:smartTag w:uri="urn:schemas-microsoft-com:office:smarttags" w:element="address">
              <w:smartTagPr>
                <w:attr w:name="Year" w:val="2007"/>
                <w:attr w:name="Day" w:val="15"/>
                <w:attr w:name="Month" w:val="3"/>
              </w:smartTagPr>
              <w:r w:rsidRPr="00F673EE">
                <w:t>15 Mar 2007</w:t>
              </w:r>
            </w:smartTag>
          </w:p>
        </w:tc>
        <w:tc>
          <w:tcPr>
            <w:tcW w:w="1845" w:type="dxa"/>
            <w:tcBorders>
              <w:top w:val="single" w:sz="4" w:space="0" w:color="auto"/>
              <w:bottom w:val="single" w:sz="4" w:space="0" w:color="auto"/>
            </w:tcBorders>
            <w:shd w:val="clear" w:color="auto" w:fill="auto"/>
          </w:tcPr>
          <w:p w:rsidR="0074383C" w:rsidRPr="00F673EE" w:rsidRDefault="0074383C" w:rsidP="00316638">
            <w:pPr>
              <w:pStyle w:val="ENoteTableText"/>
            </w:pPr>
            <w:r w:rsidRPr="00F673EE">
              <w:t>Sch</w:t>
            </w:r>
            <w:r w:rsidR="00D24366" w:rsidRPr="00F673EE">
              <w:t> </w:t>
            </w:r>
            <w:r w:rsidRPr="00F673EE">
              <w:t>3 (item</w:t>
            </w:r>
            <w:r w:rsidR="00F673EE">
              <w:t> </w:t>
            </w:r>
            <w:r w:rsidRPr="00F673EE">
              <w:t xml:space="preserve">25): </w:t>
            </w:r>
            <w:r w:rsidR="00AA3C2D" w:rsidRPr="00F673EE">
              <w:t>15 Mar 2007 (</w:t>
            </w:r>
            <w:r w:rsidR="00CC3BEC" w:rsidRPr="00F673EE">
              <w:t>s 2(1) item</w:t>
            </w:r>
            <w:r w:rsidR="00F673EE">
              <w:t> </w:t>
            </w:r>
            <w:r w:rsidR="00CC3BEC" w:rsidRPr="00F673EE">
              <w:t>44)</w:t>
            </w:r>
          </w:p>
        </w:tc>
        <w:tc>
          <w:tcPr>
            <w:tcW w:w="1417" w:type="dxa"/>
            <w:tcBorders>
              <w:top w:val="single" w:sz="4" w:space="0" w:color="auto"/>
              <w:bottom w:val="single" w:sz="4" w:space="0" w:color="auto"/>
            </w:tcBorders>
            <w:shd w:val="clear" w:color="auto" w:fill="auto"/>
          </w:tcPr>
          <w:p w:rsidR="0074383C" w:rsidRPr="00F673EE" w:rsidRDefault="0074383C" w:rsidP="0074383C">
            <w:pPr>
              <w:pStyle w:val="ENoteTableText"/>
            </w:pPr>
            <w:r w:rsidRPr="00F673EE">
              <w:t>—</w:t>
            </w:r>
          </w:p>
        </w:tc>
      </w:tr>
      <w:tr w:rsidR="00332D26" w:rsidRPr="00F673EE" w:rsidTr="000F5003">
        <w:trPr>
          <w:cantSplit/>
        </w:trPr>
        <w:tc>
          <w:tcPr>
            <w:tcW w:w="1838" w:type="dxa"/>
            <w:tcBorders>
              <w:top w:val="single" w:sz="4" w:space="0" w:color="auto"/>
              <w:bottom w:val="single" w:sz="12" w:space="0" w:color="auto"/>
            </w:tcBorders>
            <w:shd w:val="clear" w:color="auto" w:fill="auto"/>
          </w:tcPr>
          <w:p w:rsidR="00332D26" w:rsidRPr="00F673EE" w:rsidRDefault="00332D26" w:rsidP="0074383C">
            <w:pPr>
              <w:pStyle w:val="ENoteTableText"/>
            </w:pPr>
            <w:r w:rsidRPr="00F673EE">
              <w:t>Tribunals Amalgamation Act 2015</w:t>
            </w:r>
          </w:p>
        </w:tc>
        <w:tc>
          <w:tcPr>
            <w:tcW w:w="992" w:type="dxa"/>
            <w:tcBorders>
              <w:top w:val="single" w:sz="4" w:space="0" w:color="auto"/>
              <w:bottom w:val="single" w:sz="12" w:space="0" w:color="auto"/>
            </w:tcBorders>
            <w:shd w:val="clear" w:color="auto" w:fill="auto"/>
          </w:tcPr>
          <w:p w:rsidR="00332D26" w:rsidRPr="00F673EE" w:rsidRDefault="00332D26" w:rsidP="0074383C">
            <w:pPr>
              <w:pStyle w:val="ENoteTableText"/>
            </w:pPr>
            <w:r w:rsidRPr="00F673EE">
              <w:t>60, 2015</w:t>
            </w:r>
          </w:p>
        </w:tc>
        <w:tc>
          <w:tcPr>
            <w:tcW w:w="993" w:type="dxa"/>
            <w:tcBorders>
              <w:top w:val="single" w:sz="4" w:space="0" w:color="auto"/>
              <w:bottom w:val="single" w:sz="12" w:space="0" w:color="auto"/>
            </w:tcBorders>
            <w:shd w:val="clear" w:color="auto" w:fill="auto"/>
          </w:tcPr>
          <w:p w:rsidR="00332D26" w:rsidRPr="00F673EE" w:rsidRDefault="00332D26" w:rsidP="008020A5">
            <w:pPr>
              <w:pStyle w:val="ENoteTableText"/>
            </w:pPr>
            <w:r w:rsidRPr="00F673EE">
              <w:t>2</w:t>
            </w:r>
            <w:r w:rsidR="008020A5" w:rsidRPr="00F673EE">
              <w:t>6</w:t>
            </w:r>
            <w:r w:rsidR="00F673EE">
              <w:t> </w:t>
            </w:r>
            <w:r w:rsidRPr="00F673EE">
              <w:t>May 2015</w:t>
            </w:r>
          </w:p>
        </w:tc>
        <w:tc>
          <w:tcPr>
            <w:tcW w:w="1845" w:type="dxa"/>
            <w:tcBorders>
              <w:top w:val="single" w:sz="4" w:space="0" w:color="auto"/>
              <w:bottom w:val="single" w:sz="12" w:space="0" w:color="auto"/>
            </w:tcBorders>
            <w:shd w:val="clear" w:color="auto" w:fill="auto"/>
          </w:tcPr>
          <w:p w:rsidR="00332D26" w:rsidRPr="00F673EE" w:rsidRDefault="00332D26" w:rsidP="0074383C">
            <w:pPr>
              <w:pStyle w:val="ENoteTableText"/>
            </w:pPr>
            <w:r w:rsidRPr="00F673EE">
              <w:t>Sch 8 (item</w:t>
            </w:r>
            <w:r w:rsidR="00F673EE">
              <w:t> </w:t>
            </w:r>
            <w:r w:rsidRPr="00F673EE">
              <w:t>53)</w:t>
            </w:r>
            <w:r w:rsidR="00B948B7" w:rsidRPr="00F673EE">
              <w:t xml:space="preserve"> and Sch</w:t>
            </w:r>
            <w:r w:rsidR="00966C87" w:rsidRPr="00F673EE">
              <w:t> </w:t>
            </w:r>
            <w:r w:rsidR="00B948B7" w:rsidRPr="00F673EE">
              <w:t>9: 1</w:t>
            </w:r>
            <w:r w:rsidR="00F673EE">
              <w:t> </w:t>
            </w:r>
            <w:r w:rsidR="00B948B7" w:rsidRPr="00F673EE">
              <w:t>July 2015 (s 2(1) items</w:t>
            </w:r>
            <w:r w:rsidR="00F673EE">
              <w:t> </w:t>
            </w:r>
            <w:r w:rsidR="00B948B7" w:rsidRPr="00F673EE">
              <w:t>19, 22)</w:t>
            </w:r>
          </w:p>
        </w:tc>
        <w:tc>
          <w:tcPr>
            <w:tcW w:w="1417" w:type="dxa"/>
            <w:tcBorders>
              <w:top w:val="single" w:sz="4" w:space="0" w:color="auto"/>
              <w:bottom w:val="single" w:sz="12" w:space="0" w:color="auto"/>
            </w:tcBorders>
            <w:shd w:val="clear" w:color="auto" w:fill="auto"/>
          </w:tcPr>
          <w:p w:rsidR="00332D26" w:rsidRPr="00F673EE" w:rsidRDefault="00B948B7" w:rsidP="0074383C">
            <w:pPr>
              <w:pStyle w:val="ENoteTableText"/>
            </w:pPr>
            <w:r w:rsidRPr="00F673EE">
              <w:t>Sch 9</w:t>
            </w:r>
          </w:p>
        </w:tc>
      </w:tr>
    </w:tbl>
    <w:p w:rsidR="0074383C" w:rsidRPr="00F673EE" w:rsidRDefault="0074383C" w:rsidP="001A0FF4">
      <w:pPr>
        <w:pStyle w:val="Tabletext"/>
      </w:pPr>
    </w:p>
    <w:tbl>
      <w:tblPr>
        <w:tblW w:w="7074" w:type="dxa"/>
        <w:tblInd w:w="12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29"/>
        <w:gridCol w:w="1559"/>
        <w:gridCol w:w="1985"/>
        <w:gridCol w:w="1701"/>
      </w:tblGrid>
      <w:tr w:rsidR="008778EF" w:rsidRPr="00F673EE" w:rsidTr="00726065">
        <w:trPr>
          <w:tblHeader/>
        </w:trPr>
        <w:tc>
          <w:tcPr>
            <w:tcW w:w="1829" w:type="dxa"/>
            <w:tcBorders>
              <w:top w:val="single" w:sz="12" w:space="0" w:color="auto"/>
              <w:bottom w:val="single" w:sz="12" w:space="0" w:color="auto"/>
            </w:tcBorders>
            <w:shd w:val="clear" w:color="auto" w:fill="auto"/>
          </w:tcPr>
          <w:p w:rsidR="008778EF" w:rsidRPr="00F673EE" w:rsidRDefault="008778EF" w:rsidP="00D1557D">
            <w:pPr>
              <w:pStyle w:val="ENoteTableHeading"/>
            </w:pPr>
            <w:r w:rsidRPr="00F673EE">
              <w:t>Number and year</w:t>
            </w:r>
          </w:p>
        </w:tc>
        <w:tc>
          <w:tcPr>
            <w:tcW w:w="1559" w:type="dxa"/>
            <w:tcBorders>
              <w:top w:val="single" w:sz="12" w:space="0" w:color="auto"/>
              <w:bottom w:val="single" w:sz="12" w:space="0" w:color="auto"/>
            </w:tcBorders>
            <w:shd w:val="clear" w:color="auto" w:fill="auto"/>
          </w:tcPr>
          <w:p w:rsidR="008778EF" w:rsidRPr="00F673EE" w:rsidRDefault="008778EF" w:rsidP="00D1557D">
            <w:pPr>
              <w:pStyle w:val="ENoteTableHeading"/>
            </w:pPr>
            <w:r w:rsidRPr="00F673EE">
              <w:t>FRLI registration or gazettal</w:t>
            </w:r>
          </w:p>
        </w:tc>
        <w:tc>
          <w:tcPr>
            <w:tcW w:w="1985" w:type="dxa"/>
            <w:tcBorders>
              <w:top w:val="single" w:sz="12" w:space="0" w:color="auto"/>
              <w:bottom w:val="single" w:sz="12" w:space="0" w:color="auto"/>
            </w:tcBorders>
            <w:shd w:val="clear" w:color="auto" w:fill="auto"/>
          </w:tcPr>
          <w:p w:rsidR="008778EF" w:rsidRPr="00F673EE" w:rsidRDefault="008778EF" w:rsidP="00D1557D">
            <w:pPr>
              <w:pStyle w:val="ENoteTableHeading"/>
            </w:pPr>
            <w:r w:rsidRPr="00F673EE">
              <w:t>Commencement</w:t>
            </w:r>
          </w:p>
        </w:tc>
        <w:tc>
          <w:tcPr>
            <w:tcW w:w="1701" w:type="dxa"/>
            <w:tcBorders>
              <w:top w:val="single" w:sz="12" w:space="0" w:color="auto"/>
              <w:bottom w:val="single" w:sz="12" w:space="0" w:color="auto"/>
            </w:tcBorders>
            <w:shd w:val="clear" w:color="auto" w:fill="auto"/>
          </w:tcPr>
          <w:p w:rsidR="008778EF" w:rsidRPr="00F673EE" w:rsidRDefault="008778EF" w:rsidP="00D1557D">
            <w:pPr>
              <w:pStyle w:val="ENoteTableHeading"/>
            </w:pPr>
            <w:r w:rsidRPr="00F673EE">
              <w:t>Application, saving and transitional provisions</w:t>
            </w:r>
          </w:p>
        </w:tc>
      </w:tr>
      <w:tr w:rsidR="008778EF" w:rsidRPr="00F673EE" w:rsidTr="000F5003">
        <w:tblPrEx>
          <w:tblBorders>
            <w:top w:val="none" w:sz="0" w:space="0" w:color="auto"/>
            <w:bottom w:val="none" w:sz="0" w:space="0" w:color="auto"/>
            <w:insideH w:val="none" w:sz="0" w:space="0" w:color="auto"/>
          </w:tblBorders>
        </w:tblPrEx>
        <w:trPr>
          <w:cantSplit/>
        </w:trPr>
        <w:tc>
          <w:tcPr>
            <w:tcW w:w="1829" w:type="dxa"/>
            <w:tcBorders>
              <w:top w:val="single" w:sz="12" w:space="0" w:color="auto"/>
              <w:bottom w:val="single" w:sz="4" w:space="0" w:color="auto"/>
            </w:tcBorders>
          </w:tcPr>
          <w:p w:rsidR="008778EF" w:rsidRPr="00F673EE" w:rsidRDefault="008778EF" w:rsidP="00316638">
            <w:pPr>
              <w:pStyle w:val="ENoteTableText"/>
            </w:pPr>
            <w:r w:rsidRPr="00F673EE">
              <w:t>60</w:t>
            </w:r>
            <w:r w:rsidR="00F72B99" w:rsidRPr="00F673EE">
              <w:t>, 1999</w:t>
            </w:r>
          </w:p>
        </w:tc>
        <w:tc>
          <w:tcPr>
            <w:tcW w:w="1559" w:type="dxa"/>
            <w:tcBorders>
              <w:top w:val="single" w:sz="12" w:space="0" w:color="auto"/>
              <w:bottom w:val="single" w:sz="4" w:space="0" w:color="auto"/>
            </w:tcBorders>
          </w:tcPr>
          <w:p w:rsidR="008778EF" w:rsidRPr="00F673EE" w:rsidRDefault="008778EF" w:rsidP="0074383C">
            <w:pPr>
              <w:pStyle w:val="ENoteTableText"/>
            </w:pPr>
            <w:r w:rsidRPr="00F673EE">
              <w:t>16 Apr 1999</w:t>
            </w:r>
          </w:p>
        </w:tc>
        <w:tc>
          <w:tcPr>
            <w:tcW w:w="1985" w:type="dxa"/>
            <w:tcBorders>
              <w:top w:val="single" w:sz="12" w:space="0" w:color="auto"/>
              <w:bottom w:val="single" w:sz="4" w:space="0" w:color="auto"/>
            </w:tcBorders>
          </w:tcPr>
          <w:p w:rsidR="008778EF" w:rsidRPr="00F673EE" w:rsidRDefault="008778EF" w:rsidP="0074383C">
            <w:pPr>
              <w:pStyle w:val="ENoteTableText"/>
            </w:pPr>
            <w:r w:rsidRPr="00F673EE">
              <w:t>1</w:t>
            </w:r>
            <w:r w:rsidR="00F673EE">
              <w:t> </w:t>
            </w:r>
            <w:r w:rsidRPr="00F673EE">
              <w:t>May 1999</w:t>
            </w:r>
            <w:r w:rsidR="000D53B2" w:rsidRPr="00F673EE">
              <w:t xml:space="preserve"> (r 2)</w:t>
            </w:r>
          </w:p>
        </w:tc>
        <w:tc>
          <w:tcPr>
            <w:tcW w:w="1701" w:type="dxa"/>
            <w:tcBorders>
              <w:top w:val="single" w:sz="12" w:space="0" w:color="auto"/>
              <w:bottom w:val="single" w:sz="4" w:space="0" w:color="auto"/>
            </w:tcBorders>
          </w:tcPr>
          <w:p w:rsidR="008778EF" w:rsidRPr="00F673EE" w:rsidRDefault="008778EF" w:rsidP="0074383C">
            <w:pPr>
              <w:pStyle w:val="ENoteTableText"/>
            </w:pPr>
            <w:r w:rsidRPr="00F673EE">
              <w:t>—</w:t>
            </w:r>
          </w:p>
        </w:tc>
      </w:tr>
      <w:tr w:rsidR="008778EF" w:rsidRPr="00F673EE" w:rsidTr="000F5003">
        <w:tblPrEx>
          <w:tblBorders>
            <w:top w:val="none" w:sz="0" w:space="0" w:color="auto"/>
            <w:bottom w:val="none" w:sz="0" w:space="0" w:color="auto"/>
            <w:insideH w:val="none" w:sz="0" w:space="0" w:color="auto"/>
          </w:tblBorders>
        </w:tblPrEx>
        <w:trPr>
          <w:cantSplit/>
        </w:trPr>
        <w:tc>
          <w:tcPr>
            <w:tcW w:w="1829" w:type="dxa"/>
            <w:tcBorders>
              <w:top w:val="single" w:sz="4" w:space="0" w:color="auto"/>
              <w:bottom w:val="single" w:sz="4" w:space="0" w:color="auto"/>
            </w:tcBorders>
          </w:tcPr>
          <w:p w:rsidR="008778EF" w:rsidRPr="00F673EE" w:rsidRDefault="008778EF" w:rsidP="0074383C">
            <w:pPr>
              <w:pStyle w:val="ENoteTableText"/>
            </w:pPr>
            <w:r w:rsidRPr="00F673EE">
              <w:t>51</w:t>
            </w:r>
            <w:r w:rsidR="00F72B99" w:rsidRPr="00F673EE">
              <w:t>, 2000</w:t>
            </w:r>
          </w:p>
        </w:tc>
        <w:tc>
          <w:tcPr>
            <w:tcW w:w="1559" w:type="dxa"/>
            <w:tcBorders>
              <w:top w:val="single" w:sz="4" w:space="0" w:color="auto"/>
              <w:bottom w:val="single" w:sz="4" w:space="0" w:color="auto"/>
            </w:tcBorders>
          </w:tcPr>
          <w:p w:rsidR="008778EF" w:rsidRPr="00F673EE" w:rsidRDefault="008778EF" w:rsidP="0074383C">
            <w:pPr>
              <w:pStyle w:val="ENoteTableText"/>
            </w:pPr>
            <w:r w:rsidRPr="00F673EE">
              <w:t>19 Apr 2000</w:t>
            </w:r>
          </w:p>
        </w:tc>
        <w:tc>
          <w:tcPr>
            <w:tcW w:w="1985" w:type="dxa"/>
            <w:tcBorders>
              <w:top w:val="single" w:sz="4" w:space="0" w:color="auto"/>
              <w:bottom w:val="single" w:sz="4" w:space="0" w:color="auto"/>
            </w:tcBorders>
          </w:tcPr>
          <w:p w:rsidR="008778EF" w:rsidRPr="00F673EE" w:rsidRDefault="00BA70D8" w:rsidP="0074383C">
            <w:pPr>
              <w:pStyle w:val="ENoteTableText"/>
            </w:pPr>
            <w:r w:rsidRPr="00F673EE">
              <w:t xml:space="preserve">Sch 2: </w:t>
            </w:r>
            <w:r w:rsidR="008778EF" w:rsidRPr="00F673EE">
              <w:t>19 Apr 2000</w:t>
            </w:r>
            <w:r w:rsidR="000D53B2" w:rsidRPr="00F673EE">
              <w:t xml:space="preserve"> (r 2)</w:t>
            </w:r>
          </w:p>
        </w:tc>
        <w:tc>
          <w:tcPr>
            <w:tcW w:w="1701" w:type="dxa"/>
            <w:tcBorders>
              <w:top w:val="single" w:sz="4" w:space="0" w:color="auto"/>
              <w:bottom w:val="single" w:sz="4" w:space="0" w:color="auto"/>
            </w:tcBorders>
          </w:tcPr>
          <w:p w:rsidR="008778EF" w:rsidRPr="00F673EE" w:rsidRDefault="008778EF" w:rsidP="0074383C">
            <w:pPr>
              <w:pStyle w:val="ENoteTableText"/>
            </w:pPr>
            <w:r w:rsidRPr="00F673EE">
              <w:t>—</w:t>
            </w:r>
          </w:p>
        </w:tc>
      </w:tr>
      <w:tr w:rsidR="008778EF" w:rsidRPr="00F673EE" w:rsidTr="000F5003">
        <w:tblPrEx>
          <w:tblBorders>
            <w:top w:val="none" w:sz="0" w:space="0" w:color="auto"/>
            <w:bottom w:val="none" w:sz="0" w:space="0" w:color="auto"/>
            <w:insideH w:val="none" w:sz="0" w:space="0" w:color="auto"/>
          </w:tblBorders>
        </w:tblPrEx>
        <w:trPr>
          <w:cantSplit/>
        </w:trPr>
        <w:tc>
          <w:tcPr>
            <w:tcW w:w="1829" w:type="dxa"/>
            <w:tcBorders>
              <w:top w:val="single" w:sz="4" w:space="0" w:color="auto"/>
              <w:bottom w:val="single" w:sz="4" w:space="0" w:color="auto"/>
            </w:tcBorders>
          </w:tcPr>
          <w:p w:rsidR="008778EF" w:rsidRPr="00F673EE" w:rsidRDefault="008778EF" w:rsidP="0074383C">
            <w:pPr>
              <w:pStyle w:val="ENoteTableText"/>
            </w:pPr>
            <w:r w:rsidRPr="00F673EE">
              <w:lastRenderedPageBreak/>
              <w:t>75</w:t>
            </w:r>
            <w:r w:rsidR="00F72B99" w:rsidRPr="00F673EE">
              <w:t>, 2001</w:t>
            </w:r>
          </w:p>
        </w:tc>
        <w:tc>
          <w:tcPr>
            <w:tcW w:w="1559" w:type="dxa"/>
            <w:tcBorders>
              <w:top w:val="single" w:sz="4" w:space="0" w:color="auto"/>
              <w:bottom w:val="single" w:sz="4" w:space="0" w:color="auto"/>
            </w:tcBorders>
          </w:tcPr>
          <w:p w:rsidR="008778EF" w:rsidRPr="00F673EE" w:rsidRDefault="008778EF" w:rsidP="0074383C">
            <w:pPr>
              <w:pStyle w:val="ENoteTableText"/>
            </w:pPr>
            <w:r w:rsidRPr="00F673EE">
              <w:t>20 Apr 2001</w:t>
            </w:r>
          </w:p>
        </w:tc>
        <w:tc>
          <w:tcPr>
            <w:tcW w:w="1985" w:type="dxa"/>
            <w:tcBorders>
              <w:top w:val="single" w:sz="4" w:space="0" w:color="auto"/>
              <w:bottom w:val="single" w:sz="4" w:space="0" w:color="auto"/>
            </w:tcBorders>
          </w:tcPr>
          <w:p w:rsidR="008778EF" w:rsidRPr="00F673EE" w:rsidRDefault="00933EB5" w:rsidP="0074383C">
            <w:pPr>
              <w:pStyle w:val="ENoteTableText"/>
            </w:pPr>
            <w:r w:rsidRPr="00F673EE">
              <w:t xml:space="preserve">Sch 2: </w:t>
            </w:r>
            <w:r w:rsidR="008778EF" w:rsidRPr="00F673EE">
              <w:t>20 Apr 2001</w:t>
            </w:r>
            <w:r w:rsidR="000D53B2" w:rsidRPr="00F673EE">
              <w:t xml:space="preserve"> (r 2)</w:t>
            </w:r>
          </w:p>
        </w:tc>
        <w:tc>
          <w:tcPr>
            <w:tcW w:w="1701" w:type="dxa"/>
            <w:tcBorders>
              <w:top w:val="single" w:sz="4" w:space="0" w:color="auto"/>
              <w:bottom w:val="single" w:sz="4" w:space="0" w:color="auto"/>
            </w:tcBorders>
          </w:tcPr>
          <w:p w:rsidR="008778EF" w:rsidRPr="00F673EE" w:rsidRDefault="008778EF" w:rsidP="0074383C">
            <w:pPr>
              <w:pStyle w:val="ENoteTableText"/>
            </w:pPr>
            <w:r w:rsidRPr="00F673EE">
              <w:t>—</w:t>
            </w:r>
          </w:p>
        </w:tc>
      </w:tr>
      <w:tr w:rsidR="008778EF" w:rsidRPr="00F673EE" w:rsidTr="000F5003">
        <w:tblPrEx>
          <w:tblBorders>
            <w:top w:val="none" w:sz="0" w:space="0" w:color="auto"/>
            <w:bottom w:val="none" w:sz="0" w:space="0" w:color="auto"/>
            <w:insideH w:val="none" w:sz="0" w:space="0" w:color="auto"/>
          </w:tblBorders>
        </w:tblPrEx>
        <w:trPr>
          <w:cantSplit/>
        </w:trPr>
        <w:tc>
          <w:tcPr>
            <w:tcW w:w="1829" w:type="dxa"/>
            <w:tcBorders>
              <w:top w:val="single" w:sz="4" w:space="0" w:color="auto"/>
              <w:bottom w:val="single" w:sz="4" w:space="0" w:color="auto"/>
            </w:tcBorders>
          </w:tcPr>
          <w:p w:rsidR="008778EF" w:rsidRPr="00F673EE" w:rsidRDefault="008778EF" w:rsidP="0074383C">
            <w:pPr>
              <w:pStyle w:val="ENoteTableText"/>
            </w:pPr>
            <w:r w:rsidRPr="00F673EE">
              <w:t>221</w:t>
            </w:r>
            <w:r w:rsidR="00F72B99" w:rsidRPr="00F673EE">
              <w:t>, 2001</w:t>
            </w:r>
          </w:p>
        </w:tc>
        <w:tc>
          <w:tcPr>
            <w:tcW w:w="1559" w:type="dxa"/>
            <w:tcBorders>
              <w:top w:val="single" w:sz="4" w:space="0" w:color="auto"/>
              <w:bottom w:val="single" w:sz="4" w:space="0" w:color="auto"/>
            </w:tcBorders>
          </w:tcPr>
          <w:p w:rsidR="008778EF" w:rsidRPr="00F673EE" w:rsidRDefault="008778EF" w:rsidP="0074383C">
            <w:pPr>
              <w:pStyle w:val="ENoteTableText"/>
            </w:pPr>
            <w:r w:rsidRPr="00F673EE">
              <w:t>23 Aug 2001</w:t>
            </w:r>
          </w:p>
        </w:tc>
        <w:tc>
          <w:tcPr>
            <w:tcW w:w="1985" w:type="dxa"/>
            <w:tcBorders>
              <w:top w:val="single" w:sz="4" w:space="0" w:color="auto"/>
              <w:bottom w:val="single" w:sz="4" w:space="0" w:color="auto"/>
            </w:tcBorders>
          </w:tcPr>
          <w:p w:rsidR="008778EF" w:rsidRPr="00F673EE" w:rsidRDefault="008778EF" w:rsidP="0074383C">
            <w:pPr>
              <w:pStyle w:val="ENoteTableText"/>
            </w:pPr>
            <w:r w:rsidRPr="00F673EE">
              <w:t>23 Aug 2001</w:t>
            </w:r>
            <w:r w:rsidR="000D53B2" w:rsidRPr="00F673EE">
              <w:t xml:space="preserve"> (r 2)</w:t>
            </w:r>
          </w:p>
        </w:tc>
        <w:tc>
          <w:tcPr>
            <w:tcW w:w="1701" w:type="dxa"/>
            <w:tcBorders>
              <w:top w:val="single" w:sz="4" w:space="0" w:color="auto"/>
              <w:bottom w:val="single" w:sz="4" w:space="0" w:color="auto"/>
            </w:tcBorders>
          </w:tcPr>
          <w:p w:rsidR="008778EF" w:rsidRPr="00F673EE" w:rsidRDefault="008778EF" w:rsidP="0074383C">
            <w:pPr>
              <w:pStyle w:val="ENoteTableText"/>
            </w:pPr>
            <w:r w:rsidRPr="00F673EE">
              <w:t>—</w:t>
            </w:r>
          </w:p>
        </w:tc>
      </w:tr>
      <w:tr w:rsidR="008778EF" w:rsidRPr="00F673EE" w:rsidTr="000F5003">
        <w:tblPrEx>
          <w:tblBorders>
            <w:top w:val="none" w:sz="0" w:space="0" w:color="auto"/>
            <w:bottom w:val="none" w:sz="0" w:space="0" w:color="auto"/>
            <w:insideH w:val="none" w:sz="0" w:space="0" w:color="auto"/>
          </w:tblBorders>
        </w:tblPrEx>
        <w:trPr>
          <w:cantSplit/>
        </w:trPr>
        <w:tc>
          <w:tcPr>
            <w:tcW w:w="1829" w:type="dxa"/>
            <w:tcBorders>
              <w:top w:val="single" w:sz="4" w:space="0" w:color="auto"/>
              <w:bottom w:val="single" w:sz="4" w:space="0" w:color="auto"/>
            </w:tcBorders>
          </w:tcPr>
          <w:p w:rsidR="008778EF" w:rsidRPr="00F673EE" w:rsidRDefault="008778EF" w:rsidP="0074383C">
            <w:pPr>
              <w:pStyle w:val="ENoteTableText"/>
            </w:pPr>
            <w:r w:rsidRPr="00F673EE">
              <w:t>78</w:t>
            </w:r>
            <w:r w:rsidR="00F72B99" w:rsidRPr="00F673EE">
              <w:t>, 2002</w:t>
            </w:r>
          </w:p>
        </w:tc>
        <w:tc>
          <w:tcPr>
            <w:tcW w:w="1559" w:type="dxa"/>
            <w:tcBorders>
              <w:top w:val="single" w:sz="4" w:space="0" w:color="auto"/>
              <w:bottom w:val="single" w:sz="4" w:space="0" w:color="auto"/>
            </w:tcBorders>
          </w:tcPr>
          <w:p w:rsidR="008778EF" w:rsidRPr="00F673EE" w:rsidRDefault="008778EF" w:rsidP="0074383C">
            <w:pPr>
              <w:pStyle w:val="ENoteTableText"/>
            </w:pPr>
            <w:r w:rsidRPr="00F673EE">
              <w:t>18 Apr 2002</w:t>
            </w:r>
          </w:p>
        </w:tc>
        <w:tc>
          <w:tcPr>
            <w:tcW w:w="1985" w:type="dxa"/>
            <w:tcBorders>
              <w:top w:val="single" w:sz="4" w:space="0" w:color="auto"/>
              <w:bottom w:val="single" w:sz="4" w:space="0" w:color="auto"/>
            </w:tcBorders>
          </w:tcPr>
          <w:p w:rsidR="008778EF" w:rsidRPr="00F673EE" w:rsidRDefault="00A05862" w:rsidP="0074383C">
            <w:pPr>
              <w:pStyle w:val="ENoteTableText"/>
            </w:pPr>
            <w:r w:rsidRPr="00F673EE">
              <w:t xml:space="preserve">Sch 2: </w:t>
            </w:r>
            <w:r w:rsidR="008778EF" w:rsidRPr="00F673EE">
              <w:t>18 Apr 2002</w:t>
            </w:r>
            <w:r w:rsidR="000D53B2" w:rsidRPr="00F673EE">
              <w:t xml:space="preserve"> (r 2)</w:t>
            </w:r>
          </w:p>
        </w:tc>
        <w:tc>
          <w:tcPr>
            <w:tcW w:w="1701" w:type="dxa"/>
            <w:tcBorders>
              <w:top w:val="single" w:sz="4" w:space="0" w:color="auto"/>
              <w:bottom w:val="single" w:sz="4" w:space="0" w:color="auto"/>
            </w:tcBorders>
          </w:tcPr>
          <w:p w:rsidR="008778EF" w:rsidRPr="00F673EE" w:rsidRDefault="008778EF" w:rsidP="0074383C">
            <w:pPr>
              <w:pStyle w:val="ENoteTableText"/>
            </w:pPr>
            <w:r w:rsidRPr="00F673EE">
              <w:t>—</w:t>
            </w:r>
          </w:p>
        </w:tc>
      </w:tr>
      <w:tr w:rsidR="008778EF" w:rsidRPr="00F673EE" w:rsidTr="000F5003">
        <w:tblPrEx>
          <w:tblBorders>
            <w:top w:val="none" w:sz="0" w:space="0" w:color="auto"/>
            <w:bottom w:val="none" w:sz="0" w:space="0" w:color="auto"/>
            <w:insideH w:val="none" w:sz="0" w:space="0" w:color="auto"/>
          </w:tblBorders>
        </w:tblPrEx>
        <w:trPr>
          <w:cantSplit/>
        </w:trPr>
        <w:tc>
          <w:tcPr>
            <w:tcW w:w="1829" w:type="dxa"/>
            <w:tcBorders>
              <w:top w:val="single" w:sz="4" w:space="0" w:color="auto"/>
              <w:bottom w:val="single" w:sz="4" w:space="0" w:color="auto"/>
            </w:tcBorders>
            <w:shd w:val="clear" w:color="auto" w:fill="auto"/>
          </w:tcPr>
          <w:p w:rsidR="008778EF" w:rsidRPr="00F673EE" w:rsidRDefault="008778EF" w:rsidP="0074383C">
            <w:pPr>
              <w:pStyle w:val="ENoteTableText"/>
            </w:pPr>
            <w:r w:rsidRPr="00F673EE">
              <w:t>72</w:t>
            </w:r>
            <w:r w:rsidR="00F72B99" w:rsidRPr="00F673EE">
              <w:t>, 2003</w:t>
            </w:r>
          </w:p>
        </w:tc>
        <w:tc>
          <w:tcPr>
            <w:tcW w:w="1559" w:type="dxa"/>
            <w:tcBorders>
              <w:top w:val="single" w:sz="4" w:space="0" w:color="auto"/>
              <w:bottom w:val="single" w:sz="4" w:space="0" w:color="auto"/>
            </w:tcBorders>
            <w:shd w:val="clear" w:color="auto" w:fill="auto"/>
          </w:tcPr>
          <w:p w:rsidR="008778EF" w:rsidRPr="00F673EE" w:rsidRDefault="008778EF" w:rsidP="0074383C">
            <w:pPr>
              <w:pStyle w:val="ENoteTableText"/>
            </w:pPr>
            <w:r w:rsidRPr="00F673EE">
              <w:t>28 Apr 2003</w:t>
            </w:r>
          </w:p>
        </w:tc>
        <w:tc>
          <w:tcPr>
            <w:tcW w:w="1985" w:type="dxa"/>
            <w:tcBorders>
              <w:top w:val="single" w:sz="4" w:space="0" w:color="auto"/>
              <w:bottom w:val="single" w:sz="4" w:space="0" w:color="auto"/>
            </w:tcBorders>
            <w:shd w:val="clear" w:color="auto" w:fill="auto"/>
          </w:tcPr>
          <w:p w:rsidR="008778EF" w:rsidRPr="00F673EE" w:rsidRDefault="00A05862" w:rsidP="00316638">
            <w:pPr>
              <w:pStyle w:val="ENoteTableText"/>
            </w:pPr>
            <w:r w:rsidRPr="00F673EE">
              <w:t xml:space="preserve">Sch 2: </w:t>
            </w:r>
            <w:r w:rsidR="008778EF" w:rsidRPr="00F673EE">
              <w:t>28 Apr 2003</w:t>
            </w:r>
            <w:r w:rsidR="00F72B99" w:rsidRPr="00F673EE">
              <w:t xml:space="preserve"> (r 2)</w:t>
            </w:r>
          </w:p>
        </w:tc>
        <w:tc>
          <w:tcPr>
            <w:tcW w:w="1701" w:type="dxa"/>
            <w:tcBorders>
              <w:top w:val="single" w:sz="4" w:space="0" w:color="auto"/>
              <w:bottom w:val="single" w:sz="4" w:space="0" w:color="auto"/>
            </w:tcBorders>
            <w:shd w:val="clear" w:color="auto" w:fill="auto"/>
          </w:tcPr>
          <w:p w:rsidR="008778EF" w:rsidRPr="00F673EE" w:rsidRDefault="008778EF" w:rsidP="0074383C">
            <w:pPr>
              <w:pStyle w:val="ENoteTableText"/>
            </w:pPr>
            <w:r w:rsidRPr="00F673EE">
              <w:t>—</w:t>
            </w:r>
          </w:p>
        </w:tc>
      </w:tr>
      <w:tr w:rsidR="008778EF" w:rsidRPr="00F673EE" w:rsidTr="000F5003">
        <w:tblPrEx>
          <w:tblBorders>
            <w:top w:val="none" w:sz="0" w:space="0" w:color="auto"/>
            <w:bottom w:val="none" w:sz="0" w:space="0" w:color="auto"/>
            <w:insideH w:val="none" w:sz="0" w:space="0" w:color="auto"/>
          </w:tblBorders>
        </w:tblPrEx>
        <w:trPr>
          <w:cantSplit/>
        </w:trPr>
        <w:tc>
          <w:tcPr>
            <w:tcW w:w="1829" w:type="dxa"/>
            <w:tcBorders>
              <w:top w:val="single" w:sz="4" w:space="0" w:color="auto"/>
              <w:bottom w:val="single" w:sz="4" w:space="0" w:color="auto"/>
            </w:tcBorders>
          </w:tcPr>
          <w:p w:rsidR="008778EF" w:rsidRPr="00F673EE" w:rsidRDefault="008778EF" w:rsidP="0074383C">
            <w:pPr>
              <w:pStyle w:val="ENoteTableText"/>
            </w:pPr>
            <w:r w:rsidRPr="00F673EE">
              <w:t>65</w:t>
            </w:r>
            <w:r w:rsidR="00F72B99" w:rsidRPr="00F673EE">
              <w:t>, 2009</w:t>
            </w:r>
          </w:p>
        </w:tc>
        <w:tc>
          <w:tcPr>
            <w:tcW w:w="1559" w:type="dxa"/>
            <w:tcBorders>
              <w:top w:val="single" w:sz="4" w:space="0" w:color="auto"/>
              <w:bottom w:val="single" w:sz="4" w:space="0" w:color="auto"/>
            </w:tcBorders>
          </w:tcPr>
          <w:p w:rsidR="008778EF" w:rsidRPr="00F673EE" w:rsidRDefault="008778EF" w:rsidP="00316638">
            <w:pPr>
              <w:pStyle w:val="ENoteTableText"/>
            </w:pPr>
            <w:r w:rsidRPr="00F673EE">
              <w:t>17 Apr 2009</w:t>
            </w:r>
            <w:r w:rsidR="009B68C6" w:rsidRPr="00F673EE">
              <w:t xml:space="preserve"> (F2009L01291)</w:t>
            </w:r>
          </w:p>
        </w:tc>
        <w:tc>
          <w:tcPr>
            <w:tcW w:w="1985" w:type="dxa"/>
            <w:tcBorders>
              <w:top w:val="single" w:sz="4" w:space="0" w:color="auto"/>
              <w:bottom w:val="single" w:sz="4" w:space="0" w:color="auto"/>
            </w:tcBorders>
          </w:tcPr>
          <w:p w:rsidR="008778EF" w:rsidRPr="00F673EE" w:rsidRDefault="00A05862" w:rsidP="00316638">
            <w:pPr>
              <w:pStyle w:val="ENoteTableText"/>
            </w:pPr>
            <w:r w:rsidRPr="00F673EE">
              <w:t xml:space="preserve">Sch 2: </w:t>
            </w:r>
            <w:r w:rsidR="008778EF" w:rsidRPr="00F673EE">
              <w:t>18 Apr 2009</w:t>
            </w:r>
            <w:r w:rsidR="00F72B99" w:rsidRPr="00F673EE">
              <w:t xml:space="preserve"> (r 2)</w:t>
            </w:r>
          </w:p>
        </w:tc>
        <w:tc>
          <w:tcPr>
            <w:tcW w:w="1701" w:type="dxa"/>
            <w:tcBorders>
              <w:top w:val="single" w:sz="4" w:space="0" w:color="auto"/>
              <w:bottom w:val="single" w:sz="4" w:space="0" w:color="auto"/>
            </w:tcBorders>
          </w:tcPr>
          <w:p w:rsidR="008778EF" w:rsidRPr="00F673EE" w:rsidRDefault="008778EF" w:rsidP="0074383C">
            <w:pPr>
              <w:pStyle w:val="ENoteTableText"/>
            </w:pPr>
            <w:r w:rsidRPr="00F673EE">
              <w:t>—</w:t>
            </w:r>
          </w:p>
        </w:tc>
      </w:tr>
      <w:tr w:rsidR="008778EF" w:rsidRPr="00F673EE" w:rsidTr="000F5003">
        <w:tblPrEx>
          <w:tblBorders>
            <w:top w:val="none" w:sz="0" w:space="0" w:color="auto"/>
            <w:bottom w:val="none" w:sz="0" w:space="0" w:color="auto"/>
            <w:insideH w:val="none" w:sz="0" w:space="0" w:color="auto"/>
          </w:tblBorders>
        </w:tblPrEx>
        <w:trPr>
          <w:cantSplit/>
        </w:trPr>
        <w:tc>
          <w:tcPr>
            <w:tcW w:w="1829" w:type="dxa"/>
            <w:tcBorders>
              <w:top w:val="single" w:sz="4" w:space="0" w:color="auto"/>
              <w:bottom w:val="single" w:sz="4" w:space="0" w:color="auto"/>
            </w:tcBorders>
          </w:tcPr>
          <w:p w:rsidR="008778EF" w:rsidRPr="00F673EE" w:rsidRDefault="008778EF" w:rsidP="0074383C">
            <w:pPr>
              <w:pStyle w:val="ENoteTableText"/>
            </w:pPr>
            <w:r w:rsidRPr="00F673EE">
              <w:t>42</w:t>
            </w:r>
            <w:r w:rsidR="00F72B99" w:rsidRPr="00F673EE">
              <w:t>, 2010</w:t>
            </w:r>
          </w:p>
        </w:tc>
        <w:tc>
          <w:tcPr>
            <w:tcW w:w="1559" w:type="dxa"/>
            <w:tcBorders>
              <w:top w:val="single" w:sz="4" w:space="0" w:color="auto"/>
              <w:bottom w:val="single" w:sz="4" w:space="0" w:color="auto"/>
            </w:tcBorders>
          </w:tcPr>
          <w:p w:rsidR="008778EF" w:rsidRPr="00F673EE" w:rsidRDefault="008778EF" w:rsidP="00316638">
            <w:pPr>
              <w:pStyle w:val="ENoteTableText"/>
            </w:pPr>
            <w:r w:rsidRPr="00F673EE">
              <w:t>15 Mar 2010</w:t>
            </w:r>
            <w:r w:rsidR="009B68C6" w:rsidRPr="00F673EE">
              <w:t xml:space="preserve"> (F2010L00653)</w:t>
            </w:r>
          </w:p>
        </w:tc>
        <w:tc>
          <w:tcPr>
            <w:tcW w:w="1985" w:type="dxa"/>
            <w:tcBorders>
              <w:top w:val="single" w:sz="4" w:space="0" w:color="auto"/>
              <w:bottom w:val="single" w:sz="4" w:space="0" w:color="auto"/>
            </w:tcBorders>
          </w:tcPr>
          <w:p w:rsidR="008778EF" w:rsidRPr="00F673EE" w:rsidRDefault="008778EF" w:rsidP="00316638">
            <w:pPr>
              <w:pStyle w:val="ENoteTableText"/>
            </w:pPr>
            <w:r w:rsidRPr="00F673EE">
              <w:t>16 Mar 2010</w:t>
            </w:r>
            <w:r w:rsidR="00F72B99" w:rsidRPr="00F673EE">
              <w:t xml:space="preserve"> (r 2)</w:t>
            </w:r>
          </w:p>
        </w:tc>
        <w:tc>
          <w:tcPr>
            <w:tcW w:w="1701" w:type="dxa"/>
            <w:tcBorders>
              <w:top w:val="single" w:sz="4" w:space="0" w:color="auto"/>
              <w:bottom w:val="single" w:sz="4" w:space="0" w:color="auto"/>
            </w:tcBorders>
          </w:tcPr>
          <w:p w:rsidR="008778EF" w:rsidRPr="00F673EE" w:rsidRDefault="008778EF" w:rsidP="0074383C">
            <w:pPr>
              <w:pStyle w:val="ENoteTableText"/>
            </w:pPr>
            <w:r w:rsidRPr="00F673EE">
              <w:t>—</w:t>
            </w:r>
          </w:p>
        </w:tc>
      </w:tr>
      <w:tr w:rsidR="008778EF" w:rsidRPr="00F673EE" w:rsidTr="000F5003">
        <w:tblPrEx>
          <w:tblBorders>
            <w:top w:val="none" w:sz="0" w:space="0" w:color="auto"/>
            <w:bottom w:val="none" w:sz="0" w:space="0" w:color="auto"/>
            <w:insideH w:val="none" w:sz="0" w:space="0" w:color="auto"/>
          </w:tblBorders>
        </w:tblPrEx>
        <w:trPr>
          <w:cantSplit/>
        </w:trPr>
        <w:tc>
          <w:tcPr>
            <w:tcW w:w="1829" w:type="dxa"/>
            <w:tcBorders>
              <w:top w:val="single" w:sz="4" w:space="0" w:color="auto"/>
              <w:bottom w:val="single" w:sz="4" w:space="0" w:color="auto"/>
            </w:tcBorders>
          </w:tcPr>
          <w:p w:rsidR="008778EF" w:rsidRPr="00F673EE" w:rsidRDefault="008778EF" w:rsidP="0074383C">
            <w:pPr>
              <w:pStyle w:val="ENoteTableText"/>
            </w:pPr>
            <w:r w:rsidRPr="00F673EE">
              <w:t>72</w:t>
            </w:r>
            <w:r w:rsidR="00F72B99" w:rsidRPr="00F673EE">
              <w:t>, 2010</w:t>
            </w:r>
          </w:p>
        </w:tc>
        <w:tc>
          <w:tcPr>
            <w:tcW w:w="1559" w:type="dxa"/>
            <w:tcBorders>
              <w:top w:val="single" w:sz="4" w:space="0" w:color="auto"/>
              <w:bottom w:val="single" w:sz="4" w:space="0" w:color="auto"/>
            </w:tcBorders>
          </w:tcPr>
          <w:p w:rsidR="008778EF" w:rsidRPr="00F673EE" w:rsidRDefault="008778EF" w:rsidP="00316638">
            <w:pPr>
              <w:pStyle w:val="ENoteTableText"/>
            </w:pPr>
            <w:r w:rsidRPr="00F673EE">
              <w:t>19 Apr 2010</w:t>
            </w:r>
            <w:r w:rsidR="009B68C6" w:rsidRPr="00F673EE">
              <w:t xml:space="preserve"> (F2010L00858)</w:t>
            </w:r>
          </w:p>
        </w:tc>
        <w:tc>
          <w:tcPr>
            <w:tcW w:w="1985" w:type="dxa"/>
            <w:tcBorders>
              <w:top w:val="single" w:sz="4" w:space="0" w:color="auto"/>
              <w:bottom w:val="single" w:sz="4" w:space="0" w:color="auto"/>
            </w:tcBorders>
          </w:tcPr>
          <w:p w:rsidR="008778EF" w:rsidRPr="00F673EE" w:rsidRDefault="008778EF" w:rsidP="0074383C">
            <w:pPr>
              <w:pStyle w:val="ENoteTableText"/>
            </w:pPr>
            <w:r w:rsidRPr="00F673EE">
              <w:t>20 Apr 2010</w:t>
            </w:r>
            <w:r w:rsidR="00F72B99" w:rsidRPr="00F673EE">
              <w:t xml:space="preserve"> (r 2)</w:t>
            </w:r>
          </w:p>
        </w:tc>
        <w:tc>
          <w:tcPr>
            <w:tcW w:w="1701" w:type="dxa"/>
            <w:tcBorders>
              <w:top w:val="single" w:sz="4" w:space="0" w:color="auto"/>
              <w:bottom w:val="single" w:sz="4" w:space="0" w:color="auto"/>
            </w:tcBorders>
          </w:tcPr>
          <w:p w:rsidR="008778EF" w:rsidRPr="00F673EE" w:rsidRDefault="008778EF" w:rsidP="0074383C">
            <w:pPr>
              <w:pStyle w:val="ENoteTableText"/>
            </w:pPr>
            <w:r w:rsidRPr="00F673EE">
              <w:t>—</w:t>
            </w:r>
          </w:p>
        </w:tc>
      </w:tr>
      <w:tr w:rsidR="008778EF" w:rsidRPr="00F673EE" w:rsidTr="000F5003">
        <w:trPr>
          <w:cantSplit/>
        </w:trPr>
        <w:tc>
          <w:tcPr>
            <w:tcW w:w="1829" w:type="dxa"/>
            <w:tcBorders>
              <w:top w:val="single" w:sz="4" w:space="0" w:color="auto"/>
              <w:bottom w:val="single" w:sz="4" w:space="0" w:color="auto"/>
            </w:tcBorders>
          </w:tcPr>
          <w:p w:rsidR="008778EF" w:rsidRPr="00F673EE" w:rsidRDefault="008778EF" w:rsidP="0074383C">
            <w:pPr>
              <w:pStyle w:val="ENoteTableText"/>
            </w:pPr>
            <w:r w:rsidRPr="00F673EE">
              <w:t>303</w:t>
            </w:r>
            <w:r w:rsidR="00F72B99" w:rsidRPr="00F673EE">
              <w:t>, 2012</w:t>
            </w:r>
          </w:p>
        </w:tc>
        <w:tc>
          <w:tcPr>
            <w:tcW w:w="1559" w:type="dxa"/>
            <w:tcBorders>
              <w:top w:val="single" w:sz="4" w:space="0" w:color="auto"/>
              <w:bottom w:val="single" w:sz="4" w:space="0" w:color="auto"/>
            </w:tcBorders>
          </w:tcPr>
          <w:p w:rsidR="008778EF" w:rsidRPr="00F673EE" w:rsidRDefault="008778EF" w:rsidP="0074383C">
            <w:pPr>
              <w:pStyle w:val="ENoteTableText"/>
              <w:rPr>
                <w:i/>
              </w:rPr>
            </w:pPr>
            <w:r w:rsidRPr="00F673EE">
              <w:t>11 Dec 2012</w:t>
            </w:r>
            <w:r w:rsidR="00726065" w:rsidRPr="00F673EE">
              <w:t xml:space="preserve"> (F2012L02422)</w:t>
            </w:r>
          </w:p>
        </w:tc>
        <w:tc>
          <w:tcPr>
            <w:tcW w:w="1985" w:type="dxa"/>
            <w:tcBorders>
              <w:top w:val="single" w:sz="4" w:space="0" w:color="auto"/>
              <w:bottom w:val="single" w:sz="4" w:space="0" w:color="auto"/>
            </w:tcBorders>
          </w:tcPr>
          <w:p w:rsidR="008778EF" w:rsidRPr="00F673EE" w:rsidRDefault="009B68C6" w:rsidP="00A05862">
            <w:pPr>
              <w:pStyle w:val="ENoteTableText"/>
            </w:pPr>
            <w:r w:rsidRPr="00F673EE">
              <w:t>s</w:t>
            </w:r>
            <w:r w:rsidR="008778EF" w:rsidRPr="00F673EE">
              <w:t xml:space="preserve"> 3: 12 Dec 2012</w:t>
            </w:r>
            <w:r w:rsidR="00F72B99" w:rsidRPr="00F673EE">
              <w:t xml:space="preserve"> (</w:t>
            </w:r>
            <w:r w:rsidR="00A05862" w:rsidRPr="00F673EE">
              <w:t>s</w:t>
            </w:r>
            <w:r w:rsidR="00F72B99" w:rsidRPr="00F673EE">
              <w:t xml:space="preserve"> 2)</w:t>
            </w:r>
          </w:p>
        </w:tc>
        <w:tc>
          <w:tcPr>
            <w:tcW w:w="1701" w:type="dxa"/>
            <w:tcBorders>
              <w:top w:val="single" w:sz="4" w:space="0" w:color="auto"/>
              <w:bottom w:val="single" w:sz="4" w:space="0" w:color="auto"/>
            </w:tcBorders>
          </w:tcPr>
          <w:p w:rsidR="008778EF" w:rsidRPr="00F673EE" w:rsidRDefault="008778EF" w:rsidP="0074383C">
            <w:pPr>
              <w:pStyle w:val="ENoteTableText"/>
            </w:pPr>
            <w:r w:rsidRPr="00F673EE">
              <w:t>—</w:t>
            </w:r>
          </w:p>
        </w:tc>
      </w:tr>
      <w:tr w:rsidR="001B6DAB" w:rsidRPr="00F673EE" w:rsidTr="000F5003">
        <w:tblPrEx>
          <w:tblBorders>
            <w:top w:val="none" w:sz="0" w:space="0" w:color="auto"/>
            <w:bottom w:val="none" w:sz="0" w:space="0" w:color="auto"/>
            <w:insideH w:val="none" w:sz="0" w:space="0" w:color="auto"/>
          </w:tblBorders>
        </w:tblPrEx>
        <w:trPr>
          <w:cantSplit/>
        </w:trPr>
        <w:tc>
          <w:tcPr>
            <w:tcW w:w="1829" w:type="dxa"/>
            <w:tcBorders>
              <w:top w:val="single" w:sz="4" w:space="0" w:color="auto"/>
              <w:bottom w:val="single" w:sz="12" w:space="0" w:color="auto"/>
            </w:tcBorders>
            <w:shd w:val="clear" w:color="auto" w:fill="auto"/>
          </w:tcPr>
          <w:p w:rsidR="001B6DAB" w:rsidRPr="00F673EE" w:rsidRDefault="002A6143" w:rsidP="0074383C">
            <w:pPr>
              <w:pStyle w:val="ENoteTableText"/>
            </w:pPr>
            <w:r w:rsidRPr="00F673EE">
              <w:t>2</w:t>
            </w:r>
            <w:r w:rsidR="001B6DAB" w:rsidRPr="00F673EE">
              <w:t>25, 2013</w:t>
            </w:r>
          </w:p>
        </w:tc>
        <w:tc>
          <w:tcPr>
            <w:tcW w:w="1559" w:type="dxa"/>
            <w:tcBorders>
              <w:top w:val="single" w:sz="4" w:space="0" w:color="auto"/>
              <w:bottom w:val="single" w:sz="12" w:space="0" w:color="auto"/>
            </w:tcBorders>
            <w:shd w:val="clear" w:color="auto" w:fill="auto"/>
          </w:tcPr>
          <w:p w:rsidR="001B6DAB" w:rsidRPr="00F673EE" w:rsidRDefault="001B6DAB" w:rsidP="0074383C">
            <w:pPr>
              <w:pStyle w:val="ENoteTableText"/>
            </w:pPr>
            <w:r w:rsidRPr="00F673EE">
              <w:t>7 Aug 2013 (F2013L01527)</w:t>
            </w:r>
          </w:p>
        </w:tc>
        <w:tc>
          <w:tcPr>
            <w:tcW w:w="1985" w:type="dxa"/>
            <w:tcBorders>
              <w:top w:val="single" w:sz="4" w:space="0" w:color="auto"/>
              <w:bottom w:val="single" w:sz="12" w:space="0" w:color="auto"/>
            </w:tcBorders>
            <w:shd w:val="clear" w:color="auto" w:fill="auto"/>
          </w:tcPr>
          <w:p w:rsidR="001B6DAB" w:rsidRPr="00F673EE" w:rsidRDefault="001B6DAB" w:rsidP="0074383C">
            <w:pPr>
              <w:pStyle w:val="ENoteTableText"/>
            </w:pPr>
            <w:r w:rsidRPr="00F673EE">
              <w:t>Sch 1 (item</w:t>
            </w:r>
            <w:r w:rsidR="00F673EE">
              <w:t> </w:t>
            </w:r>
            <w:r w:rsidRPr="00F673EE">
              <w:t>2): 8 Aug 2013</w:t>
            </w:r>
            <w:r w:rsidR="00F72B99" w:rsidRPr="00F673EE">
              <w:t xml:space="preserve"> (s 2)</w:t>
            </w:r>
          </w:p>
        </w:tc>
        <w:tc>
          <w:tcPr>
            <w:tcW w:w="1701" w:type="dxa"/>
            <w:tcBorders>
              <w:top w:val="single" w:sz="4" w:space="0" w:color="auto"/>
              <w:bottom w:val="single" w:sz="12" w:space="0" w:color="auto"/>
            </w:tcBorders>
            <w:shd w:val="clear" w:color="auto" w:fill="auto"/>
          </w:tcPr>
          <w:p w:rsidR="001B6DAB" w:rsidRPr="00F673EE" w:rsidRDefault="001B6DAB" w:rsidP="0074383C">
            <w:pPr>
              <w:pStyle w:val="ENoteTableText"/>
            </w:pPr>
            <w:r w:rsidRPr="00F673EE">
              <w:t>—</w:t>
            </w:r>
          </w:p>
        </w:tc>
      </w:tr>
    </w:tbl>
    <w:p w:rsidR="00EB2195" w:rsidRPr="00F673EE" w:rsidRDefault="00EB2195" w:rsidP="00A93530">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EB2195" w:rsidRPr="00F673EE" w:rsidTr="00A93530">
        <w:trPr>
          <w:cantSplit/>
          <w:tblHeader/>
        </w:trPr>
        <w:tc>
          <w:tcPr>
            <w:tcW w:w="1809" w:type="dxa"/>
            <w:tcBorders>
              <w:top w:val="single" w:sz="12" w:space="0" w:color="auto"/>
              <w:bottom w:val="single" w:sz="12" w:space="0" w:color="auto"/>
            </w:tcBorders>
            <w:shd w:val="clear" w:color="auto" w:fill="auto"/>
          </w:tcPr>
          <w:p w:rsidR="00EB2195" w:rsidRPr="00F673EE" w:rsidRDefault="00EB2195" w:rsidP="00A93530">
            <w:pPr>
              <w:pStyle w:val="ENoteTableHeading"/>
            </w:pPr>
            <w:r w:rsidRPr="00F673EE">
              <w:t>Name</w:t>
            </w:r>
          </w:p>
        </w:tc>
        <w:tc>
          <w:tcPr>
            <w:tcW w:w="1809" w:type="dxa"/>
            <w:tcBorders>
              <w:top w:val="single" w:sz="12" w:space="0" w:color="auto"/>
              <w:bottom w:val="single" w:sz="12" w:space="0" w:color="auto"/>
            </w:tcBorders>
            <w:shd w:val="clear" w:color="auto" w:fill="auto"/>
          </w:tcPr>
          <w:p w:rsidR="00EB2195" w:rsidRPr="00F673EE" w:rsidRDefault="00EB2195" w:rsidP="00A93530">
            <w:pPr>
              <w:pStyle w:val="ENoteTableHeading"/>
            </w:pPr>
            <w:r w:rsidRPr="00F673EE">
              <w:t>Registration</w:t>
            </w:r>
          </w:p>
        </w:tc>
        <w:tc>
          <w:tcPr>
            <w:tcW w:w="1809" w:type="dxa"/>
            <w:tcBorders>
              <w:top w:val="single" w:sz="12" w:space="0" w:color="auto"/>
              <w:bottom w:val="single" w:sz="12" w:space="0" w:color="auto"/>
            </w:tcBorders>
            <w:shd w:val="clear" w:color="auto" w:fill="auto"/>
          </w:tcPr>
          <w:p w:rsidR="00EB2195" w:rsidRPr="00F673EE" w:rsidRDefault="00EB2195" w:rsidP="00A93530">
            <w:pPr>
              <w:pStyle w:val="ENoteTableHeading"/>
            </w:pPr>
            <w:r w:rsidRPr="00F673EE">
              <w:t>Commencement</w:t>
            </w:r>
          </w:p>
        </w:tc>
        <w:tc>
          <w:tcPr>
            <w:tcW w:w="1809" w:type="dxa"/>
            <w:tcBorders>
              <w:top w:val="single" w:sz="12" w:space="0" w:color="auto"/>
              <w:bottom w:val="single" w:sz="12" w:space="0" w:color="auto"/>
            </w:tcBorders>
            <w:shd w:val="clear" w:color="auto" w:fill="auto"/>
          </w:tcPr>
          <w:p w:rsidR="00EB2195" w:rsidRPr="00F673EE" w:rsidRDefault="00EB2195" w:rsidP="00A93530">
            <w:pPr>
              <w:pStyle w:val="ENoteTableHeading"/>
            </w:pPr>
            <w:r w:rsidRPr="00F673EE">
              <w:t>Application, saving and transitional provisions</w:t>
            </w:r>
          </w:p>
        </w:tc>
      </w:tr>
      <w:tr w:rsidR="00EB2195" w:rsidRPr="00F673EE" w:rsidTr="00A93530">
        <w:trPr>
          <w:cantSplit/>
        </w:trPr>
        <w:tc>
          <w:tcPr>
            <w:tcW w:w="1809" w:type="dxa"/>
            <w:tcBorders>
              <w:top w:val="single" w:sz="12" w:space="0" w:color="auto"/>
              <w:bottom w:val="single" w:sz="4" w:space="0" w:color="auto"/>
            </w:tcBorders>
            <w:shd w:val="clear" w:color="auto" w:fill="auto"/>
          </w:tcPr>
          <w:p w:rsidR="00EB2195" w:rsidRPr="00F673EE" w:rsidRDefault="00857E15" w:rsidP="00A93530">
            <w:pPr>
              <w:pStyle w:val="ENoteTableText"/>
            </w:pPr>
            <w:r w:rsidRPr="00F673EE">
              <w:t>Trans</w:t>
            </w:r>
            <w:r w:rsidR="00F673EE">
              <w:noBreakHyphen/>
            </w:r>
            <w:r w:rsidRPr="00F673EE">
              <w:t>Tasman Mutual Recognition Amendment (ACT Container Deposit Scheme) Regulations</w:t>
            </w:r>
            <w:r w:rsidR="00F673EE">
              <w:t> </w:t>
            </w:r>
            <w:r w:rsidRPr="00F673EE">
              <w:t>2018</w:t>
            </w:r>
          </w:p>
        </w:tc>
        <w:tc>
          <w:tcPr>
            <w:tcW w:w="1809" w:type="dxa"/>
            <w:tcBorders>
              <w:top w:val="single" w:sz="12" w:space="0" w:color="auto"/>
              <w:bottom w:val="single" w:sz="4" w:space="0" w:color="auto"/>
            </w:tcBorders>
            <w:shd w:val="clear" w:color="auto" w:fill="auto"/>
          </w:tcPr>
          <w:p w:rsidR="00EB2195" w:rsidRPr="00F673EE" w:rsidRDefault="00857E15" w:rsidP="00A93530">
            <w:pPr>
              <w:pStyle w:val="ENoteTableText"/>
            </w:pPr>
            <w:r w:rsidRPr="00F673EE">
              <w:t>6 Dec 2018 (F2018L01675)</w:t>
            </w:r>
          </w:p>
        </w:tc>
        <w:tc>
          <w:tcPr>
            <w:tcW w:w="1809" w:type="dxa"/>
            <w:tcBorders>
              <w:top w:val="single" w:sz="12" w:space="0" w:color="auto"/>
              <w:bottom w:val="single" w:sz="4" w:space="0" w:color="auto"/>
            </w:tcBorders>
            <w:shd w:val="clear" w:color="auto" w:fill="auto"/>
          </w:tcPr>
          <w:p w:rsidR="00EB2195" w:rsidRPr="00F673EE" w:rsidRDefault="00857E15" w:rsidP="00A93530">
            <w:pPr>
              <w:pStyle w:val="ENoteTableText"/>
            </w:pPr>
            <w:r w:rsidRPr="00F673EE">
              <w:t>7 Dec 2018 (s 2(1) item</w:t>
            </w:r>
            <w:r w:rsidR="00F673EE">
              <w:t> </w:t>
            </w:r>
            <w:r w:rsidRPr="00F673EE">
              <w:t>1)</w:t>
            </w:r>
          </w:p>
        </w:tc>
        <w:tc>
          <w:tcPr>
            <w:tcW w:w="1809" w:type="dxa"/>
            <w:tcBorders>
              <w:top w:val="single" w:sz="12" w:space="0" w:color="auto"/>
              <w:bottom w:val="single" w:sz="4" w:space="0" w:color="auto"/>
            </w:tcBorders>
            <w:shd w:val="clear" w:color="auto" w:fill="auto"/>
          </w:tcPr>
          <w:p w:rsidR="00EB2195" w:rsidRPr="00F673EE" w:rsidRDefault="00857E15" w:rsidP="00A93530">
            <w:pPr>
              <w:pStyle w:val="ENoteTableText"/>
            </w:pPr>
            <w:r w:rsidRPr="00F673EE">
              <w:t>—</w:t>
            </w:r>
          </w:p>
        </w:tc>
      </w:tr>
      <w:tr w:rsidR="00EB2195" w:rsidRPr="00F673EE" w:rsidTr="00A93530">
        <w:trPr>
          <w:cantSplit/>
        </w:trPr>
        <w:tc>
          <w:tcPr>
            <w:tcW w:w="1809" w:type="dxa"/>
            <w:tcBorders>
              <w:bottom w:val="single" w:sz="12" w:space="0" w:color="auto"/>
            </w:tcBorders>
            <w:shd w:val="clear" w:color="auto" w:fill="auto"/>
          </w:tcPr>
          <w:p w:rsidR="00EB2195" w:rsidRPr="00F673EE" w:rsidRDefault="00857E15" w:rsidP="00A93530">
            <w:pPr>
              <w:pStyle w:val="ENoteTableText"/>
            </w:pPr>
            <w:r w:rsidRPr="00F673EE">
              <w:t>Trans</w:t>
            </w:r>
            <w:r w:rsidR="00F673EE">
              <w:noBreakHyphen/>
            </w:r>
            <w:r w:rsidRPr="00F673EE">
              <w:t>Tasman Mutual Recognition Amendment (NSW Container Deposit Scheme) Regulations</w:t>
            </w:r>
            <w:r w:rsidR="00F673EE">
              <w:t> </w:t>
            </w:r>
            <w:r w:rsidRPr="00F673EE">
              <w:t>2018</w:t>
            </w:r>
          </w:p>
        </w:tc>
        <w:tc>
          <w:tcPr>
            <w:tcW w:w="1809" w:type="dxa"/>
            <w:tcBorders>
              <w:bottom w:val="single" w:sz="12" w:space="0" w:color="auto"/>
            </w:tcBorders>
            <w:shd w:val="clear" w:color="auto" w:fill="auto"/>
          </w:tcPr>
          <w:p w:rsidR="00EB2195" w:rsidRPr="00F673EE" w:rsidRDefault="00857E15" w:rsidP="00A93530">
            <w:pPr>
              <w:pStyle w:val="ENoteTableText"/>
            </w:pPr>
            <w:r w:rsidRPr="00F673EE">
              <w:t>7 Dec 2018 (F2018L01692)</w:t>
            </w:r>
          </w:p>
        </w:tc>
        <w:tc>
          <w:tcPr>
            <w:tcW w:w="1809" w:type="dxa"/>
            <w:tcBorders>
              <w:bottom w:val="single" w:sz="12" w:space="0" w:color="auto"/>
            </w:tcBorders>
            <w:shd w:val="clear" w:color="auto" w:fill="auto"/>
          </w:tcPr>
          <w:p w:rsidR="00EB2195" w:rsidRPr="00F673EE" w:rsidRDefault="00857E15" w:rsidP="00A93530">
            <w:pPr>
              <w:pStyle w:val="ENoteTableText"/>
              <w:rPr>
                <w:u w:val="single"/>
              </w:rPr>
            </w:pPr>
            <w:r w:rsidRPr="00F673EE">
              <w:rPr>
                <w:u w:val="single"/>
              </w:rPr>
              <w:t>8 Dec 2018 (s 2(1) item</w:t>
            </w:r>
            <w:r w:rsidR="00F673EE">
              <w:rPr>
                <w:u w:val="single"/>
              </w:rPr>
              <w:t> </w:t>
            </w:r>
            <w:r w:rsidRPr="00F673EE">
              <w:rPr>
                <w:u w:val="single"/>
              </w:rPr>
              <w:t>1)</w:t>
            </w:r>
          </w:p>
        </w:tc>
        <w:tc>
          <w:tcPr>
            <w:tcW w:w="1809" w:type="dxa"/>
            <w:tcBorders>
              <w:bottom w:val="single" w:sz="12" w:space="0" w:color="auto"/>
            </w:tcBorders>
            <w:shd w:val="clear" w:color="auto" w:fill="auto"/>
          </w:tcPr>
          <w:p w:rsidR="00EB2195" w:rsidRPr="00F673EE" w:rsidRDefault="00857E15" w:rsidP="00A93530">
            <w:pPr>
              <w:pStyle w:val="ENoteTableText"/>
            </w:pPr>
            <w:r w:rsidRPr="00F673EE">
              <w:t>—</w:t>
            </w:r>
          </w:p>
        </w:tc>
      </w:tr>
    </w:tbl>
    <w:p w:rsidR="00EB2195" w:rsidRPr="00F673EE" w:rsidRDefault="00EB2195" w:rsidP="00A93530"/>
    <w:p w:rsidR="00026149" w:rsidRPr="00F673EE" w:rsidRDefault="00026149" w:rsidP="0091529B">
      <w:pPr>
        <w:pStyle w:val="ENotesHeading2"/>
        <w:pageBreakBefore/>
        <w:outlineLvl w:val="9"/>
      </w:pPr>
      <w:bookmarkStart w:id="103" w:name="_Toc532465320"/>
      <w:r w:rsidRPr="00F673EE">
        <w:lastRenderedPageBreak/>
        <w:t>Endnote 4—Amendment history</w:t>
      </w:r>
      <w:bookmarkEnd w:id="103"/>
    </w:p>
    <w:p w:rsidR="0074383C" w:rsidRPr="00F673EE" w:rsidRDefault="0074383C" w:rsidP="00026149">
      <w:pPr>
        <w:pStyle w:val="Tabletext"/>
        <w:spacing w:before="0"/>
      </w:pPr>
    </w:p>
    <w:tbl>
      <w:tblPr>
        <w:tblW w:w="7088" w:type="dxa"/>
        <w:tblInd w:w="108" w:type="dxa"/>
        <w:tblLayout w:type="fixed"/>
        <w:tblLook w:val="0000" w:firstRow="0" w:lastRow="0" w:firstColumn="0" w:lastColumn="0" w:noHBand="0" w:noVBand="0"/>
      </w:tblPr>
      <w:tblGrid>
        <w:gridCol w:w="2031"/>
        <w:gridCol w:w="5057"/>
      </w:tblGrid>
      <w:tr w:rsidR="0074383C" w:rsidRPr="00F673EE" w:rsidTr="006E07AC">
        <w:trPr>
          <w:cantSplit/>
          <w:tblHeader/>
        </w:trPr>
        <w:tc>
          <w:tcPr>
            <w:tcW w:w="2031" w:type="dxa"/>
            <w:tcBorders>
              <w:top w:val="single" w:sz="12" w:space="0" w:color="auto"/>
              <w:bottom w:val="single" w:sz="12" w:space="0" w:color="auto"/>
            </w:tcBorders>
            <w:shd w:val="clear" w:color="auto" w:fill="auto"/>
          </w:tcPr>
          <w:p w:rsidR="0074383C" w:rsidRPr="00F673EE" w:rsidRDefault="0074383C" w:rsidP="001A0FF4">
            <w:pPr>
              <w:pStyle w:val="ENoteTableHeading"/>
            </w:pPr>
            <w:r w:rsidRPr="00F673EE">
              <w:t>Provision affected</w:t>
            </w:r>
          </w:p>
        </w:tc>
        <w:tc>
          <w:tcPr>
            <w:tcW w:w="5057" w:type="dxa"/>
            <w:tcBorders>
              <w:top w:val="single" w:sz="12" w:space="0" w:color="auto"/>
              <w:bottom w:val="single" w:sz="12" w:space="0" w:color="auto"/>
            </w:tcBorders>
            <w:shd w:val="clear" w:color="auto" w:fill="auto"/>
          </w:tcPr>
          <w:p w:rsidR="0074383C" w:rsidRPr="00F673EE" w:rsidRDefault="0074383C" w:rsidP="001A0FF4">
            <w:pPr>
              <w:pStyle w:val="ENoteTableHeading"/>
            </w:pPr>
            <w:r w:rsidRPr="00F673EE">
              <w:t>How affected</w:t>
            </w:r>
          </w:p>
        </w:tc>
      </w:tr>
      <w:tr w:rsidR="0074383C" w:rsidRPr="00F673EE" w:rsidTr="006E07AC">
        <w:trPr>
          <w:cantSplit/>
        </w:trPr>
        <w:tc>
          <w:tcPr>
            <w:tcW w:w="2031" w:type="dxa"/>
            <w:tcBorders>
              <w:top w:val="single" w:sz="12" w:space="0" w:color="auto"/>
            </w:tcBorders>
            <w:shd w:val="clear" w:color="auto" w:fill="auto"/>
          </w:tcPr>
          <w:p w:rsidR="0074383C" w:rsidRPr="00F673EE" w:rsidRDefault="0074383C" w:rsidP="0074383C">
            <w:pPr>
              <w:pStyle w:val="ENoteTableText"/>
            </w:pPr>
            <w:r w:rsidRPr="00F673EE">
              <w:rPr>
                <w:b/>
              </w:rPr>
              <w:t>Part</w:t>
            </w:r>
            <w:r w:rsidR="00F673EE">
              <w:rPr>
                <w:b/>
              </w:rPr>
              <w:t> </w:t>
            </w:r>
            <w:r w:rsidRPr="00F673EE">
              <w:rPr>
                <w:b/>
              </w:rPr>
              <w:t>3</w:t>
            </w:r>
          </w:p>
        </w:tc>
        <w:tc>
          <w:tcPr>
            <w:tcW w:w="5057" w:type="dxa"/>
            <w:tcBorders>
              <w:top w:val="single" w:sz="12" w:space="0" w:color="auto"/>
            </w:tcBorders>
            <w:shd w:val="clear" w:color="auto" w:fill="auto"/>
          </w:tcPr>
          <w:p w:rsidR="0074383C" w:rsidRPr="00F673EE" w:rsidRDefault="0074383C" w:rsidP="0074383C">
            <w:pPr>
              <w:pStyle w:val="ENoteTableText"/>
            </w:pPr>
          </w:p>
        </w:tc>
      </w:tr>
      <w:tr w:rsidR="0074383C" w:rsidRPr="00F673EE" w:rsidTr="006E07AC">
        <w:trPr>
          <w:cantSplit/>
        </w:trPr>
        <w:tc>
          <w:tcPr>
            <w:tcW w:w="2031" w:type="dxa"/>
            <w:shd w:val="clear" w:color="auto" w:fill="auto"/>
          </w:tcPr>
          <w:p w:rsidR="0074383C" w:rsidRPr="00F673EE" w:rsidRDefault="0074383C" w:rsidP="0074383C">
            <w:pPr>
              <w:pStyle w:val="ENoteTableText"/>
            </w:pPr>
            <w:r w:rsidRPr="00F673EE">
              <w:rPr>
                <w:b/>
              </w:rPr>
              <w:t>Division</w:t>
            </w:r>
            <w:r w:rsidR="00F673EE">
              <w:rPr>
                <w:b/>
              </w:rPr>
              <w:t> </w:t>
            </w:r>
            <w:r w:rsidRPr="00F673EE">
              <w:rPr>
                <w:b/>
              </w:rPr>
              <w:t>5</w:t>
            </w:r>
          </w:p>
        </w:tc>
        <w:tc>
          <w:tcPr>
            <w:tcW w:w="5057" w:type="dxa"/>
            <w:shd w:val="clear" w:color="auto" w:fill="auto"/>
          </w:tcPr>
          <w:p w:rsidR="0074383C" w:rsidRPr="00F673EE" w:rsidRDefault="0074383C" w:rsidP="0074383C">
            <w:pPr>
              <w:pStyle w:val="ENoteTableText"/>
            </w:pPr>
          </w:p>
        </w:tc>
      </w:tr>
      <w:tr w:rsidR="0074383C" w:rsidRPr="00F673EE" w:rsidTr="006E07AC">
        <w:trPr>
          <w:cantSplit/>
        </w:trPr>
        <w:tc>
          <w:tcPr>
            <w:tcW w:w="2031" w:type="dxa"/>
            <w:shd w:val="clear" w:color="auto" w:fill="auto"/>
          </w:tcPr>
          <w:p w:rsidR="0074383C" w:rsidRPr="00F673EE" w:rsidRDefault="006E07AC" w:rsidP="00D24366">
            <w:pPr>
              <w:pStyle w:val="ENoteTableText"/>
              <w:tabs>
                <w:tab w:val="center" w:leader="dot" w:pos="2268"/>
              </w:tabs>
            </w:pPr>
            <w:r w:rsidRPr="00F673EE">
              <w:t>s</w:t>
            </w:r>
            <w:r w:rsidR="0074383C" w:rsidRPr="00F673EE">
              <w:t xml:space="preserve"> 35</w:t>
            </w:r>
            <w:r w:rsidR="0074383C" w:rsidRPr="00F673EE">
              <w:tab/>
            </w:r>
          </w:p>
        </w:tc>
        <w:tc>
          <w:tcPr>
            <w:tcW w:w="5057" w:type="dxa"/>
            <w:shd w:val="clear" w:color="auto" w:fill="auto"/>
          </w:tcPr>
          <w:p w:rsidR="0074383C" w:rsidRPr="00F673EE" w:rsidRDefault="0074383C" w:rsidP="006E07AC">
            <w:pPr>
              <w:pStyle w:val="ENoteTableText"/>
            </w:pPr>
            <w:r w:rsidRPr="00F673EE">
              <w:t>am No</w:t>
            </w:r>
            <w:r w:rsidR="00D24366" w:rsidRPr="00F673EE">
              <w:t> </w:t>
            </w:r>
            <w:r w:rsidRPr="00F673EE">
              <w:t>38, 2005</w:t>
            </w:r>
            <w:r w:rsidR="004D7FE5" w:rsidRPr="00F673EE">
              <w:t>; No 60,</w:t>
            </w:r>
            <w:r w:rsidR="00727D33" w:rsidRPr="00F673EE">
              <w:t xml:space="preserve"> </w:t>
            </w:r>
            <w:r w:rsidR="004D7FE5" w:rsidRPr="00F673EE">
              <w:t>2015</w:t>
            </w:r>
          </w:p>
        </w:tc>
      </w:tr>
      <w:tr w:rsidR="00332D26" w:rsidRPr="00F673EE" w:rsidTr="006E07AC">
        <w:trPr>
          <w:cantSplit/>
        </w:trPr>
        <w:tc>
          <w:tcPr>
            <w:tcW w:w="2031" w:type="dxa"/>
            <w:shd w:val="clear" w:color="auto" w:fill="auto"/>
          </w:tcPr>
          <w:p w:rsidR="00332D26" w:rsidRPr="00F673EE" w:rsidRDefault="00332D26" w:rsidP="0074383C">
            <w:pPr>
              <w:pStyle w:val="ENoteTableText"/>
              <w:rPr>
                <w:b/>
              </w:rPr>
            </w:pPr>
            <w:r w:rsidRPr="00F673EE">
              <w:rPr>
                <w:b/>
              </w:rPr>
              <w:t>Schedule</w:t>
            </w:r>
            <w:r w:rsidR="00F673EE">
              <w:rPr>
                <w:b/>
              </w:rPr>
              <w:t> </w:t>
            </w:r>
            <w:r w:rsidRPr="00F673EE">
              <w:rPr>
                <w:b/>
              </w:rPr>
              <w:t>1</w:t>
            </w:r>
          </w:p>
        </w:tc>
        <w:tc>
          <w:tcPr>
            <w:tcW w:w="5057" w:type="dxa"/>
            <w:shd w:val="clear" w:color="auto" w:fill="auto"/>
          </w:tcPr>
          <w:p w:rsidR="00332D26" w:rsidRPr="00F673EE" w:rsidRDefault="00332D26" w:rsidP="0074383C">
            <w:pPr>
              <w:pStyle w:val="ENoteTableText"/>
            </w:pPr>
          </w:p>
        </w:tc>
      </w:tr>
      <w:tr w:rsidR="0074383C" w:rsidRPr="00F673EE" w:rsidTr="006E07AC">
        <w:trPr>
          <w:cantSplit/>
        </w:trPr>
        <w:tc>
          <w:tcPr>
            <w:tcW w:w="2031" w:type="dxa"/>
            <w:shd w:val="clear" w:color="auto" w:fill="auto"/>
          </w:tcPr>
          <w:p w:rsidR="0074383C" w:rsidRPr="00F673EE" w:rsidRDefault="0074383C" w:rsidP="00D24366">
            <w:pPr>
              <w:pStyle w:val="ENoteTableText"/>
              <w:tabs>
                <w:tab w:val="center" w:leader="dot" w:pos="2268"/>
              </w:tabs>
            </w:pPr>
            <w:r w:rsidRPr="00F673EE">
              <w:t>Schedule</w:t>
            </w:r>
            <w:r w:rsidR="00F673EE">
              <w:t> </w:t>
            </w:r>
            <w:r w:rsidRPr="00F673EE">
              <w:t>1</w:t>
            </w:r>
            <w:r w:rsidRPr="00F673EE">
              <w:tab/>
            </w:r>
          </w:p>
        </w:tc>
        <w:tc>
          <w:tcPr>
            <w:tcW w:w="5057" w:type="dxa"/>
            <w:shd w:val="clear" w:color="auto" w:fill="auto"/>
          </w:tcPr>
          <w:p w:rsidR="0074383C" w:rsidRPr="00F673EE" w:rsidRDefault="0074383C" w:rsidP="006E07AC">
            <w:pPr>
              <w:pStyle w:val="ENoteTableText"/>
            </w:pPr>
            <w:r w:rsidRPr="00F673EE">
              <w:t>am No</w:t>
            </w:r>
            <w:r w:rsidR="00D24366" w:rsidRPr="00F673EE">
              <w:t> </w:t>
            </w:r>
            <w:r w:rsidRPr="00F673EE">
              <w:t>118, 1999; No</w:t>
            </w:r>
            <w:r w:rsidR="00D24366" w:rsidRPr="00F673EE">
              <w:t> </w:t>
            </w:r>
            <w:r w:rsidRPr="00F673EE">
              <w:t>101, 2006; No</w:t>
            </w:r>
            <w:r w:rsidR="00D24366" w:rsidRPr="00F673EE">
              <w:t> </w:t>
            </w:r>
            <w:r w:rsidRPr="00F673EE">
              <w:t>8, 2007</w:t>
            </w:r>
          </w:p>
        </w:tc>
      </w:tr>
      <w:tr w:rsidR="00332D26" w:rsidRPr="00F673EE" w:rsidTr="006E07AC">
        <w:trPr>
          <w:cantSplit/>
        </w:trPr>
        <w:tc>
          <w:tcPr>
            <w:tcW w:w="2031" w:type="dxa"/>
            <w:shd w:val="clear" w:color="auto" w:fill="auto"/>
          </w:tcPr>
          <w:p w:rsidR="00332D26" w:rsidRPr="00F673EE" w:rsidRDefault="00332D26" w:rsidP="006E07AC">
            <w:pPr>
              <w:pStyle w:val="ENoteTableText"/>
              <w:rPr>
                <w:rFonts w:eastAsiaTheme="minorHAnsi" w:cstheme="minorBidi"/>
                <w:lang w:eastAsia="en-US"/>
              </w:rPr>
            </w:pPr>
            <w:r w:rsidRPr="00F673EE">
              <w:rPr>
                <w:b/>
              </w:rPr>
              <w:t>Schedule</w:t>
            </w:r>
            <w:r w:rsidR="00F673EE">
              <w:rPr>
                <w:b/>
              </w:rPr>
              <w:t> </w:t>
            </w:r>
            <w:r w:rsidRPr="00F673EE">
              <w:rPr>
                <w:b/>
              </w:rPr>
              <w:t>2</w:t>
            </w:r>
          </w:p>
        </w:tc>
        <w:tc>
          <w:tcPr>
            <w:tcW w:w="5057" w:type="dxa"/>
            <w:shd w:val="clear" w:color="auto" w:fill="auto"/>
          </w:tcPr>
          <w:p w:rsidR="00332D26" w:rsidRPr="00F673EE" w:rsidRDefault="00332D26" w:rsidP="0074383C">
            <w:pPr>
              <w:pStyle w:val="ENoteTableText"/>
            </w:pPr>
          </w:p>
        </w:tc>
      </w:tr>
      <w:tr w:rsidR="0074383C" w:rsidRPr="00F673EE" w:rsidTr="006E07AC">
        <w:trPr>
          <w:cantSplit/>
        </w:trPr>
        <w:tc>
          <w:tcPr>
            <w:tcW w:w="2031" w:type="dxa"/>
            <w:shd w:val="clear" w:color="auto" w:fill="auto"/>
          </w:tcPr>
          <w:p w:rsidR="0074383C" w:rsidRPr="00F673EE" w:rsidRDefault="0074383C" w:rsidP="00D24366">
            <w:pPr>
              <w:pStyle w:val="ENoteTableText"/>
              <w:tabs>
                <w:tab w:val="center" w:leader="dot" w:pos="2268"/>
              </w:tabs>
            </w:pPr>
            <w:r w:rsidRPr="00F673EE">
              <w:t>Schedule</w:t>
            </w:r>
            <w:r w:rsidR="00F673EE">
              <w:t> </w:t>
            </w:r>
            <w:r w:rsidRPr="00F673EE">
              <w:t>2</w:t>
            </w:r>
            <w:r w:rsidRPr="00F673EE">
              <w:tab/>
            </w:r>
          </w:p>
        </w:tc>
        <w:tc>
          <w:tcPr>
            <w:tcW w:w="5057" w:type="dxa"/>
            <w:shd w:val="clear" w:color="auto" w:fill="auto"/>
          </w:tcPr>
          <w:p w:rsidR="0074383C" w:rsidRPr="00F673EE" w:rsidRDefault="0074383C" w:rsidP="006E07AC">
            <w:pPr>
              <w:pStyle w:val="ENoteTableText"/>
            </w:pPr>
            <w:r w:rsidRPr="00F673EE">
              <w:t>am SR</w:t>
            </w:r>
            <w:r w:rsidR="00D24366" w:rsidRPr="00F673EE">
              <w:t> </w:t>
            </w:r>
            <w:r w:rsidRPr="00F673EE">
              <w:t>No</w:t>
            </w:r>
            <w:r w:rsidR="00D24366" w:rsidRPr="00F673EE">
              <w:t> </w:t>
            </w:r>
            <w:r w:rsidRPr="00F673EE">
              <w:t>51</w:t>
            </w:r>
            <w:r w:rsidR="006E07AC" w:rsidRPr="00F673EE">
              <w:t>, 2000</w:t>
            </w:r>
            <w:r w:rsidRPr="00F673EE">
              <w:t>; SR</w:t>
            </w:r>
            <w:r w:rsidR="00D24366" w:rsidRPr="00F673EE">
              <w:t> </w:t>
            </w:r>
            <w:r w:rsidRPr="00F673EE">
              <w:t>No</w:t>
            </w:r>
            <w:r w:rsidR="00D24366" w:rsidRPr="00F673EE">
              <w:t> </w:t>
            </w:r>
            <w:r w:rsidRPr="00F673EE">
              <w:t>221</w:t>
            </w:r>
            <w:r w:rsidR="006E07AC" w:rsidRPr="00F673EE">
              <w:t>, 2001</w:t>
            </w:r>
            <w:r w:rsidRPr="00F673EE">
              <w:t>; No</w:t>
            </w:r>
            <w:r w:rsidR="00D24366" w:rsidRPr="00F673EE">
              <w:t> </w:t>
            </w:r>
            <w:r w:rsidRPr="00F673EE">
              <w:t>126, 2003; SLI</w:t>
            </w:r>
            <w:r w:rsidR="00D24366" w:rsidRPr="00F673EE">
              <w:t> </w:t>
            </w:r>
            <w:r w:rsidRPr="00F673EE">
              <w:t>No</w:t>
            </w:r>
            <w:r w:rsidR="00D24366" w:rsidRPr="00F673EE">
              <w:t> </w:t>
            </w:r>
            <w:r w:rsidRPr="00F673EE">
              <w:t>65</w:t>
            </w:r>
            <w:r w:rsidR="006E07AC" w:rsidRPr="00F673EE">
              <w:t>, 2009</w:t>
            </w:r>
            <w:r w:rsidRPr="00F673EE">
              <w:t>; SLI</w:t>
            </w:r>
            <w:r w:rsidR="00D24366" w:rsidRPr="00F673EE">
              <w:t> </w:t>
            </w:r>
            <w:r w:rsidRPr="00F673EE">
              <w:t>No 42</w:t>
            </w:r>
            <w:r w:rsidR="006E07AC" w:rsidRPr="00F673EE">
              <w:t>, 2010; SLI No </w:t>
            </w:r>
            <w:r w:rsidRPr="00F673EE">
              <w:t>72</w:t>
            </w:r>
            <w:r w:rsidR="006E07AC" w:rsidRPr="00F673EE">
              <w:t>, 2010</w:t>
            </w:r>
            <w:r w:rsidRPr="00F673EE">
              <w:t>; SLI</w:t>
            </w:r>
            <w:r w:rsidR="00D24366" w:rsidRPr="00F673EE">
              <w:t> </w:t>
            </w:r>
            <w:r w:rsidRPr="00F673EE">
              <w:t>No</w:t>
            </w:r>
            <w:r w:rsidR="00D24366" w:rsidRPr="00F673EE">
              <w:t> </w:t>
            </w:r>
            <w:r w:rsidRPr="00F673EE">
              <w:t>303</w:t>
            </w:r>
            <w:r w:rsidR="006E07AC" w:rsidRPr="00F673EE">
              <w:t>, 2012</w:t>
            </w:r>
            <w:r w:rsidR="00931474" w:rsidRPr="00F673EE">
              <w:t>; SLI</w:t>
            </w:r>
            <w:r w:rsidR="006E07AC" w:rsidRPr="00F673EE">
              <w:t> </w:t>
            </w:r>
            <w:r w:rsidR="00931474" w:rsidRPr="00F673EE">
              <w:t>No</w:t>
            </w:r>
            <w:r w:rsidR="006E07AC" w:rsidRPr="00F673EE">
              <w:t> </w:t>
            </w:r>
            <w:r w:rsidR="00931474" w:rsidRPr="00F673EE">
              <w:t>225, 2013</w:t>
            </w:r>
            <w:r w:rsidR="00857E15" w:rsidRPr="00F673EE">
              <w:t xml:space="preserve">; F2018L01675; </w:t>
            </w:r>
            <w:r w:rsidR="00857E15" w:rsidRPr="00F673EE">
              <w:rPr>
                <w:u w:val="single"/>
              </w:rPr>
              <w:t>F2018L01692</w:t>
            </w:r>
          </w:p>
        </w:tc>
      </w:tr>
      <w:tr w:rsidR="00332D26" w:rsidRPr="00F673EE" w:rsidTr="006E07AC">
        <w:trPr>
          <w:cantSplit/>
        </w:trPr>
        <w:tc>
          <w:tcPr>
            <w:tcW w:w="2031" w:type="dxa"/>
            <w:shd w:val="clear" w:color="auto" w:fill="auto"/>
          </w:tcPr>
          <w:p w:rsidR="00332D26" w:rsidRPr="00F673EE" w:rsidRDefault="00332D26" w:rsidP="00D24366">
            <w:pPr>
              <w:pStyle w:val="ENoteTableText"/>
              <w:tabs>
                <w:tab w:val="center" w:leader="dot" w:pos="2268"/>
              </w:tabs>
            </w:pPr>
            <w:r w:rsidRPr="00F673EE">
              <w:rPr>
                <w:b/>
              </w:rPr>
              <w:t>Schedule</w:t>
            </w:r>
            <w:r w:rsidR="00F673EE">
              <w:rPr>
                <w:b/>
              </w:rPr>
              <w:t> </w:t>
            </w:r>
            <w:r w:rsidRPr="00F673EE">
              <w:rPr>
                <w:b/>
              </w:rPr>
              <w:t>3</w:t>
            </w:r>
          </w:p>
        </w:tc>
        <w:tc>
          <w:tcPr>
            <w:tcW w:w="5057" w:type="dxa"/>
            <w:shd w:val="clear" w:color="auto" w:fill="auto"/>
          </w:tcPr>
          <w:p w:rsidR="00332D26" w:rsidRPr="00F673EE" w:rsidRDefault="00332D26" w:rsidP="00031365">
            <w:pPr>
              <w:pStyle w:val="ENoteTableText"/>
            </w:pPr>
          </w:p>
        </w:tc>
      </w:tr>
      <w:tr w:rsidR="0074383C" w:rsidRPr="00F673EE" w:rsidTr="006E07AC">
        <w:trPr>
          <w:cantSplit/>
        </w:trPr>
        <w:tc>
          <w:tcPr>
            <w:tcW w:w="2031" w:type="dxa"/>
            <w:tcBorders>
              <w:bottom w:val="single" w:sz="12" w:space="0" w:color="auto"/>
            </w:tcBorders>
            <w:shd w:val="clear" w:color="auto" w:fill="auto"/>
          </w:tcPr>
          <w:p w:rsidR="0074383C" w:rsidRPr="00F673EE" w:rsidRDefault="0074383C" w:rsidP="00D24366">
            <w:pPr>
              <w:pStyle w:val="ENoteTableText"/>
              <w:tabs>
                <w:tab w:val="center" w:leader="dot" w:pos="2268"/>
              </w:tabs>
            </w:pPr>
            <w:r w:rsidRPr="00F673EE">
              <w:t>Schedule</w:t>
            </w:r>
            <w:r w:rsidR="00F673EE">
              <w:t> </w:t>
            </w:r>
            <w:r w:rsidR="006E07AC" w:rsidRPr="00F673EE">
              <w:t>3</w:t>
            </w:r>
            <w:r w:rsidRPr="00F673EE">
              <w:tab/>
            </w:r>
          </w:p>
        </w:tc>
        <w:tc>
          <w:tcPr>
            <w:tcW w:w="5057" w:type="dxa"/>
            <w:tcBorders>
              <w:bottom w:val="single" w:sz="12" w:space="0" w:color="auto"/>
            </w:tcBorders>
            <w:shd w:val="clear" w:color="auto" w:fill="auto"/>
          </w:tcPr>
          <w:p w:rsidR="0074383C" w:rsidRPr="00F673EE" w:rsidRDefault="0074383C" w:rsidP="006E07AC">
            <w:pPr>
              <w:pStyle w:val="ENoteTableText"/>
            </w:pPr>
            <w:r w:rsidRPr="00F673EE">
              <w:t>am SR</w:t>
            </w:r>
            <w:r w:rsidR="00D24366" w:rsidRPr="00F673EE">
              <w:t> </w:t>
            </w:r>
            <w:r w:rsidRPr="00F673EE">
              <w:t>No</w:t>
            </w:r>
            <w:r w:rsidR="00D24366" w:rsidRPr="00F673EE">
              <w:t> </w:t>
            </w:r>
            <w:r w:rsidRPr="00F673EE">
              <w:t>60</w:t>
            </w:r>
            <w:r w:rsidR="006E07AC" w:rsidRPr="00F673EE">
              <w:t>, 1999</w:t>
            </w:r>
            <w:r w:rsidRPr="00F673EE">
              <w:t>; SR</w:t>
            </w:r>
            <w:r w:rsidR="00D24366" w:rsidRPr="00F673EE">
              <w:t> </w:t>
            </w:r>
            <w:r w:rsidRPr="00F673EE">
              <w:t>No</w:t>
            </w:r>
            <w:r w:rsidR="00D24366" w:rsidRPr="00F673EE">
              <w:t> </w:t>
            </w:r>
            <w:r w:rsidRPr="00F673EE">
              <w:t>51</w:t>
            </w:r>
            <w:r w:rsidR="006E07AC" w:rsidRPr="00F673EE">
              <w:t>, 2000</w:t>
            </w:r>
            <w:r w:rsidRPr="00F673EE">
              <w:t>; SR</w:t>
            </w:r>
            <w:r w:rsidR="00D24366" w:rsidRPr="00F673EE">
              <w:t> </w:t>
            </w:r>
            <w:r w:rsidRPr="00F673EE">
              <w:t>No</w:t>
            </w:r>
            <w:r w:rsidR="00D24366" w:rsidRPr="00F673EE">
              <w:t> </w:t>
            </w:r>
            <w:r w:rsidRPr="00F673EE">
              <w:t>75</w:t>
            </w:r>
            <w:r w:rsidR="006E07AC" w:rsidRPr="00F673EE">
              <w:t>, 2001</w:t>
            </w:r>
            <w:r w:rsidRPr="00F673EE">
              <w:t>; SR</w:t>
            </w:r>
            <w:r w:rsidR="00D24366" w:rsidRPr="00F673EE">
              <w:t> </w:t>
            </w:r>
            <w:r w:rsidRPr="00F673EE">
              <w:t>No</w:t>
            </w:r>
            <w:r w:rsidR="00D24366" w:rsidRPr="00F673EE">
              <w:t> </w:t>
            </w:r>
            <w:r w:rsidRPr="00F673EE">
              <w:t>78</w:t>
            </w:r>
            <w:r w:rsidR="006E07AC" w:rsidRPr="00F673EE">
              <w:t>, 2002</w:t>
            </w:r>
            <w:r w:rsidRPr="00F673EE">
              <w:t>; SR</w:t>
            </w:r>
            <w:r w:rsidR="00D24366" w:rsidRPr="00F673EE">
              <w:t> </w:t>
            </w:r>
            <w:r w:rsidRPr="00F673EE">
              <w:t>No</w:t>
            </w:r>
            <w:r w:rsidR="00D24366" w:rsidRPr="00F673EE">
              <w:t> </w:t>
            </w:r>
            <w:r w:rsidRPr="00F673EE">
              <w:t>72</w:t>
            </w:r>
            <w:r w:rsidR="006E07AC" w:rsidRPr="00F673EE">
              <w:t>, 2003</w:t>
            </w:r>
            <w:r w:rsidRPr="00F673EE">
              <w:t>; SLI</w:t>
            </w:r>
            <w:r w:rsidR="00D24366" w:rsidRPr="00F673EE">
              <w:t> </w:t>
            </w:r>
            <w:r w:rsidRPr="00F673EE">
              <w:t>No</w:t>
            </w:r>
            <w:r w:rsidR="00D24366" w:rsidRPr="00F673EE">
              <w:t> </w:t>
            </w:r>
            <w:r w:rsidRPr="00F673EE">
              <w:t>65</w:t>
            </w:r>
            <w:r w:rsidR="006E07AC" w:rsidRPr="00F673EE">
              <w:t>, 2009</w:t>
            </w:r>
            <w:r w:rsidRPr="00F673EE">
              <w:t>; SLI</w:t>
            </w:r>
            <w:r w:rsidR="00D24366" w:rsidRPr="00F673EE">
              <w:t> </w:t>
            </w:r>
            <w:r w:rsidRPr="00F673EE">
              <w:t>No</w:t>
            </w:r>
            <w:r w:rsidR="00D24366" w:rsidRPr="00F673EE">
              <w:t> </w:t>
            </w:r>
            <w:r w:rsidRPr="00F673EE">
              <w:t>72</w:t>
            </w:r>
            <w:r w:rsidR="006E07AC" w:rsidRPr="00F673EE">
              <w:t>, 2010</w:t>
            </w:r>
          </w:p>
        </w:tc>
      </w:tr>
    </w:tbl>
    <w:p w:rsidR="00BE5F14" w:rsidRPr="00F673EE" w:rsidRDefault="00BE5F14" w:rsidP="007B6261">
      <w:pPr>
        <w:sectPr w:rsidR="00BE5F14" w:rsidRPr="00F673EE" w:rsidSect="00DC7DD5">
          <w:headerReference w:type="even" r:id="rId46"/>
          <w:headerReference w:type="default" r:id="rId47"/>
          <w:footerReference w:type="even" r:id="rId48"/>
          <w:footerReference w:type="default" r:id="rId49"/>
          <w:footerReference w:type="first" r:id="rId50"/>
          <w:pgSz w:w="11907" w:h="16839"/>
          <w:pgMar w:top="2381" w:right="2410" w:bottom="4252" w:left="2410" w:header="720" w:footer="3402" w:gutter="0"/>
          <w:cols w:space="708"/>
          <w:docGrid w:linePitch="360"/>
        </w:sectPr>
      </w:pPr>
    </w:p>
    <w:p w:rsidR="00381AB0" w:rsidRPr="00F673EE" w:rsidRDefault="00381AB0" w:rsidP="00356BB6"/>
    <w:sectPr w:rsidR="00381AB0" w:rsidRPr="00F673EE" w:rsidSect="00DC7DD5">
      <w:headerReference w:type="even" r:id="rId51"/>
      <w:headerReference w:type="default" r:id="rId52"/>
      <w:footerReference w:type="even" r:id="rId53"/>
      <w:footerReference w:type="default" r:id="rId54"/>
      <w:headerReference w:type="first" r:id="rId55"/>
      <w:footerReference w:type="first" r:id="rId5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30" w:rsidRDefault="00A93530" w:rsidP="002D2AAD">
      <w:pPr>
        <w:spacing w:line="240" w:lineRule="auto"/>
      </w:pPr>
      <w:r>
        <w:separator/>
      </w:r>
    </w:p>
  </w:endnote>
  <w:endnote w:type="continuationSeparator" w:id="0">
    <w:p w:rsidR="00A93530" w:rsidRDefault="00A93530" w:rsidP="002D2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i/>
              <w:sz w:val="16"/>
              <w:szCs w:val="16"/>
            </w:rPr>
          </w:pP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7DD5">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C7DD5">
            <w:rPr>
              <w:i/>
              <w:noProof/>
              <w:sz w:val="16"/>
              <w:szCs w:val="16"/>
            </w:rPr>
            <w:t>51</w:t>
          </w:r>
          <w:r w:rsidRPr="007B3B51">
            <w:rPr>
              <w:i/>
              <w:sz w:val="16"/>
              <w:szCs w:val="16"/>
            </w:rPr>
            <w:fldChar w:fldCharType="end"/>
          </w:r>
        </w:p>
      </w:tc>
    </w:tr>
    <w:tr w:rsidR="00A93530" w:rsidRPr="00130F37" w:rsidTr="007B6261">
      <w:tc>
        <w:tcPr>
          <w:tcW w:w="2190" w:type="dxa"/>
          <w:gridSpan w:val="2"/>
        </w:tcPr>
        <w:p w:rsidR="00A93530" w:rsidRPr="00130F37" w:rsidRDefault="00A93530" w:rsidP="007B62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A93530" w:rsidRPr="00130F37" w:rsidRDefault="00A93530" w:rsidP="007B62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7/12/18</w:t>
          </w:r>
          <w:r w:rsidRPr="00130F37">
            <w:rPr>
              <w:sz w:val="16"/>
              <w:szCs w:val="16"/>
            </w:rPr>
            <w:fldChar w:fldCharType="end"/>
          </w:r>
        </w:p>
      </w:tc>
      <w:tc>
        <w:tcPr>
          <w:tcW w:w="2193" w:type="dxa"/>
          <w:gridSpan w:val="2"/>
        </w:tcPr>
        <w:p w:rsidR="00A93530" w:rsidRPr="00130F37" w:rsidRDefault="00A93530" w:rsidP="007B62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A93530" w:rsidRPr="00BE5F14" w:rsidRDefault="00A93530" w:rsidP="00BE5F1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BE5F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i/>
              <w:sz w:val="16"/>
              <w:szCs w:val="16"/>
            </w:rPr>
          </w:pP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r>
    <w:tr w:rsidR="00A93530" w:rsidRPr="00130F37" w:rsidTr="007B6261">
      <w:tc>
        <w:tcPr>
          <w:tcW w:w="2190" w:type="dxa"/>
          <w:gridSpan w:val="2"/>
        </w:tcPr>
        <w:p w:rsidR="00A93530" w:rsidRPr="00130F37" w:rsidRDefault="00A93530" w:rsidP="007B62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A93530" w:rsidRPr="00130F37" w:rsidRDefault="00A93530" w:rsidP="007B62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7/12/18</w:t>
          </w:r>
          <w:r w:rsidRPr="00130F37">
            <w:rPr>
              <w:sz w:val="16"/>
              <w:szCs w:val="16"/>
            </w:rPr>
            <w:fldChar w:fldCharType="end"/>
          </w:r>
        </w:p>
      </w:tc>
      <w:tc>
        <w:tcPr>
          <w:tcW w:w="2193" w:type="dxa"/>
          <w:gridSpan w:val="2"/>
        </w:tcPr>
        <w:p w:rsidR="00A93530" w:rsidRPr="00130F37" w:rsidRDefault="00A93530" w:rsidP="007B62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A93530" w:rsidRPr="00BE5F14" w:rsidRDefault="00A93530" w:rsidP="00BE5F14">
    <w:pPr>
      <w:pStyle w:val="Footer"/>
    </w:pPr>
  </w:p>
  <w:p w:rsidR="00A93530" w:rsidRPr="00BE5F14" w:rsidRDefault="00A93530" w:rsidP="00BE5F1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p>
      </w:tc>
    </w:tr>
    <w:tr w:rsidR="00A93530" w:rsidRPr="0055472E" w:rsidTr="007B6261">
      <w:tc>
        <w:tcPr>
          <w:tcW w:w="2190" w:type="dxa"/>
          <w:gridSpan w:val="2"/>
        </w:tcPr>
        <w:p w:rsidR="00A93530" w:rsidRPr="0055472E" w:rsidRDefault="00A93530" w:rsidP="007B62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2920" w:type="dxa"/>
        </w:tcPr>
        <w:p w:rsidR="00A93530" w:rsidRPr="0055472E" w:rsidRDefault="00A93530" w:rsidP="007B62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7/12/18</w:t>
          </w:r>
          <w:r w:rsidRPr="0055472E">
            <w:rPr>
              <w:sz w:val="16"/>
              <w:szCs w:val="16"/>
            </w:rPr>
            <w:fldChar w:fldCharType="end"/>
          </w:r>
        </w:p>
      </w:tc>
      <w:tc>
        <w:tcPr>
          <w:tcW w:w="2193" w:type="dxa"/>
          <w:gridSpan w:val="2"/>
        </w:tcPr>
        <w:p w:rsidR="00A93530" w:rsidRPr="0055472E" w:rsidRDefault="00A93530" w:rsidP="007B62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13/12/18</w:t>
          </w:r>
          <w:r w:rsidRPr="0055472E">
            <w:rPr>
              <w:sz w:val="16"/>
              <w:szCs w:val="16"/>
            </w:rPr>
            <w:fldChar w:fldCharType="end"/>
          </w:r>
        </w:p>
      </w:tc>
    </w:tr>
  </w:tbl>
  <w:p w:rsidR="00A93530" w:rsidRPr="00BE5F14" w:rsidRDefault="00A93530" w:rsidP="00BE5F1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i/>
              <w:sz w:val="16"/>
              <w:szCs w:val="16"/>
            </w:rPr>
          </w:pP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7DD5">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C7DD5">
            <w:rPr>
              <w:i/>
              <w:noProof/>
              <w:sz w:val="16"/>
              <w:szCs w:val="16"/>
            </w:rPr>
            <w:t>53</w:t>
          </w:r>
          <w:r w:rsidRPr="007B3B51">
            <w:rPr>
              <w:i/>
              <w:sz w:val="16"/>
              <w:szCs w:val="16"/>
            </w:rPr>
            <w:fldChar w:fldCharType="end"/>
          </w:r>
        </w:p>
      </w:tc>
    </w:tr>
    <w:tr w:rsidR="00A93530" w:rsidRPr="00130F37" w:rsidTr="007B6261">
      <w:tc>
        <w:tcPr>
          <w:tcW w:w="2190" w:type="dxa"/>
          <w:gridSpan w:val="2"/>
        </w:tcPr>
        <w:p w:rsidR="00A93530" w:rsidRPr="00130F37" w:rsidRDefault="00A93530" w:rsidP="007B62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A93530" w:rsidRPr="00130F37" w:rsidRDefault="00A93530" w:rsidP="007B62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7/12/18</w:t>
          </w:r>
          <w:r w:rsidRPr="00130F37">
            <w:rPr>
              <w:sz w:val="16"/>
              <w:szCs w:val="16"/>
            </w:rPr>
            <w:fldChar w:fldCharType="end"/>
          </w:r>
        </w:p>
      </w:tc>
      <w:tc>
        <w:tcPr>
          <w:tcW w:w="2193" w:type="dxa"/>
          <w:gridSpan w:val="2"/>
        </w:tcPr>
        <w:p w:rsidR="00A93530" w:rsidRPr="00130F37" w:rsidRDefault="00A93530" w:rsidP="007B62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A93530" w:rsidRPr="00BE5F14" w:rsidRDefault="00A93530" w:rsidP="00BE5F1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BE5F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i/>
              <w:sz w:val="16"/>
              <w:szCs w:val="16"/>
            </w:rPr>
          </w:pP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r>
    <w:tr w:rsidR="00A93530" w:rsidRPr="00130F37" w:rsidTr="007B6261">
      <w:tc>
        <w:tcPr>
          <w:tcW w:w="2190" w:type="dxa"/>
          <w:gridSpan w:val="2"/>
        </w:tcPr>
        <w:p w:rsidR="00A93530" w:rsidRPr="00130F37" w:rsidRDefault="00A93530" w:rsidP="007B62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A93530" w:rsidRPr="00130F37" w:rsidRDefault="00A93530" w:rsidP="007B62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7/12/18</w:t>
          </w:r>
          <w:r w:rsidRPr="00130F37">
            <w:rPr>
              <w:sz w:val="16"/>
              <w:szCs w:val="16"/>
            </w:rPr>
            <w:fldChar w:fldCharType="end"/>
          </w:r>
        </w:p>
      </w:tc>
      <w:tc>
        <w:tcPr>
          <w:tcW w:w="2193" w:type="dxa"/>
          <w:gridSpan w:val="2"/>
        </w:tcPr>
        <w:p w:rsidR="00A93530" w:rsidRPr="00130F37" w:rsidRDefault="00A93530" w:rsidP="007B62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A93530" w:rsidRPr="00BE5F14" w:rsidRDefault="00A93530" w:rsidP="00BE5F14">
    <w:pPr>
      <w:pStyle w:val="Footer"/>
    </w:pPr>
  </w:p>
  <w:p w:rsidR="00A93530" w:rsidRPr="00BE5F14" w:rsidRDefault="00A93530" w:rsidP="00BE5F1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C7DD5">
            <w:rPr>
              <w:i/>
              <w:noProof/>
              <w:sz w:val="16"/>
              <w:szCs w:val="16"/>
            </w:rPr>
            <w:t>58</w:t>
          </w:r>
          <w:r w:rsidRPr="007B3B51">
            <w:rPr>
              <w:i/>
              <w:sz w:val="16"/>
              <w:szCs w:val="16"/>
            </w:rPr>
            <w:fldChar w:fldCharType="end"/>
          </w: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7DD5">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p>
      </w:tc>
    </w:tr>
    <w:tr w:rsidR="00A93530" w:rsidRPr="0055472E" w:rsidTr="007B6261">
      <w:tc>
        <w:tcPr>
          <w:tcW w:w="2190" w:type="dxa"/>
          <w:gridSpan w:val="2"/>
        </w:tcPr>
        <w:p w:rsidR="00A93530" w:rsidRPr="0055472E" w:rsidRDefault="00A93530" w:rsidP="007B62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2920" w:type="dxa"/>
        </w:tcPr>
        <w:p w:rsidR="00A93530" w:rsidRPr="0055472E" w:rsidRDefault="00A93530" w:rsidP="007B62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7/12/18</w:t>
          </w:r>
          <w:r w:rsidRPr="0055472E">
            <w:rPr>
              <w:sz w:val="16"/>
              <w:szCs w:val="16"/>
            </w:rPr>
            <w:fldChar w:fldCharType="end"/>
          </w:r>
        </w:p>
      </w:tc>
      <w:tc>
        <w:tcPr>
          <w:tcW w:w="2193" w:type="dxa"/>
          <w:gridSpan w:val="2"/>
        </w:tcPr>
        <w:p w:rsidR="00A93530" w:rsidRPr="0055472E" w:rsidRDefault="00A93530" w:rsidP="007B62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13/12/18</w:t>
          </w:r>
          <w:r w:rsidRPr="0055472E">
            <w:rPr>
              <w:sz w:val="16"/>
              <w:szCs w:val="16"/>
            </w:rPr>
            <w:fldChar w:fldCharType="end"/>
          </w:r>
        </w:p>
      </w:tc>
    </w:tr>
  </w:tbl>
  <w:p w:rsidR="00A93530" w:rsidRPr="00BE5F14" w:rsidRDefault="00A93530" w:rsidP="00BE5F1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i/>
              <w:sz w:val="16"/>
              <w:szCs w:val="16"/>
            </w:rPr>
          </w:pP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7DD5">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C7DD5">
            <w:rPr>
              <w:i/>
              <w:noProof/>
              <w:sz w:val="16"/>
              <w:szCs w:val="16"/>
            </w:rPr>
            <w:t>59</w:t>
          </w:r>
          <w:r w:rsidRPr="007B3B51">
            <w:rPr>
              <w:i/>
              <w:sz w:val="16"/>
              <w:szCs w:val="16"/>
            </w:rPr>
            <w:fldChar w:fldCharType="end"/>
          </w:r>
        </w:p>
      </w:tc>
    </w:tr>
    <w:tr w:rsidR="00A93530" w:rsidRPr="00130F37" w:rsidTr="007B6261">
      <w:tc>
        <w:tcPr>
          <w:tcW w:w="2190" w:type="dxa"/>
          <w:gridSpan w:val="2"/>
        </w:tcPr>
        <w:p w:rsidR="00A93530" w:rsidRPr="00130F37" w:rsidRDefault="00A93530" w:rsidP="007B62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A93530" w:rsidRPr="00130F37" w:rsidRDefault="00A93530" w:rsidP="007B62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7/12/18</w:t>
          </w:r>
          <w:r w:rsidRPr="00130F37">
            <w:rPr>
              <w:sz w:val="16"/>
              <w:szCs w:val="16"/>
            </w:rPr>
            <w:fldChar w:fldCharType="end"/>
          </w:r>
        </w:p>
      </w:tc>
      <w:tc>
        <w:tcPr>
          <w:tcW w:w="2193" w:type="dxa"/>
          <w:gridSpan w:val="2"/>
        </w:tcPr>
        <w:p w:rsidR="00A93530" w:rsidRPr="00130F37" w:rsidRDefault="00A93530" w:rsidP="007B62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A93530" w:rsidRPr="00BE5F14" w:rsidRDefault="00A93530" w:rsidP="00BE5F1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BE5F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i/>
              <w:sz w:val="16"/>
              <w:szCs w:val="16"/>
            </w:rPr>
          </w:pP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r>
    <w:tr w:rsidR="00A93530" w:rsidRPr="00130F37" w:rsidTr="007B6261">
      <w:tc>
        <w:tcPr>
          <w:tcW w:w="2190" w:type="dxa"/>
          <w:gridSpan w:val="2"/>
        </w:tcPr>
        <w:p w:rsidR="00A93530" w:rsidRPr="00130F37" w:rsidRDefault="00A93530" w:rsidP="007B62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A93530" w:rsidRPr="00130F37" w:rsidRDefault="00A93530" w:rsidP="007B62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7/12/18</w:t>
          </w:r>
          <w:r w:rsidRPr="00130F37">
            <w:rPr>
              <w:sz w:val="16"/>
              <w:szCs w:val="16"/>
            </w:rPr>
            <w:fldChar w:fldCharType="end"/>
          </w:r>
        </w:p>
      </w:tc>
      <w:tc>
        <w:tcPr>
          <w:tcW w:w="2193" w:type="dxa"/>
          <w:gridSpan w:val="2"/>
        </w:tcPr>
        <w:p w:rsidR="00A93530" w:rsidRPr="00130F37" w:rsidRDefault="00A93530" w:rsidP="007B62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A93530" w:rsidRPr="00BE5F14" w:rsidRDefault="00A93530" w:rsidP="00BE5F14">
    <w:pPr>
      <w:pStyle w:val="Footer"/>
    </w:pPr>
  </w:p>
  <w:p w:rsidR="00A93530" w:rsidRPr="00BE5F14" w:rsidRDefault="00A93530" w:rsidP="00BE5F14">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C7DD5">
            <w:rPr>
              <w:i/>
              <w:noProof/>
              <w:sz w:val="16"/>
              <w:szCs w:val="16"/>
            </w:rPr>
            <w:t>64</w:t>
          </w:r>
          <w:r w:rsidRPr="007B3B51">
            <w:rPr>
              <w:i/>
              <w:sz w:val="16"/>
              <w:szCs w:val="16"/>
            </w:rPr>
            <w:fldChar w:fldCharType="end"/>
          </w: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7DD5">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p>
      </w:tc>
    </w:tr>
    <w:tr w:rsidR="00A93530" w:rsidRPr="0055472E" w:rsidTr="007B6261">
      <w:tc>
        <w:tcPr>
          <w:tcW w:w="2190" w:type="dxa"/>
          <w:gridSpan w:val="2"/>
        </w:tcPr>
        <w:p w:rsidR="00A93530" w:rsidRPr="0055472E" w:rsidRDefault="00A93530" w:rsidP="007B62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2920" w:type="dxa"/>
        </w:tcPr>
        <w:p w:rsidR="00A93530" w:rsidRPr="0055472E" w:rsidRDefault="00A93530" w:rsidP="007B62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7/12/18</w:t>
          </w:r>
          <w:r w:rsidRPr="0055472E">
            <w:rPr>
              <w:sz w:val="16"/>
              <w:szCs w:val="16"/>
            </w:rPr>
            <w:fldChar w:fldCharType="end"/>
          </w:r>
        </w:p>
      </w:tc>
      <w:tc>
        <w:tcPr>
          <w:tcW w:w="2193" w:type="dxa"/>
          <w:gridSpan w:val="2"/>
        </w:tcPr>
        <w:p w:rsidR="00A93530" w:rsidRPr="0055472E" w:rsidRDefault="00A93530" w:rsidP="007B62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13/12/18</w:t>
          </w:r>
          <w:r w:rsidRPr="0055472E">
            <w:rPr>
              <w:sz w:val="16"/>
              <w:szCs w:val="16"/>
            </w:rPr>
            <w:fldChar w:fldCharType="end"/>
          </w:r>
        </w:p>
      </w:tc>
    </w:tr>
  </w:tbl>
  <w:p w:rsidR="00A93530" w:rsidRPr="00BE5F14" w:rsidRDefault="00A93530" w:rsidP="00BE5F14">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i/>
              <w:sz w:val="16"/>
              <w:szCs w:val="16"/>
            </w:rPr>
          </w:pP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7DD5">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C7DD5">
            <w:rPr>
              <w:i/>
              <w:noProof/>
              <w:sz w:val="16"/>
              <w:szCs w:val="16"/>
            </w:rPr>
            <w:t>65</w:t>
          </w:r>
          <w:r w:rsidRPr="007B3B51">
            <w:rPr>
              <w:i/>
              <w:sz w:val="16"/>
              <w:szCs w:val="16"/>
            </w:rPr>
            <w:fldChar w:fldCharType="end"/>
          </w:r>
        </w:p>
      </w:tc>
    </w:tr>
    <w:tr w:rsidR="00A93530" w:rsidRPr="00130F37" w:rsidTr="007B6261">
      <w:tc>
        <w:tcPr>
          <w:tcW w:w="2190" w:type="dxa"/>
          <w:gridSpan w:val="2"/>
        </w:tcPr>
        <w:p w:rsidR="00A93530" w:rsidRPr="00130F37" w:rsidRDefault="00A93530" w:rsidP="007B62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A93530" w:rsidRPr="00130F37" w:rsidRDefault="00A93530" w:rsidP="007B62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7/12/18</w:t>
          </w:r>
          <w:r w:rsidRPr="00130F37">
            <w:rPr>
              <w:sz w:val="16"/>
              <w:szCs w:val="16"/>
            </w:rPr>
            <w:fldChar w:fldCharType="end"/>
          </w:r>
        </w:p>
      </w:tc>
      <w:tc>
        <w:tcPr>
          <w:tcW w:w="2193" w:type="dxa"/>
          <w:gridSpan w:val="2"/>
        </w:tcPr>
        <w:p w:rsidR="00A93530" w:rsidRPr="00130F37" w:rsidRDefault="00A93530" w:rsidP="007B62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A93530" w:rsidRPr="00BE5F14" w:rsidRDefault="00A93530" w:rsidP="00BE5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rsidP="007B6261">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BE5F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i/>
              <w:sz w:val="16"/>
              <w:szCs w:val="16"/>
            </w:rPr>
          </w:pP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r>
    <w:tr w:rsidR="00A93530" w:rsidRPr="00130F37" w:rsidTr="007B6261">
      <w:tc>
        <w:tcPr>
          <w:tcW w:w="2190" w:type="dxa"/>
          <w:gridSpan w:val="2"/>
        </w:tcPr>
        <w:p w:rsidR="00A93530" w:rsidRPr="00130F37" w:rsidRDefault="00A93530" w:rsidP="007B62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A93530" w:rsidRPr="00130F37" w:rsidRDefault="00A93530" w:rsidP="007B62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7/12/18</w:t>
          </w:r>
          <w:r w:rsidRPr="00130F37">
            <w:rPr>
              <w:sz w:val="16"/>
              <w:szCs w:val="16"/>
            </w:rPr>
            <w:fldChar w:fldCharType="end"/>
          </w:r>
        </w:p>
      </w:tc>
      <w:tc>
        <w:tcPr>
          <w:tcW w:w="2193" w:type="dxa"/>
          <w:gridSpan w:val="2"/>
        </w:tcPr>
        <w:p w:rsidR="00A93530" w:rsidRPr="00130F37" w:rsidRDefault="00A93530" w:rsidP="007B62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A93530" w:rsidRPr="00BE5F14" w:rsidRDefault="00A93530" w:rsidP="00BE5F14">
    <w:pPr>
      <w:pStyle w:val="Footer"/>
    </w:pPr>
  </w:p>
  <w:p w:rsidR="00A93530" w:rsidRPr="00BE5F14" w:rsidRDefault="00A93530" w:rsidP="00BE5F1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p>
      </w:tc>
    </w:tr>
    <w:tr w:rsidR="00A93530" w:rsidRPr="0055472E" w:rsidTr="007B6261">
      <w:tc>
        <w:tcPr>
          <w:tcW w:w="2190" w:type="dxa"/>
          <w:gridSpan w:val="2"/>
        </w:tcPr>
        <w:p w:rsidR="00A93530" w:rsidRPr="0055472E" w:rsidRDefault="00A93530" w:rsidP="007B62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2920" w:type="dxa"/>
        </w:tcPr>
        <w:p w:rsidR="00A93530" w:rsidRPr="0055472E" w:rsidRDefault="00A93530" w:rsidP="007B62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7/12/18</w:t>
          </w:r>
          <w:r w:rsidRPr="0055472E">
            <w:rPr>
              <w:sz w:val="16"/>
              <w:szCs w:val="16"/>
            </w:rPr>
            <w:fldChar w:fldCharType="end"/>
          </w:r>
        </w:p>
      </w:tc>
      <w:tc>
        <w:tcPr>
          <w:tcW w:w="2193" w:type="dxa"/>
          <w:gridSpan w:val="2"/>
        </w:tcPr>
        <w:p w:rsidR="00A93530" w:rsidRPr="0055472E" w:rsidRDefault="00A93530" w:rsidP="007B62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13/12/18</w:t>
          </w:r>
          <w:r w:rsidRPr="0055472E">
            <w:rPr>
              <w:sz w:val="16"/>
              <w:szCs w:val="16"/>
            </w:rPr>
            <w:fldChar w:fldCharType="end"/>
          </w:r>
        </w:p>
      </w:tc>
    </w:tr>
  </w:tbl>
  <w:p w:rsidR="00A93530" w:rsidRPr="00BE5F14" w:rsidRDefault="00A93530" w:rsidP="00BE5F14">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i/>
              <w:sz w:val="16"/>
              <w:szCs w:val="16"/>
            </w:rPr>
          </w:pP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r>
    <w:tr w:rsidR="00A93530" w:rsidRPr="00130F37" w:rsidTr="007B6261">
      <w:tc>
        <w:tcPr>
          <w:tcW w:w="2190" w:type="dxa"/>
          <w:gridSpan w:val="2"/>
        </w:tcPr>
        <w:p w:rsidR="00A93530" w:rsidRPr="00130F37" w:rsidRDefault="00A93530" w:rsidP="007B62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A93530" w:rsidRPr="00130F37" w:rsidRDefault="00A93530" w:rsidP="007B62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7/12/18</w:t>
          </w:r>
          <w:r w:rsidRPr="00130F37">
            <w:rPr>
              <w:sz w:val="16"/>
              <w:szCs w:val="16"/>
            </w:rPr>
            <w:fldChar w:fldCharType="end"/>
          </w:r>
        </w:p>
      </w:tc>
      <w:tc>
        <w:tcPr>
          <w:tcW w:w="2193" w:type="dxa"/>
          <w:gridSpan w:val="2"/>
        </w:tcPr>
        <w:p w:rsidR="00A93530" w:rsidRPr="00130F37" w:rsidRDefault="00A93530" w:rsidP="007B62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A93530" w:rsidRPr="00BE5F14" w:rsidRDefault="00A93530" w:rsidP="00BE5F1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A1328" w:rsidRDefault="00A93530" w:rsidP="00EA143F">
    <w:pPr>
      <w:pBdr>
        <w:top w:val="single" w:sz="6" w:space="1" w:color="auto"/>
      </w:pBdr>
      <w:spacing w:before="120"/>
      <w:rPr>
        <w:sz w:val="18"/>
      </w:rPr>
    </w:pPr>
  </w:p>
  <w:p w:rsidR="00A93530" w:rsidRPr="007A1328" w:rsidRDefault="00A93530" w:rsidP="00EA143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Trans-Tasman Mutual Recognition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65</w:t>
    </w:r>
    <w:r w:rsidRPr="007A1328">
      <w:rPr>
        <w:i/>
        <w:sz w:val="18"/>
      </w:rPr>
      <w:fldChar w:fldCharType="end"/>
    </w:r>
  </w:p>
  <w:p w:rsidR="00A93530" w:rsidRPr="007A1328" w:rsidRDefault="00A93530" w:rsidP="00EA143F">
    <w:pPr>
      <w:rPr>
        <w:i/>
        <w:sz w:val="18"/>
      </w:rPr>
    </w:pPr>
    <w:r w:rsidRPr="007A1328">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ED79B6" w:rsidRDefault="00A93530" w:rsidP="007B626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C7DD5">
            <w:rPr>
              <w:i/>
              <w:noProof/>
              <w:sz w:val="16"/>
              <w:szCs w:val="16"/>
            </w:rPr>
            <w:t>iv</w:t>
          </w:r>
          <w:r w:rsidRPr="007B3B51">
            <w:rPr>
              <w:i/>
              <w:sz w:val="16"/>
              <w:szCs w:val="16"/>
            </w:rPr>
            <w:fldChar w:fldCharType="end"/>
          </w: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7DD5">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p>
      </w:tc>
    </w:tr>
    <w:tr w:rsidR="00A93530" w:rsidRPr="0055472E" w:rsidTr="007B6261">
      <w:tc>
        <w:tcPr>
          <w:tcW w:w="2190" w:type="dxa"/>
          <w:gridSpan w:val="2"/>
        </w:tcPr>
        <w:p w:rsidR="00A93530" w:rsidRPr="0055472E" w:rsidRDefault="00A93530" w:rsidP="007B62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2920" w:type="dxa"/>
        </w:tcPr>
        <w:p w:rsidR="00A93530" w:rsidRPr="0055472E" w:rsidRDefault="00A93530" w:rsidP="007B62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7/12/18</w:t>
          </w:r>
          <w:r w:rsidRPr="0055472E">
            <w:rPr>
              <w:sz w:val="16"/>
              <w:szCs w:val="16"/>
            </w:rPr>
            <w:fldChar w:fldCharType="end"/>
          </w:r>
        </w:p>
      </w:tc>
      <w:tc>
        <w:tcPr>
          <w:tcW w:w="2193" w:type="dxa"/>
          <w:gridSpan w:val="2"/>
        </w:tcPr>
        <w:p w:rsidR="00A93530" w:rsidRPr="0055472E" w:rsidRDefault="00A93530" w:rsidP="007B62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13/12/18</w:t>
          </w:r>
          <w:r w:rsidRPr="0055472E">
            <w:rPr>
              <w:sz w:val="16"/>
              <w:szCs w:val="16"/>
            </w:rPr>
            <w:fldChar w:fldCharType="end"/>
          </w:r>
        </w:p>
      </w:tc>
    </w:tr>
  </w:tbl>
  <w:p w:rsidR="00A93530" w:rsidRPr="00BE5F14" w:rsidRDefault="00A93530" w:rsidP="00BE5F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i/>
              <w:sz w:val="16"/>
              <w:szCs w:val="16"/>
            </w:rPr>
          </w:pP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7DD5">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C7DD5">
            <w:rPr>
              <w:i/>
              <w:noProof/>
              <w:sz w:val="16"/>
              <w:szCs w:val="16"/>
            </w:rPr>
            <w:t>iii</w:t>
          </w:r>
          <w:r w:rsidRPr="007B3B51">
            <w:rPr>
              <w:i/>
              <w:sz w:val="16"/>
              <w:szCs w:val="16"/>
            </w:rPr>
            <w:fldChar w:fldCharType="end"/>
          </w:r>
        </w:p>
      </w:tc>
    </w:tr>
    <w:tr w:rsidR="00A93530" w:rsidRPr="00130F37" w:rsidTr="007B6261">
      <w:tc>
        <w:tcPr>
          <w:tcW w:w="2190" w:type="dxa"/>
          <w:gridSpan w:val="2"/>
        </w:tcPr>
        <w:p w:rsidR="00A93530" w:rsidRPr="00130F37" w:rsidRDefault="00A93530" w:rsidP="007B62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A93530" w:rsidRPr="00130F37" w:rsidRDefault="00A93530" w:rsidP="007B62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7/12/18</w:t>
          </w:r>
          <w:r w:rsidRPr="00130F37">
            <w:rPr>
              <w:sz w:val="16"/>
              <w:szCs w:val="16"/>
            </w:rPr>
            <w:fldChar w:fldCharType="end"/>
          </w:r>
        </w:p>
      </w:tc>
      <w:tc>
        <w:tcPr>
          <w:tcW w:w="2193" w:type="dxa"/>
          <w:gridSpan w:val="2"/>
        </w:tcPr>
        <w:p w:rsidR="00A93530" w:rsidRPr="00130F37" w:rsidRDefault="00A93530" w:rsidP="007B62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A93530" w:rsidRPr="00BE5F14" w:rsidRDefault="00A93530" w:rsidP="00BE5F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C7DD5">
            <w:rPr>
              <w:i/>
              <w:noProof/>
              <w:sz w:val="16"/>
              <w:szCs w:val="16"/>
            </w:rPr>
            <w:t>2</w:t>
          </w:r>
          <w:r w:rsidRPr="007B3B51">
            <w:rPr>
              <w:i/>
              <w:sz w:val="16"/>
              <w:szCs w:val="16"/>
            </w:rPr>
            <w:fldChar w:fldCharType="end"/>
          </w: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7DD5">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p>
      </w:tc>
    </w:tr>
    <w:tr w:rsidR="00A93530" w:rsidRPr="0055472E" w:rsidTr="007B6261">
      <w:tc>
        <w:tcPr>
          <w:tcW w:w="2190" w:type="dxa"/>
          <w:gridSpan w:val="2"/>
        </w:tcPr>
        <w:p w:rsidR="00A93530" w:rsidRPr="0055472E" w:rsidRDefault="00A93530" w:rsidP="007B62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2920" w:type="dxa"/>
        </w:tcPr>
        <w:p w:rsidR="00A93530" w:rsidRPr="0055472E" w:rsidRDefault="00A93530" w:rsidP="007B62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7/12/18</w:t>
          </w:r>
          <w:r w:rsidRPr="0055472E">
            <w:rPr>
              <w:sz w:val="16"/>
              <w:szCs w:val="16"/>
            </w:rPr>
            <w:fldChar w:fldCharType="end"/>
          </w:r>
        </w:p>
      </w:tc>
      <w:tc>
        <w:tcPr>
          <w:tcW w:w="2193" w:type="dxa"/>
          <w:gridSpan w:val="2"/>
        </w:tcPr>
        <w:p w:rsidR="00A93530" w:rsidRPr="0055472E" w:rsidRDefault="00A93530" w:rsidP="007B62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13/12/18</w:t>
          </w:r>
          <w:r w:rsidRPr="0055472E">
            <w:rPr>
              <w:sz w:val="16"/>
              <w:szCs w:val="16"/>
            </w:rPr>
            <w:fldChar w:fldCharType="end"/>
          </w:r>
        </w:p>
      </w:tc>
    </w:tr>
  </w:tbl>
  <w:p w:rsidR="00A93530" w:rsidRPr="00BE5F14" w:rsidRDefault="00A93530" w:rsidP="00BE5F1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i/>
              <w:sz w:val="16"/>
              <w:szCs w:val="16"/>
            </w:rPr>
          </w:pP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7DD5">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C7DD5">
            <w:rPr>
              <w:i/>
              <w:noProof/>
              <w:sz w:val="16"/>
              <w:szCs w:val="16"/>
            </w:rPr>
            <w:t>1</w:t>
          </w:r>
          <w:r w:rsidRPr="007B3B51">
            <w:rPr>
              <w:i/>
              <w:sz w:val="16"/>
              <w:szCs w:val="16"/>
            </w:rPr>
            <w:fldChar w:fldCharType="end"/>
          </w:r>
        </w:p>
      </w:tc>
    </w:tr>
    <w:tr w:rsidR="00A93530" w:rsidRPr="00130F37" w:rsidTr="007B6261">
      <w:tc>
        <w:tcPr>
          <w:tcW w:w="2190" w:type="dxa"/>
          <w:gridSpan w:val="2"/>
        </w:tcPr>
        <w:p w:rsidR="00A93530" w:rsidRPr="00130F37" w:rsidRDefault="00A93530" w:rsidP="007B62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2920" w:type="dxa"/>
        </w:tcPr>
        <w:p w:rsidR="00A93530" w:rsidRPr="00130F37" w:rsidRDefault="00A93530" w:rsidP="007B62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7/12/18</w:t>
          </w:r>
          <w:r w:rsidRPr="00130F37">
            <w:rPr>
              <w:sz w:val="16"/>
              <w:szCs w:val="16"/>
            </w:rPr>
            <w:fldChar w:fldCharType="end"/>
          </w:r>
        </w:p>
      </w:tc>
      <w:tc>
        <w:tcPr>
          <w:tcW w:w="2193" w:type="dxa"/>
          <w:gridSpan w:val="2"/>
        </w:tcPr>
        <w:p w:rsidR="00A93530" w:rsidRPr="00130F37" w:rsidRDefault="00A93530" w:rsidP="007B62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A93530" w:rsidRPr="00BE5F14" w:rsidRDefault="00A93530" w:rsidP="00BE5F1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A1328" w:rsidRDefault="00A93530" w:rsidP="007B6261">
    <w:pPr>
      <w:pBdr>
        <w:top w:val="single" w:sz="6" w:space="1" w:color="auto"/>
      </w:pBdr>
      <w:spacing w:before="120"/>
      <w:rPr>
        <w:sz w:val="18"/>
      </w:rPr>
    </w:pPr>
  </w:p>
  <w:p w:rsidR="00A93530" w:rsidRPr="007A1328" w:rsidRDefault="00A93530" w:rsidP="007B62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Trans-Tasman Mutual Recognition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65</w:t>
    </w:r>
    <w:r w:rsidRPr="007A1328">
      <w:rPr>
        <w:i/>
        <w:sz w:val="18"/>
      </w:rPr>
      <w:fldChar w:fldCharType="end"/>
    </w:r>
  </w:p>
  <w:p w:rsidR="00A93530" w:rsidRPr="007A1328" w:rsidRDefault="00A93530" w:rsidP="007B6261">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B3B51" w:rsidRDefault="00A93530" w:rsidP="007B62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3530" w:rsidRPr="007B3B51" w:rsidTr="007B6261">
      <w:tc>
        <w:tcPr>
          <w:tcW w:w="1247" w:type="dxa"/>
        </w:tcPr>
        <w:p w:rsidR="00A93530" w:rsidRPr="007B3B51" w:rsidRDefault="00A93530" w:rsidP="007B62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C7DD5">
            <w:rPr>
              <w:i/>
              <w:noProof/>
              <w:sz w:val="16"/>
              <w:szCs w:val="16"/>
            </w:rPr>
            <w:t>52</w:t>
          </w:r>
          <w:r w:rsidRPr="007B3B51">
            <w:rPr>
              <w:i/>
              <w:sz w:val="16"/>
              <w:szCs w:val="16"/>
            </w:rPr>
            <w:fldChar w:fldCharType="end"/>
          </w:r>
        </w:p>
      </w:tc>
      <w:tc>
        <w:tcPr>
          <w:tcW w:w="5387" w:type="dxa"/>
          <w:gridSpan w:val="3"/>
        </w:tcPr>
        <w:p w:rsidR="00A93530" w:rsidRPr="007B3B51" w:rsidRDefault="00A93530" w:rsidP="007B62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7DD5">
            <w:rPr>
              <w:i/>
              <w:noProof/>
              <w:sz w:val="16"/>
              <w:szCs w:val="16"/>
            </w:rPr>
            <w:t>Trans-Tasman Mutual Recognition Act 1997</w:t>
          </w:r>
          <w:r w:rsidRPr="007B3B51">
            <w:rPr>
              <w:i/>
              <w:sz w:val="16"/>
              <w:szCs w:val="16"/>
            </w:rPr>
            <w:fldChar w:fldCharType="end"/>
          </w:r>
        </w:p>
      </w:tc>
      <w:tc>
        <w:tcPr>
          <w:tcW w:w="669" w:type="dxa"/>
        </w:tcPr>
        <w:p w:rsidR="00A93530" w:rsidRPr="007B3B51" w:rsidRDefault="00A93530" w:rsidP="007B6261">
          <w:pPr>
            <w:jc w:val="right"/>
            <w:rPr>
              <w:sz w:val="16"/>
              <w:szCs w:val="16"/>
            </w:rPr>
          </w:pPr>
        </w:p>
      </w:tc>
    </w:tr>
    <w:tr w:rsidR="00A93530" w:rsidRPr="0055472E" w:rsidTr="007B6261">
      <w:tc>
        <w:tcPr>
          <w:tcW w:w="2190" w:type="dxa"/>
          <w:gridSpan w:val="2"/>
        </w:tcPr>
        <w:p w:rsidR="00A93530" w:rsidRPr="0055472E" w:rsidRDefault="00A93530" w:rsidP="007B62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2920" w:type="dxa"/>
        </w:tcPr>
        <w:p w:rsidR="00A93530" w:rsidRPr="0055472E" w:rsidRDefault="00A93530" w:rsidP="007B62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7/12/18</w:t>
          </w:r>
          <w:r w:rsidRPr="0055472E">
            <w:rPr>
              <w:sz w:val="16"/>
              <w:szCs w:val="16"/>
            </w:rPr>
            <w:fldChar w:fldCharType="end"/>
          </w:r>
        </w:p>
      </w:tc>
      <w:tc>
        <w:tcPr>
          <w:tcW w:w="2193" w:type="dxa"/>
          <w:gridSpan w:val="2"/>
        </w:tcPr>
        <w:p w:rsidR="00A93530" w:rsidRPr="0055472E" w:rsidRDefault="00A93530" w:rsidP="007B62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13/12/18</w:t>
          </w:r>
          <w:r w:rsidRPr="0055472E">
            <w:rPr>
              <w:sz w:val="16"/>
              <w:szCs w:val="16"/>
            </w:rPr>
            <w:fldChar w:fldCharType="end"/>
          </w:r>
        </w:p>
      </w:tc>
    </w:tr>
  </w:tbl>
  <w:p w:rsidR="00A93530" w:rsidRPr="00BE5F14" w:rsidRDefault="00A93530" w:rsidP="00BE5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30" w:rsidRPr="007E528B" w:rsidRDefault="00A93530" w:rsidP="001A0FF4">
      <w:pPr>
        <w:rPr>
          <w:sz w:val="26"/>
          <w:szCs w:val="26"/>
        </w:rPr>
      </w:pPr>
    </w:p>
    <w:p w:rsidR="00A93530" w:rsidRPr="00750516" w:rsidRDefault="00A93530" w:rsidP="001A0FF4">
      <w:pPr>
        <w:rPr>
          <w:b/>
          <w:sz w:val="20"/>
        </w:rPr>
      </w:pPr>
      <w:r w:rsidRPr="00750516">
        <w:rPr>
          <w:b/>
          <w:sz w:val="20"/>
        </w:rPr>
        <w:t>Endnotes</w:t>
      </w:r>
    </w:p>
    <w:p w:rsidR="00A93530" w:rsidRPr="007A1328" w:rsidRDefault="00A93530" w:rsidP="001A0FF4">
      <w:pPr>
        <w:rPr>
          <w:sz w:val="20"/>
        </w:rPr>
      </w:pPr>
    </w:p>
    <w:p w:rsidR="00A93530" w:rsidRPr="007A1328" w:rsidRDefault="00A93530" w:rsidP="001A0FF4">
      <w:pPr>
        <w:rPr>
          <w:b/>
          <w:sz w:val="24"/>
        </w:rPr>
      </w:pPr>
    </w:p>
    <w:p w:rsidR="00A93530" w:rsidRPr="007E528B" w:rsidRDefault="00A93530" w:rsidP="001A0FF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A93530" w:rsidRPr="007E528B" w:rsidRDefault="00A93530" w:rsidP="001A0FF4">
      <w:pPr>
        <w:jc w:val="right"/>
        <w:rPr>
          <w:sz w:val="26"/>
          <w:szCs w:val="26"/>
        </w:rPr>
      </w:pPr>
    </w:p>
    <w:p w:rsidR="00A93530" w:rsidRPr="00750516" w:rsidRDefault="00A93530" w:rsidP="001A0FF4">
      <w:pPr>
        <w:jc w:val="right"/>
        <w:rPr>
          <w:b/>
          <w:sz w:val="20"/>
        </w:rPr>
      </w:pPr>
      <w:r w:rsidRPr="00750516">
        <w:rPr>
          <w:b/>
          <w:sz w:val="20"/>
        </w:rPr>
        <w:t>Endnotes</w:t>
      </w:r>
    </w:p>
    <w:p w:rsidR="00A93530" w:rsidRPr="007A1328" w:rsidRDefault="00A93530" w:rsidP="001A0FF4">
      <w:pPr>
        <w:jc w:val="right"/>
        <w:rPr>
          <w:sz w:val="20"/>
        </w:rPr>
      </w:pPr>
    </w:p>
    <w:p w:rsidR="00A93530" w:rsidRPr="007A1328" w:rsidRDefault="00A93530" w:rsidP="001A0FF4">
      <w:pPr>
        <w:jc w:val="right"/>
        <w:rPr>
          <w:b/>
          <w:sz w:val="24"/>
        </w:rPr>
      </w:pPr>
    </w:p>
    <w:p w:rsidR="00A93530" w:rsidRPr="007E528B" w:rsidRDefault="00A93530" w:rsidP="001A0FF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A93530" w:rsidRDefault="00A93530">
      <w:pPr>
        <w:pStyle w:val="Header"/>
      </w:pPr>
    </w:p>
    <w:p w:rsidR="00A93530" w:rsidRDefault="00A93530"/>
    <w:p w:rsidR="00A93530" w:rsidRDefault="00A93530" w:rsidP="00EA143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93530" w:rsidTr="001A0FF4">
        <w:tc>
          <w:tcPr>
            <w:tcW w:w="646" w:type="dxa"/>
          </w:tcPr>
          <w:p w:rsidR="00A93530" w:rsidRDefault="00A93530" w:rsidP="001A0FF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c>
          <w:tcPr>
            <w:tcW w:w="5387" w:type="dxa"/>
          </w:tcPr>
          <w:p w:rsidR="00A93530" w:rsidRDefault="00A93530" w:rsidP="001A0FF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Trans-Tasman Mutual Recognition Act 1997</w:t>
            </w:r>
            <w:r w:rsidRPr="007A1328">
              <w:rPr>
                <w:i/>
                <w:sz w:val="18"/>
              </w:rPr>
              <w:fldChar w:fldCharType="end"/>
            </w:r>
          </w:p>
        </w:tc>
        <w:tc>
          <w:tcPr>
            <w:tcW w:w="1247" w:type="dxa"/>
          </w:tcPr>
          <w:p w:rsidR="00A93530" w:rsidRDefault="00A93530" w:rsidP="001A0FF4">
            <w:pPr>
              <w:jc w:val="right"/>
              <w:rPr>
                <w:sz w:val="18"/>
              </w:rPr>
            </w:pPr>
          </w:p>
        </w:tc>
      </w:tr>
      <w:tr w:rsidR="00A93530" w:rsidTr="001A0FF4">
        <w:tc>
          <w:tcPr>
            <w:tcW w:w="7303" w:type="dxa"/>
            <w:gridSpan w:val="3"/>
          </w:tcPr>
          <w:p w:rsidR="00A93530" w:rsidRDefault="00A93530" w:rsidP="001A0FF4">
            <w:pPr>
              <w:jc w:val="right"/>
              <w:rPr>
                <w:sz w:val="18"/>
              </w:rPr>
            </w:pPr>
            <w:r w:rsidRPr="007A1328">
              <w:rPr>
                <w:i/>
                <w:sz w:val="18"/>
              </w:rPr>
              <w:fldChar w:fldCharType="begin"/>
            </w:r>
            <w:r w:rsidRPr="007A1328">
              <w:rPr>
                <w:i/>
                <w:sz w:val="18"/>
              </w:rPr>
              <w:instrText xml:space="preserve"> FILENAME \p </w:instrText>
            </w:r>
            <w:r w:rsidRPr="007A1328">
              <w:rPr>
                <w:i/>
                <w:sz w:val="18"/>
              </w:rPr>
              <w:fldChar w:fldCharType="separate"/>
            </w:r>
            <w:r>
              <w:rPr>
                <w:i/>
                <w:noProof/>
                <w:sz w:val="18"/>
              </w:rPr>
              <w:t>Q:\Word\Compilations\P18HK604.DOCX</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TIME \@ "d/M/yyyy h:mm AM/PM" </w:instrText>
            </w:r>
            <w:r w:rsidRPr="007A1328">
              <w:rPr>
                <w:i/>
                <w:sz w:val="18"/>
              </w:rPr>
              <w:fldChar w:fldCharType="separate"/>
            </w:r>
            <w:r w:rsidR="00210BB2">
              <w:rPr>
                <w:i/>
                <w:noProof/>
                <w:sz w:val="18"/>
              </w:rPr>
              <w:t>13/12/2018 11:51 AM</w:t>
            </w:r>
            <w:r w:rsidRPr="007A1328">
              <w:rPr>
                <w:i/>
                <w:sz w:val="18"/>
              </w:rPr>
              <w:fldChar w:fldCharType="end"/>
            </w:r>
          </w:p>
        </w:tc>
      </w:tr>
    </w:tbl>
    <w:p w:rsidR="00A93530" w:rsidRPr="0078369C" w:rsidRDefault="00A93530" w:rsidP="00EA143F">
      <w:pPr>
        <w:pStyle w:val="Footer"/>
      </w:pPr>
    </w:p>
    <w:p w:rsidR="00A93530" w:rsidRDefault="00A93530">
      <w:pPr>
        <w:pStyle w:val="Footer"/>
      </w:pPr>
    </w:p>
    <w:p w:rsidR="00A93530" w:rsidRDefault="00A93530"/>
    <w:p w:rsidR="00A93530" w:rsidRDefault="00A93530" w:rsidP="00EA143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93530" w:rsidTr="001A0FF4">
        <w:tc>
          <w:tcPr>
            <w:tcW w:w="1247" w:type="dxa"/>
          </w:tcPr>
          <w:p w:rsidR="00A93530" w:rsidRDefault="00A93530" w:rsidP="001A0FF4">
            <w:pPr>
              <w:rPr>
                <w:sz w:val="18"/>
              </w:rPr>
            </w:pPr>
          </w:p>
        </w:tc>
        <w:tc>
          <w:tcPr>
            <w:tcW w:w="5387" w:type="dxa"/>
          </w:tcPr>
          <w:p w:rsidR="00A93530" w:rsidRDefault="00A93530" w:rsidP="001A0FF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Trans-Tasman Mutual Recognition Act 1997</w:t>
            </w:r>
            <w:r w:rsidRPr="007A1328">
              <w:rPr>
                <w:i/>
                <w:sz w:val="18"/>
              </w:rPr>
              <w:fldChar w:fldCharType="end"/>
            </w:r>
          </w:p>
        </w:tc>
        <w:tc>
          <w:tcPr>
            <w:tcW w:w="646" w:type="dxa"/>
          </w:tcPr>
          <w:p w:rsidR="00A93530" w:rsidRDefault="00A93530" w:rsidP="001A0FF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A93530" w:rsidTr="001A0FF4">
        <w:tc>
          <w:tcPr>
            <w:tcW w:w="7303" w:type="dxa"/>
            <w:gridSpan w:val="3"/>
          </w:tcPr>
          <w:p w:rsidR="00A93530" w:rsidRDefault="00A93530" w:rsidP="001A0FF4">
            <w:pPr>
              <w:rPr>
                <w:sz w:val="18"/>
              </w:rPr>
            </w:pPr>
            <w:r w:rsidRPr="007A1328">
              <w:rPr>
                <w:i/>
                <w:sz w:val="18"/>
              </w:rPr>
              <w:fldChar w:fldCharType="begin"/>
            </w:r>
            <w:r w:rsidRPr="007A1328">
              <w:rPr>
                <w:i/>
                <w:sz w:val="18"/>
              </w:rPr>
              <w:instrText xml:space="preserve"> FILENAME \p </w:instrText>
            </w:r>
            <w:r w:rsidRPr="007A1328">
              <w:rPr>
                <w:i/>
                <w:sz w:val="18"/>
              </w:rPr>
              <w:fldChar w:fldCharType="separate"/>
            </w:r>
            <w:r>
              <w:rPr>
                <w:i/>
                <w:noProof/>
                <w:sz w:val="18"/>
              </w:rPr>
              <w:t>Q:\Word\Compilations\P18HK604.DOCX</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TIME \@ "d/M/yyyy h:mm AM/PM" </w:instrText>
            </w:r>
            <w:r w:rsidRPr="007A1328">
              <w:rPr>
                <w:i/>
                <w:sz w:val="18"/>
              </w:rPr>
              <w:fldChar w:fldCharType="separate"/>
            </w:r>
            <w:r w:rsidR="00210BB2">
              <w:rPr>
                <w:i/>
                <w:noProof/>
                <w:sz w:val="18"/>
              </w:rPr>
              <w:t>13/12/2018 11:51 AM</w:t>
            </w:r>
            <w:r w:rsidRPr="007A1328">
              <w:rPr>
                <w:i/>
                <w:sz w:val="18"/>
              </w:rPr>
              <w:fldChar w:fldCharType="end"/>
            </w:r>
          </w:p>
        </w:tc>
      </w:tr>
    </w:tbl>
    <w:p w:rsidR="00A93530" w:rsidRPr="0078369C" w:rsidRDefault="00A93530" w:rsidP="00EA143F">
      <w:pPr>
        <w:pStyle w:val="Footer"/>
      </w:pPr>
    </w:p>
    <w:p w:rsidR="00A93530" w:rsidRDefault="00A93530">
      <w:pPr>
        <w:pStyle w:val="Footer"/>
      </w:pPr>
    </w:p>
    <w:p w:rsidR="00A93530" w:rsidRDefault="00A93530"/>
    <w:p w:rsidR="00A93530" w:rsidRPr="007A1328" w:rsidRDefault="00A93530" w:rsidP="00EA143F">
      <w:pPr>
        <w:pBdr>
          <w:top w:val="single" w:sz="6" w:space="1" w:color="auto"/>
        </w:pBdr>
        <w:spacing w:before="120"/>
        <w:rPr>
          <w:sz w:val="18"/>
        </w:rPr>
      </w:pPr>
    </w:p>
    <w:p w:rsidR="00A93530" w:rsidRPr="007A1328" w:rsidRDefault="00A93530" w:rsidP="00EA143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Trans-Tasman Mutual Recognition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A93530" w:rsidRPr="007A1328" w:rsidRDefault="00A93530" w:rsidP="00EA143F">
      <w:pPr>
        <w:rPr>
          <w:i/>
          <w:sz w:val="18"/>
        </w:rPr>
      </w:pPr>
      <w:r w:rsidRPr="007A1328">
        <w:rPr>
          <w:i/>
          <w:sz w:val="18"/>
        </w:rPr>
        <w:fldChar w:fldCharType="begin"/>
      </w:r>
      <w:r w:rsidRPr="007A1328">
        <w:rPr>
          <w:i/>
          <w:sz w:val="18"/>
        </w:rPr>
        <w:instrText xml:space="preserve"> FILENAME \p </w:instrText>
      </w:r>
      <w:r w:rsidRPr="007A1328">
        <w:rPr>
          <w:i/>
          <w:sz w:val="18"/>
        </w:rPr>
        <w:fldChar w:fldCharType="separate"/>
      </w:r>
      <w:r>
        <w:rPr>
          <w:i/>
          <w:noProof/>
          <w:sz w:val="18"/>
        </w:rPr>
        <w:t>Q:\Word\Compilations\P18HK604.DOCX</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TIME \@ "d/M/yyyy h:mm AM/PM" </w:instrText>
      </w:r>
      <w:r w:rsidRPr="007A1328">
        <w:rPr>
          <w:i/>
          <w:sz w:val="18"/>
        </w:rPr>
        <w:fldChar w:fldCharType="separate"/>
      </w:r>
      <w:r w:rsidR="00210BB2">
        <w:rPr>
          <w:i/>
          <w:noProof/>
          <w:sz w:val="18"/>
        </w:rPr>
        <w:t>13/12/2018 11:51 AM</w:t>
      </w:r>
      <w:r w:rsidRPr="007A1328">
        <w:rPr>
          <w:i/>
          <w:sz w:val="18"/>
        </w:rPr>
        <w:fldChar w:fldCharType="end"/>
      </w:r>
    </w:p>
    <w:p w:rsidR="00A93530" w:rsidRDefault="00A93530">
      <w:pPr>
        <w:pStyle w:val="Footer"/>
      </w:pPr>
    </w:p>
    <w:p w:rsidR="00A93530" w:rsidRDefault="00A93530"/>
    <w:p w:rsidR="00A93530" w:rsidRDefault="00A93530" w:rsidP="00EA143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93530" w:rsidTr="001A0FF4">
        <w:tc>
          <w:tcPr>
            <w:tcW w:w="646" w:type="dxa"/>
          </w:tcPr>
          <w:p w:rsidR="00A93530" w:rsidRDefault="00A93530" w:rsidP="001A0FF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c>
          <w:tcPr>
            <w:tcW w:w="5387" w:type="dxa"/>
          </w:tcPr>
          <w:p w:rsidR="00A93530" w:rsidRDefault="00A93530" w:rsidP="001A0FF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Trans-Tasman Mutual Recognition Act 1997</w:t>
            </w:r>
            <w:r w:rsidRPr="007A1328">
              <w:rPr>
                <w:i/>
                <w:sz w:val="18"/>
              </w:rPr>
              <w:fldChar w:fldCharType="end"/>
            </w:r>
          </w:p>
        </w:tc>
        <w:tc>
          <w:tcPr>
            <w:tcW w:w="1247" w:type="dxa"/>
          </w:tcPr>
          <w:p w:rsidR="00A93530" w:rsidRDefault="00A93530" w:rsidP="001A0FF4">
            <w:pPr>
              <w:jc w:val="right"/>
              <w:rPr>
                <w:sz w:val="18"/>
              </w:rPr>
            </w:pPr>
          </w:p>
        </w:tc>
      </w:tr>
      <w:tr w:rsidR="00A93530" w:rsidTr="001A0FF4">
        <w:tc>
          <w:tcPr>
            <w:tcW w:w="7303" w:type="dxa"/>
            <w:gridSpan w:val="3"/>
          </w:tcPr>
          <w:p w:rsidR="00A93530" w:rsidRDefault="00A93530" w:rsidP="001A0FF4">
            <w:pPr>
              <w:jc w:val="right"/>
              <w:rPr>
                <w:sz w:val="18"/>
              </w:rPr>
            </w:pPr>
            <w:r w:rsidRPr="007A1328">
              <w:rPr>
                <w:i/>
                <w:sz w:val="18"/>
              </w:rPr>
              <w:fldChar w:fldCharType="begin"/>
            </w:r>
            <w:r w:rsidRPr="007A1328">
              <w:rPr>
                <w:i/>
                <w:sz w:val="18"/>
              </w:rPr>
              <w:instrText xml:space="preserve"> FILENAME \p </w:instrText>
            </w:r>
            <w:r w:rsidRPr="007A1328">
              <w:rPr>
                <w:i/>
                <w:sz w:val="18"/>
              </w:rPr>
              <w:fldChar w:fldCharType="separate"/>
            </w:r>
            <w:r>
              <w:rPr>
                <w:i/>
                <w:noProof/>
                <w:sz w:val="18"/>
              </w:rPr>
              <w:t>Q:\Word\Compilations\P18HK604.DOCX</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TIME \@ "d/M/yyyy h:mm AM/PM" </w:instrText>
            </w:r>
            <w:r w:rsidRPr="007A1328">
              <w:rPr>
                <w:i/>
                <w:sz w:val="18"/>
              </w:rPr>
              <w:fldChar w:fldCharType="separate"/>
            </w:r>
            <w:r w:rsidR="00210BB2">
              <w:rPr>
                <w:i/>
                <w:noProof/>
                <w:sz w:val="18"/>
              </w:rPr>
              <w:t>13/12/2018 11:51 AM</w:t>
            </w:r>
            <w:r w:rsidRPr="007A1328">
              <w:rPr>
                <w:i/>
                <w:sz w:val="18"/>
              </w:rPr>
              <w:fldChar w:fldCharType="end"/>
            </w:r>
          </w:p>
        </w:tc>
      </w:tr>
    </w:tbl>
    <w:p w:rsidR="00A93530" w:rsidRPr="0078369C" w:rsidRDefault="00A93530" w:rsidP="00EA143F">
      <w:pPr>
        <w:pStyle w:val="Footer"/>
      </w:pPr>
    </w:p>
    <w:p w:rsidR="00A93530" w:rsidRDefault="00A93530">
      <w:pPr>
        <w:pStyle w:val="Footer"/>
      </w:pPr>
    </w:p>
    <w:p w:rsidR="00A93530" w:rsidRDefault="00A93530"/>
    <w:p w:rsidR="00A93530" w:rsidRDefault="00A93530" w:rsidP="00EA143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93530" w:rsidTr="001A0FF4">
        <w:tc>
          <w:tcPr>
            <w:tcW w:w="1247" w:type="dxa"/>
          </w:tcPr>
          <w:p w:rsidR="00A93530" w:rsidRDefault="00A93530" w:rsidP="001A0FF4">
            <w:pPr>
              <w:rPr>
                <w:sz w:val="18"/>
              </w:rPr>
            </w:pPr>
          </w:p>
        </w:tc>
        <w:tc>
          <w:tcPr>
            <w:tcW w:w="5387" w:type="dxa"/>
          </w:tcPr>
          <w:p w:rsidR="00A93530" w:rsidRDefault="00A93530" w:rsidP="001A0FF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Trans-Tasman Mutual Recognition Act 1997</w:t>
            </w:r>
            <w:r w:rsidRPr="007A1328">
              <w:rPr>
                <w:i/>
                <w:sz w:val="18"/>
              </w:rPr>
              <w:fldChar w:fldCharType="end"/>
            </w:r>
          </w:p>
        </w:tc>
        <w:tc>
          <w:tcPr>
            <w:tcW w:w="646" w:type="dxa"/>
          </w:tcPr>
          <w:p w:rsidR="00A93530" w:rsidRDefault="00A93530" w:rsidP="001A0FF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A93530" w:rsidTr="001A0FF4">
        <w:tc>
          <w:tcPr>
            <w:tcW w:w="7303" w:type="dxa"/>
            <w:gridSpan w:val="3"/>
          </w:tcPr>
          <w:p w:rsidR="00A93530" w:rsidRDefault="00A93530" w:rsidP="001A0FF4">
            <w:pPr>
              <w:rPr>
                <w:sz w:val="18"/>
              </w:rPr>
            </w:pPr>
            <w:r w:rsidRPr="007A1328">
              <w:rPr>
                <w:i/>
                <w:sz w:val="18"/>
              </w:rPr>
              <w:fldChar w:fldCharType="begin"/>
            </w:r>
            <w:r w:rsidRPr="007A1328">
              <w:rPr>
                <w:i/>
                <w:sz w:val="18"/>
              </w:rPr>
              <w:instrText xml:space="preserve"> FILENAME \p </w:instrText>
            </w:r>
            <w:r w:rsidRPr="007A1328">
              <w:rPr>
                <w:i/>
                <w:sz w:val="18"/>
              </w:rPr>
              <w:fldChar w:fldCharType="separate"/>
            </w:r>
            <w:r>
              <w:rPr>
                <w:i/>
                <w:noProof/>
                <w:sz w:val="18"/>
              </w:rPr>
              <w:t>Q:\Word\Compilations\P18HK604.DOCX</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TIME \@ "d/M/yyyy h:mm AM/PM" </w:instrText>
            </w:r>
            <w:r w:rsidRPr="007A1328">
              <w:rPr>
                <w:i/>
                <w:sz w:val="18"/>
              </w:rPr>
              <w:fldChar w:fldCharType="separate"/>
            </w:r>
            <w:r w:rsidR="00210BB2">
              <w:rPr>
                <w:i/>
                <w:noProof/>
                <w:sz w:val="18"/>
              </w:rPr>
              <w:t>13/12/2018 11:51 AM</w:t>
            </w:r>
            <w:r w:rsidRPr="007A1328">
              <w:rPr>
                <w:i/>
                <w:sz w:val="18"/>
              </w:rPr>
              <w:fldChar w:fldCharType="end"/>
            </w:r>
          </w:p>
        </w:tc>
      </w:tr>
    </w:tbl>
    <w:p w:rsidR="00A93530" w:rsidRPr="0078369C" w:rsidRDefault="00A93530" w:rsidP="00EA143F">
      <w:pPr>
        <w:pStyle w:val="Footer"/>
      </w:pPr>
    </w:p>
    <w:p w:rsidR="00A93530" w:rsidRDefault="00A93530">
      <w:pPr>
        <w:pStyle w:val="Footer"/>
      </w:pPr>
    </w:p>
    <w:p w:rsidR="00A93530" w:rsidRDefault="00A93530"/>
    <w:p w:rsidR="00A93530" w:rsidRPr="007A1328" w:rsidRDefault="00A93530" w:rsidP="00EA143F">
      <w:pPr>
        <w:pBdr>
          <w:top w:val="single" w:sz="6" w:space="1" w:color="auto"/>
        </w:pBdr>
        <w:spacing w:before="120"/>
        <w:rPr>
          <w:sz w:val="18"/>
        </w:rPr>
      </w:pPr>
    </w:p>
    <w:p w:rsidR="00A93530" w:rsidRPr="007A1328" w:rsidRDefault="00A93530" w:rsidP="00EA143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Trans-Tasman Mutual Recognition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A93530" w:rsidRPr="007A1328" w:rsidRDefault="00A93530" w:rsidP="00EA143F">
      <w:pPr>
        <w:rPr>
          <w:i/>
          <w:sz w:val="18"/>
        </w:rPr>
      </w:pPr>
      <w:r w:rsidRPr="007A1328">
        <w:rPr>
          <w:i/>
          <w:sz w:val="18"/>
        </w:rPr>
        <w:fldChar w:fldCharType="begin"/>
      </w:r>
      <w:r w:rsidRPr="007A1328">
        <w:rPr>
          <w:i/>
          <w:sz w:val="18"/>
        </w:rPr>
        <w:instrText xml:space="preserve"> FILENAME \p </w:instrText>
      </w:r>
      <w:r w:rsidRPr="007A1328">
        <w:rPr>
          <w:i/>
          <w:sz w:val="18"/>
        </w:rPr>
        <w:fldChar w:fldCharType="separate"/>
      </w:r>
      <w:r>
        <w:rPr>
          <w:i/>
          <w:noProof/>
          <w:sz w:val="18"/>
        </w:rPr>
        <w:t>Q:\Word\Compilations\P18HK604.DOCX</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TIME \@ "d/M/yyyy h:mm AM/PM" </w:instrText>
      </w:r>
      <w:r w:rsidRPr="007A1328">
        <w:rPr>
          <w:i/>
          <w:sz w:val="18"/>
        </w:rPr>
        <w:fldChar w:fldCharType="separate"/>
      </w:r>
      <w:r w:rsidR="00210BB2">
        <w:rPr>
          <w:i/>
          <w:noProof/>
          <w:sz w:val="18"/>
        </w:rPr>
        <w:t>13/12/2018 11:51 AM</w:t>
      </w:r>
      <w:r w:rsidRPr="007A1328">
        <w:rPr>
          <w:i/>
          <w:sz w:val="18"/>
        </w:rPr>
        <w:fldChar w:fldCharType="end"/>
      </w:r>
    </w:p>
    <w:p w:rsidR="00A93530" w:rsidRDefault="00A93530">
      <w:pPr>
        <w:pStyle w:val="Footer"/>
      </w:pPr>
    </w:p>
    <w:p w:rsidR="00A93530" w:rsidRDefault="00A93530"/>
    <w:p w:rsidR="00A93530" w:rsidRDefault="00A93530" w:rsidP="002D2AAD">
      <w:pPr>
        <w:spacing w:line="240" w:lineRule="auto"/>
      </w:pPr>
      <w:r>
        <w:separator/>
      </w:r>
    </w:p>
  </w:footnote>
  <w:footnote w:type="continuationSeparator" w:id="0">
    <w:p w:rsidR="00A93530" w:rsidRDefault="00A93530" w:rsidP="002D2A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rsidP="007B6261">
    <w:pPr>
      <w:pStyle w:val="Header"/>
      <w:pBdr>
        <w:bottom w:val="single" w:sz="6" w:space="1" w:color="auto"/>
      </w:pBdr>
    </w:pPr>
  </w:p>
  <w:p w:rsidR="00A93530" w:rsidRDefault="00A93530" w:rsidP="007B6261">
    <w:pPr>
      <w:pStyle w:val="Header"/>
      <w:pBdr>
        <w:bottom w:val="single" w:sz="6" w:space="1" w:color="auto"/>
      </w:pBdr>
    </w:pPr>
  </w:p>
  <w:p w:rsidR="00A93530" w:rsidRPr="001E77D2" w:rsidRDefault="00A93530" w:rsidP="007B626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pPr>
      <w:rPr>
        <w:sz w:val="20"/>
      </w:rPr>
    </w:pPr>
    <w:r>
      <w:rPr>
        <w:b/>
        <w:sz w:val="20"/>
      </w:rPr>
      <w:fldChar w:fldCharType="begin"/>
    </w:r>
    <w:r>
      <w:rPr>
        <w:b/>
        <w:sz w:val="20"/>
      </w:rPr>
      <w:instrText xml:space="preserve"> STYLEREF CharChapNo </w:instrText>
    </w:r>
    <w:r>
      <w:rPr>
        <w:b/>
        <w:sz w:val="20"/>
      </w:rPr>
      <w:fldChar w:fldCharType="separate"/>
    </w:r>
    <w:r w:rsidR="00DC7DD5">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C7DD5">
      <w:rPr>
        <w:noProof/>
        <w:sz w:val="20"/>
      </w:rPr>
      <w:t>Permanent exemptions</w:t>
    </w:r>
    <w:r>
      <w:rPr>
        <w:sz w:val="20"/>
      </w:rPr>
      <w:fldChar w:fldCharType="end"/>
    </w:r>
  </w:p>
  <w:p w:rsidR="00A93530" w:rsidRDefault="00A93530">
    <w:pPr>
      <w:rPr>
        <w:b/>
        <w:sz w:val="20"/>
      </w:rPr>
    </w:pPr>
    <w:r>
      <w:rPr>
        <w:b/>
        <w:sz w:val="20"/>
      </w:rPr>
      <w:fldChar w:fldCharType="begin"/>
    </w:r>
    <w:r>
      <w:rPr>
        <w:b/>
        <w:sz w:val="20"/>
      </w:rPr>
      <w:instrText xml:space="preserve"> STYLEREF CharPartNo </w:instrText>
    </w:r>
    <w:r>
      <w:rPr>
        <w:b/>
        <w:sz w:val="20"/>
      </w:rPr>
      <w:fldChar w:fldCharType="separate"/>
    </w:r>
    <w:r w:rsidR="00DC7DD5">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DC7DD5">
      <w:rPr>
        <w:noProof/>
        <w:sz w:val="20"/>
      </w:rPr>
      <w:t>Laws relating to goods: specific</w:t>
    </w:r>
    <w:r>
      <w:rPr>
        <w:sz w:val="20"/>
      </w:rPr>
      <w:fldChar w:fldCharType="end"/>
    </w:r>
  </w:p>
  <w:p w:rsidR="00A93530" w:rsidRDefault="00A9353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A93530" w:rsidRDefault="00A93530">
    <w:pPr>
      <w:rPr>
        <w:b/>
      </w:rPr>
    </w:pPr>
  </w:p>
  <w:p w:rsidR="00A93530" w:rsidRDefault="00A93530" w:rsidP="00BE5F14">
    <w:pPr>
      <w:pBdr>
        <w:bottom w:val="single" w:sz="6" w:space="1" w:color="auto"/>
      </w:pBdr>
      <w:spacing w:after="120"/>
    </w:pPr>
    <w:r>
      <w:t xml:space="preserve">Clause </w:t>
    </w:r>
    <w:fldSimple w:instr=" STYLEREF CharSectno ">
      <w:r w:rsidR="00DC7DD5">
        <w:rPr>
          <w:noProof/>
        </w:rPr>
        <w:t>11</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rsidP="007B6261">
    <w:pPr>
      <w:jc w:val="right"/>
      <w:rPr>
        <w:sz w:val="20"/>
      </w:rPr>
    </w:pPr>
    <w:r>
      <w:rPr>
        <w:sz w:val="20"/>
      </w:rPr>
      <w:fldChar w:fldCharType="begin"/>
    </w:r>
    <w:r>
      <w:rPr>
        <w:sz w:val="20"/>
      </w:rPr>
      <w:instrText xml:space="preserve"> STYLEREF CharChapText </w:instrText>
    </w:r>
    <w:r>
      <w:rPr>
        <w:sz w:val="20"/>
      </w:rPr>
      <w:fldChar w:fldCharType="separate"/>
    </w:r>
    <w:r w:rsidR="00DC7DD5">
      <w:rPr>
        <w:noProof/>
        <w:sz w:val="20"/>
      </w:rPr>
      <w:t>Permanent exemptions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DC7DD5">
      <w:rPr>
        <w:b/>
        <w:noProof/>
        <w:sz w:val="20"/>
      </w:rPr>
      <w:t>Schedule 2</w:t>
    </w:r>
    <w:r>
      <w:rPr>
        <w:b/>
        <w:sz w:val="20"/>
      </w:rPr>
      <w:fldChar w:fldCharType="end"/>
    </w:r>
  </w:p>
  <w:p w:rsidR="00A93530" w:rsidRDefault="00A93530" w:rsidP="007B6261">
    <w:pPr>
      <w:jc w:val="right"/>
      <w:rPr>
        <w:b/>
        <w:sz w:val="20"/>
      </w:rPr>
    </w:pPr>
    <w:r>
      <w:rPr>
        <w:sz w:val="20"/>
      </w:rPr>
      <w:fldChar w:fldCharType="begin"/>
    </w:r>
    <w:r>
      <w:rPr>
        <w:sz w:val="20"/>
      </w:rPr>
      <w:instrText xml:space="preserve"> STYLEREF CharPartText </w:instrText>
    </w:r>
    <w:r>
      <w:rPr>
        <w:sz w:val="20"/>
      </w:rPr>
      <w:fldChar w:fldCharType="separate"/>
    </w:r>
    <w:r w:rsidR="00DC7DD5">
      <w:rPr>
        <w:noProof/>
        <w:sz w:val="20"/>
      </w:rPr>
      <w:t>Laws relating to goods: specific</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DC7DD5">
      <w:rPr>
        <w:b/>
        <w:noProof/>
        <w:sz w:val="20"/>
      </w:rPr>
      <w:t>Part 2</w:t>
    </w:r>
    <w:r>
      <w:rPr>
        <w:b/>
        <w:sz w:val="20"/>
      </w:rPr>
      <w:fldChar w:fldCharType="end"/>
    </w:r>
  </w:p>
  <w:p w:rsidR="00A93530" w:rsidRDefault="00A93530" w:rsidP="007B626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A93530" w:rsidRDefault="00A93530" w:rsidP="007B6261">
    <w:pPr>
      <w:jc w:val="right"/>
      <w:rPr>
        <w:b/>
      </w:rPr>
    </w:pPr>
  </w:p>
  <w:p w:rsidR="00A93530" w:rsidRDefault="00A93530" w:rsidP="00BE5F14">
    <w:pPr>
      <w:pBdr>
        <w:bottom w:val="single" w:sz="6" w:space="1" w:color="auto"/>
      </w:pBdr>
      <w:spacing w:after="120"/>
      <w:jc w:val="right"/>
    </w:pPr>
    <w:r>
      <w:t xml:space="preserve">Clause </w:t>
    </w:r>
    <w:fldSimple w:instr=" STYLEREF CharSectno ">
      <w:r w:rsidR="00DC7DD5">
        <w:rPr>
          <w:noProof/>
        </w:rPr>
        <w:t>11</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pPr>
      <w:rPr>
        <w:sz w:val="20"/>
      </w:rPr>
    </w:pPr>
    <w:r>
      <w:rPr>
        <w:b/>
        <w:sz w:val="20"/>
      </w:rPr>
      <w:fldChar w:fldCharType="begin"/>
    </w:r>
    <w:r>
      <w:rPr>
        <w:b/>
        <w:sz w:val="20"/>
      </w:rPr>
      <w:instrText xml:space="preserve"> STYLEREF CharChapNo </w:instrText>
    </w:r>
    <w:r>
      <w:rPr>
        <w:b/>
        <w:sz w:val="20"/>
      </w:rPr>
      <w:fldChar w:fldCharType="separate"/>
    </w:r>
    <w:r>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Pr>
        <w:noProof/>
        <w:sz w:val="20"/>
      </w:rPr>
      <w:t>Permanent exemptions</w:t>
    </w:r>
    <w:r>
      <w:rPr>
        <w:sz w:val="20"/>
      </w:rPr>
      <w:fldChar w:fldCharType="end"/>
    </w:r>
  </w:p>
  <w:p w:rsidR="00A93530" w:rsidRDefault="00A9353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Pr>
        <w:noProof/>
        <w:sz w:val="20"/>
      </w:rPr>
      <w:t>Laws relating to goods: specific</w:t>
    </w:r>
    <w:r>
      <w:rPr>
        <w:sz w:val="20"/>
      </w:rPr>
      <w:fldChar w:fldCharType="end"/>
    </w:r>
  </w:p>
  <w:p w:rsidR="00A93530" w:rsidRDefault="00A93530" w:rsidP="00BE5F14">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rsidP="007B6261">
    <w:pPr>
      <w:jc w:val="right"/>
      <w:rPr>
        <w:sz w:val="20"/>
      </w:rPr>
    </w:pPr>
    <w:r>
      <w:rPr>
        <w:sz w:val="20"/>
      </w:rPr>
      <w:fldChar w:fldCharType="begin"/>
    </w:r>
    <w:r>
      <w:rPr>
        <w:sz w:val="20"/>
      </w:rPr>
      <w:instrText xml:space="preserve"> STYLEREF CharChapText </w:instrText>
    </w:r>
    <w:r>
      <w:rPr>
        <w:sz w:val="20"/>
      </w:rPr>
      <w:fldChar w:fldCharType="separate"/>
    </w:r>
    <w:r w:rsidR="00DC7DD5">
      <w:rPr>
        <w:noProof/>
        <w:sz w:val="20"/>
      </w:rPr>
      <w:t>Special exemptions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DC7DD5">
      <w:rPr>
        <w:b/>
        <w:noProof/>
        <w:sz w:val="20"/>
      </w:rPr>
      <w:t>Schedule 3</w:t>
    </w:r>
    <w:r>
      <w:rPr>
        <w:b/>
        <w:sz w:val="20"/>
      </w:rPr>
      <w:fldChar w:fldCharType="end"/>
    </w:r>
  </w:p>
  <w:p w:rsidR="00A93530" w:rsidRDefault="00A93530" w:rsidP="007B6261">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A93530" w:rsidRDefault="00A93530" w:rsidP="00BE5F14">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pPr>
      <w:rPr>
        <w:sz w:val="20"/>
      </w:rPr>
    </w:pPr>
    <w:r>
      <w:rPr>
        <w:b/>
        <w:sz w:val="20"/>
      </w:rPr>
      <w:fldChar w:fldCharType="begin"/>
    </w:r>
    <w:r>
      <w:rPr>
        <w:b/>
        <w:sz w:val="20"/>
      </w:rPr>
      <w:instrText xml:space="preserve"> STYLEREF CharChapNo </w:instrText>
    </w:r>
    <w:r>
      <w:rPr>
        <w:b/>
        <w:sz w:val="20"/>
      </w:rPr>
      <w:fldChar w:fldCharType="separate"/>
    </w:r>
    <w:r w:rsidR="00DC7DD5">
      <w:rPr>
        <w:b/>
        <w:noProof/>
        <w:sz w:val="20"/>
      </w:rPr>
      <w:t>Schedule 5</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C7DD5">
      <w:rPr>
        <w:noProof/>
        <w:sz w:val="20"/>
      </w:rPr>
      <w:t>Privacy of information collected under the Act</w:t>
    </w:r>
    <w:r>
      <w:rPr>
        <w:sz w:val="20"/>
      </w:rPr>
      <w:fldChar w:fldCharType="end"/>
    </w:r>
  </w:p>
  <w:p w:rsidR="00A93530" w:rsidRDefault="00A93530">
    <w:pPr>
      <w:rPr>
        <w:b/>
        <w:sz w:val="20"/>
      </w:rPr>
    </w:pPr>
    <w:r>
      <w:rPr>
        <w:b/>
        <w:sz w:val="20"/>
      </w:rPr>
      <w:fldChar w:fldCharType="begin"/>
    </w:r>
    <w:r>
      <w:rPr>
        <w:b/>
        <w:sz w:val="20"/>
      </w:rPr>
      <w:instrText xml:space="preserve"> STYLEREF CharPartNo </w:instrText>
    </w:r>
    <w:r w:rsidR="00210BB2">
      <w:rPr>
        <w:b/>
        <w:sz w:val="20"/>
      </w:rPr>
      <w:fldChar w:fldCharType="separate"/>
    </w:r>
    <w:r w:rsidR="00DC7DD5">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210BB2">
      <w:rPr>
        <w:sz w:val="20"/>
      </w:rPr>
      <w:fldChar w:fldCharType="separate"/>
    </w:r>
    <w:r w:rsidR="00DC7DD5">
      <w:rPr>
        <w:noProof/>
        <w:sz w:val="20"/>
      </w:rPr>
      <w:t>Principles</w:t>
    </w:r>
    <w:r>
      <w:rPr>
        <w:sz w:val="20"/>
      </w:rPr>
      <w:fldChar w:fldCharType="end"/>
    </w:r>
  </w:p>
  <w:p w:rsidR="00A93530" w:rsidRDefault="00A9353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A93530" w:rsidRDefault="00A93530">
    <w:pPr>
      <w:rPr>
        <w:b/>
      </w:rPr>
    </w:pPr>
  </w:p>
  <w:p w:rsidR="00A93530" w:rsidRDefault="00A93530" w:rsidP="00BE5F14">
    <w:pPr>
      <w:pBdr>
        <w:bottom w:val="single" w:sz="6" w:space="1" w:color="auto"/>
      </w:pBdr>
      <w:spacing w:after="120"/>
    </w:pPr>
    <w:r>
      <w:t xml:space="preserve">Clause </w:t>
    </w:r>
    <w:fldSimple w:instr=" STYLEREF CharSectno ">
      <w:r w:rsidR="00DC7DD5">
        <w:rPr>
          <w:noProof/>
        </w:rPr>
        <w:t>4</w:t>
      </w:r>
    </w:fldSimple>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rsidP="007B6261">
    <w:pPr>
      <w:jc w:val="right"/>
      <w:rPr>
        <w:sz w:val="20"/>
      </w:rPr>
    </w:pPr>
    <w:r>
      <w:rPr>
        <w:sz w:val="20"/>
      </w:rPr>
      <w:fldChar w:fldCharType="begin"/>
    </w:r>
    <w:r>
      <w:rPr>
        <w:sz w:val="20"/>
      </w:rPr>
      <w:instrText xml:space="preserve"> STYLEREF CharChapText </w:instrText>
    </w:r>
    <w:r>
      <w:rPr>
        <w:sz w:val="20"/>
      </w:rPr>
      <w:fldChar w:fldCharType="separate"/>
    </w:r>
    <w:r w:rsidR="00DC7DD5">
      <w:rPr>
        <w:noProof/>
        <w:sz w:val="20"/>
      </w:rPr>
      <w:t>Privacy of information collected under the Act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DC7DD5">
      <w:rPr>
        <w:b/>
        <w:noProof/>
        <w:sz w:val="20"/>
      </w:rPr>
      <w:t>Schedule 5</w:t>
    </w:r>
    <w:r>
      <w:rPr>
        <w:b/>
        <w:sz w:val="20"/>
      </w:rPr>
      <w:fldChar w:fldCharType="end"/>
    </w:r>
  </w:p>
  <w:p w:rsidR="00A93530" w:rsidRDefault="00A93530" w:rsidP="007B6261">
    <w:pPr>
      <w:jc w:val="right"/>
      <w:rPr>
        <w:b/>
        <w:sz w:val="20"/>
      </w:rPr>
    </w:pPr>
    <w:r>
      <w:rPr>
        <w:sz w:val="20"/>
      </w:rPr>
      <w:fldChar w:fldCharType="begin"/>
    </w:r>
    <w:r>
      <w:rPr>
        <w:sz w:val="20"/>
      </w:rPr>
      <w:instrText xml:space="preserve"> STYLEREF CharPartText </w:instrText>
    </w:r>
    <w:r>
      <w:rPr>
        <w:sz w:val="20"/>
      </w:rPr>
      <w:fldChar w:fldCharType="separate"/>
    </w:r>
    <w:r w:rsidR="00DC7DD5">
      <w:rPr>
        <w:noProof/>
        <w:sz w:val="20"/>
      </w:rPr>
      <w:t>Principles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DC7DD5">
      <w:rPr>
        <w:b/>
        <w:noProof/>
        <w:sz w:val="20"/>
      </w:rPr>
      <w:t>Part 2</w:t>
    </w:r>
    <w:r>
      <w:rPr>
        <w:b/>
        <w:sz w:val="20"/>
      </w:rPr>
      <w:fldChar w:fldCharType="end"/>
    </w:r>
  </w:p>
  <w:p w:rsidR="00A93530" w:rsidRDefault="00A93530" w:rsidP="007B626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A93530" w:rsidRDefault="00A93530" w:rsidP="007B6261">
    <w:pPr>
      <w:jc w:val="right"/>
      <w:rPr>
        <w:b/>
      </w:rPr>
    </w:pPr>
  </w:p>
  <w:p w:rsidR="00A93530" w:rsidRDefault="00A93530" w:rsidP="00BE5F14">
    <w:pPr>
      <w:pBdr>
        <w:bottom w:val="single" w:sz="6" w:space="1" w:color="auto"/>
      </w:pBdr>
      <w:spacing w:after="120"/>
      <w:jc w:val="right"/>
    </w:pPr>
    <w:r>
      <w:t xml:space="preserve">Clause </w:t>
    </w:r>
    <w:fldSimple w:instr=" STYLEREF CharSectno ">
      <w:r w:rsidR="00DC7DD5">
        <w:rPr>
          <w:noProof/>
        </w:rPr>
        <w:t>5</w:t>
      </w:r>
    </w:fldSimple>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E528B" w:rsidRDefault="00A93530" w:rsidP="007B6261">
    <w:pPr>
      <w:rPr>
        <w:sz w:val="26"/>
        <w:szCs w:val="26"/>
      </w:rPr>
    </w:pPr>
  </w:p>
  <w:p w:rsidR="00A93530" w:rsidRPr="00750516" w:rsidRDefault="00A93530" w:rsidP="007B6261">
    <w:pPr>
      <w:rPr>
        <w:b/>
        <w:sz w:val="20"/>
      </w:rPr>
    </w:pPr>
    <w:r w:rsidRPr="00750516">
      <w:rPr>
        <w:b/>
        <w:sz w:val="20"/>
      </w:rPr>
      <w:t>Endnotes</w:t>
    </w:r>
  </w:p>
  <w:p w:rsidR="00A93530" w:rsidRPr="007A1328" w:rsidRDefault="00A93530" w:rsidP="007B6261">
    <w:pPr>
      <w:rPr>
        <w:sz w:val="20"/>
      </w:rPr>
    </w:pPr>
  </w:p>
  <w:p w:rsidR="00A93530" w:rsidRPr="007A1328" w:rsidRDefault="00A93530" w:rsidP="007B6261">
    <w:pPr>
      <w:rPr>
        <w:b/>
        <w:sz w:val="24"/>
      </w:rPr>
    </w:pPr>
  </w:p>
  <w:p w:rsidR="00A93530" w:rsidRPr="007E528B" w:rsidRDefault="00A93530" w:rsidP="00BE5F1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DC7DD5">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rsidP="007B6261">
    <w:pPr>
      <w:pStyle w:val="Header"/>
      <w:pBdr>
        <w:bottom w:val="single" w:sz="4" w:space="1" w:color="auto"/>
      </w:pBdr>
    </w:pPr>
  </w:p>
  <w:p w:rsidR="00A93530" w:rsidRDefault="00A93530" w:rsidP="007B6261">
    <w:pPr>
      <w:pStyle w:val="Header"/>
      <w:pBdr>
        <w:bottom w:val="single" w:sz="4" w:space="1" w:color="auto"/>
      </w:pBdr>
    </w:pPr>
  </w:p>
  <w:p w:rsidR="00A93530" w:rsidRPr="001E77D2" w:rsidRDefault="00A93530" w:rsidP="007B6261">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E528B" w:rsidRDefault="00A93530" w:rsidP="007B6261">
    <w:pPr>
      <w:jc w:val="right"/>
      <w:rPr>
        <w:sz w:val="26"/>
        <w:szCs w:val="26"/>
      </w:rPr>
    </w:pPr>
  </w:p>
  <w:p w:rsidR="00A93530" w:rsidRPr="00750516" w:rsidRDefault="00A93530" w:rsidP="007B6261">
    <w:pPr>
      <w:jc w:val="right"/>
      <w:rPr>
        <w:b/>
        <w:sz w:val="20"/>
      </w:rPr>
    </w:pPr>
    <w:r w:rsidRPr="00750516">
      <w:rPr>
        <w:b/>
        <w:sz w:val="20"/>
      </w:rPr>
      <w:t>Endnotes</w:t>
    </w:r>
  </w:p>
  <w:p w:rsidR="00A93530" w:rsidRPr="007A1328" w:rsidRDefault="00A93530" w:rsidP="007B6261">
    <w:pPr>
      <w:jc w:val="right"/>
      <w:rPr>
        <w:sz w:val="20"/>
      </w:rPr>
    </w:pPr>
  </w:p>
  <w:p w:rsidR="00A93530" w:rsidRPr="007A1328" w:rsidRDefault="00A93530" w:rsidP="007B6261">
    <w:pPr>
      <w:jc w:val="right"/>
      <w:rPr>
        <w:b/>
        <w:sz w:val="24"/>
      </w:rPr>
    </w:pPr>
  </w:p>
  <w:p w:rsidR="00A93530" w:rsidRPr="007E528B" w:rsidRDefault="00A93530" w:rsidP="00BE5F1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DC7DD5">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pPr>
      <w:jc w:val="right"/>
    </w:pPr>
  </w:p>
  <w:p w:rsidR="00A93530" w:rsidRDefault="00A93530">
    <w:pPr>
      <w:jc w:val="right"/>
      <w:rPr>
        <w:i/>
      </w:rPr>
    </w:pPr>
  </w:p>
  <w:p w:rsidR="00A93530" w:rsidRDefault="00A93530">
    <w:pPr>
      <w:jc w:val="right"/>
    </w:pPr>
  </w:p>
  <w:p w:rsidR="00A93530" w:rsidRDefault="00A93530">
    <w:pPr>
      <w:jc w:val="right"/>
      <w:rPr>
        <w:sz w:val="24"/>
      </w:rPr>
    </w:pPr>
  </w:p>
  <w:p w:rsidR="00A93530" w:rsidRDefault="00A93530">
    <w:pPr>
      <w:pBdr>
        <w:bottom w:val="single" w:sz="12" w:space="1" w:color="auto"/>
      </w:pBdr>
      <w:jc w:val="right"/>
      <w:rPr>
        <w:i/>
        <w:sz w:val="24"/>
      </w:rPr>
    </w:pPr>
  </w:p>
  <w:p w:rsidR="00A93530" w:rsidRDefault="00A9353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pPr>
      <w:jc w:val="right"/>
      <w:rPr>
        <w:b/>
      </w:rPr>
    </w:pPr>
  </w:p>
  <w:p w:rsidR="00A93530" w:rsidRDefault="00A93530">
    <w:pPr>
      <w:jc w:val="right"/>
      <w:rPr>
        <w:b/>
        <w:i/>
      </w:rPr>
    </w:pPr>
  </w:p>
  <w:p w:rsidR="00A93530" w:rsidRDefault="00A93530">
    <w:pPr>
      <w:jc w:val="right"/>
    </w:pPr>
  </w:p>
  <w:p w:rsidR="00A93530" w:rsidRDefault="00A93530">
    <w:pPr>
      <w:jc w:val="right"/>
      <w:rPr>
        <w:b/>
        <w:sz w:val="24"/>
      </w:rPr>
    </w:pPr>
  </w:p>
  <w:p w:rsidR="00A93530" w:rsidRDefault="00A93530">
    <w:pPr>
      <w:pBdr>
        <w:bottom w:val="single" w:sz="12" w:space="1" w:color="auto"/>
      </w:pBdr>
      <w:jc w:val="right"/>
      <w:rPr>
        <w:b/>
        <w:i/>
        <w:sz w:val="24"/>
      </w:rPr>
    </w:pPr>
  </w:p>
  <w:p w:rsidR="00A93530" w:rsidRDefault="00A9353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5F1388" w:rsidRDefault="00A93530" w:rsidP="007B626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ED79B6" w:rsidRDefault="00A93530" w:rsidP="007B626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ED79B6" w:rsidRDefault="00A93530" w:rsidP="007B626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ED79B6" w:rsidRDefault="00A93530" w:rsidP="007B626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Default="00A93530" w:rsidP="007B626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93530" w:rsidRDefault="00A93530" w:rsidP="007B6261">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DC7DD5">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C7DD5">
      <w:rPr>
        <w:noProof/>
        <w:sz w:val="20"/>
      </w:rPr>
      <w:t>Preliminary</w:t>
    </w:r>
    <w:r>
      <w:rPr>
        <w:sz w:val="20"/>
      </w:rPr>
      <w:fldChar w:fldCharType="end"/>
    </w:r>
  </w:p>
  <w:p w:rsidR="00A93530" w:rsidRPr="007A1328" w:rsidRDefault="00A93530" w:rsidP="007B626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93530" w:rsidRPr="007A1328" w:rsidRDefault="00A93530" w:rsidP="007B6261">
    <w:pPr>
      <w:rPr>
        <w:b/>
        <w:sz w:val="24"/>
      </w:rPr>
    </w:pPr>
  </w:p>
  <w:p w:rsidR="00A93530" w:rsidRPr="007A1328" w:rsidRDefault="00A93530" w:rsidP="00BE5F1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C7DD5">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A1328" w:rsidRDefault="00A93530" w:rsidP="007B62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93530" w:rsidRPr="007A1328" w:rsidRDefault="00A93530" w:rsidP="007B6261">
    <w:pPr>
      <w:jc w:val="right"/>
      <w:rPr>
        <w:sz w:val="20"/>
      </w:rPr>
    </w:pPr>
    <w:r w:rsidRPr="007A1328">
      <w:rPr>
        <w:sz w:val="20"/>
      </w:rPr>
      <w:fldChar w:fldCharType="begin"/>
    </w:r>
    <w:r w:rsidRPr="007A1328">
      <w:rPr>
        <w:sz w:val="20"/>
      </w:rPr>
      <w:instrText xml:space="preserve"> STYLEREF CharPartText </w:instrText>
    </w:r>
    <w:r w:rsidR="00DC7DD5">
      <w:rPr>
        <w:sz w:val="20"/>
      </w:rPr>
      <w:fldChar w:fldCharType="separate"/>
    </w:r>
    <w:r w:rsidR="00DC7DD5">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C7DD5">
      <w:rPr>
        <w:b/>
        <w:sz w:val="20"/>
      </w:rPr>
      <w:fldChar w:fldCharType="separate"/>
    </w:r>
    <w:r w:rsidR="00DC7DD5">
      <w:rPr>
        <w:b/>
        <w:noProof/>
        <w:sz w:val="20"/>
      </w:rPr>
      <w:t>Part 1</w:t>
    </w:r>
    <w:r>
      <w:rPr>
        <w:b/>
        <w:sz w:val="20"/>
      </w:rPr>
      <w:fldChar w:fldCharType="end"/>
    </w:r>
  </w:p>
  <w:p w:rsidR="00A93530" w:rsidRPr="007A1328" w:rsidRDefault="00A93530" w:rsidP="007B62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93530" w:rsidRPr="007A1328" w:rsidRDefault="00A93530" w:rsidP="007B6261">
    <w:pPr>
      <w:jc w:val="right"/>
      <w:rPr>
        <w:b/>
        <w:sz w:val="24"/>
      </w:rPr>
    </w:pPr>
  </w:p>
  <w:p w:rsidR="00A93530" w:rsidRPr="007A1328" w:rsidRDefault="00A93530" w:rsidP="00BE5F1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C7DD5">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0" w:rsidRPr="007A1328" w:rsidRDefault="00A93530" w:rsidP="007B62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31A5"/>
    <w:rsid w:val="00004DC4"/>
    <w:rsid w:val="000074C8"/>
    <w:rsid w:val="00007B48"/>
    <w:rsid w:val="00014DCA"/>
    <w:rsid w:val="00025BF1"/>
    <w:rsid w:val="00026149"/>
    <w:rsid w:val="00026F18"/>
    <w:rsid w:val="00031365"/>
    <w:rsid w:val="000447C7"/>
    <w:rsid w:val="000663FA"/>
    <w:rsid w:val="000710E3"/>
    <w:rsid w:val="00077820"/>
    <w:rsid w:val="000810BC"/>
    <w:rsid w:val="000828FE"/>
    <w:rsid w:val="000909C1"/>
    <w:rsid w:val="000B008A"/>
    <w:rsid w:val="000B3504"/>
    <w:rsid w:val="000B499D"/>
    <w:rsid w:val="000D1777"/>
    <w:rsid w:val="000D1BA9"/>
    <w:rsid w:val="000D53B2"/>
    <w:rsid w:val="000E677B"/>
    <w:rsid w:val="000F5003"/>
    <w:rsid w:val="000F7738"/>
    <w:rsid w:val="001160A9"/>
    <w:rsid w:val="001254C3"/>
    <w:rsid w:val="0013120B"/>
    <w:rsid w:val="0013706D"/>
    <w:rsid w:val="00150C4F"/>
    <w:rsid w:val="00150EB3"/>
    <w:rsid w:val="001510A5"/>
    <w:rsid w:val="00166940"/>
    <w:rsid w:val="00172C04"/>
    <w:rsid w:val="00182E26"/>
    <w:rsid w:val="00187632"/>
    <w:rsid w:val="001A0FF4"/>
    <w:rsid w:val="001A766A"/>
    <w:rsid w:val="001B5915"/>
    <w:rsid w:val="001B6DAB"/>
    <w:rsid w:val="001B72F3"/>
    <w:rsid w:val="001E14E0"/>
    <w:rsid w:val="001F140F"/>
    <w:rsid w:val="001F1FA5"/>
    <w:rsid w:val="00202236"/>
    <w:rsid w:val="002105A6"/>
    <w:rsid w:val="00210BB2"/>
    <w:rsid w:val="00213F8F"/>
    <w:rsid w:val="002150C5"/>
    <w:rsid w:val="00235CB9"/>
    <w:rsid w:val="002462FB"/>
    <w:rsid w:val="002505D8"/>
    <w:rsid w:val="00264AF2"/>
    <w:rsid w:val="002735CD"/>
    <w:rsid w:val="00276D6A"/>
    <w:rsid w:val="00280F19"/>
    <w:rsid w:val="0028439E"/>
    <w:rsid w:val="00285F01"/>
    <w:rsid w:val="0028727C"/>
    <w:rsid w:val="00294BAD"/>
    <w:rsid w:val="002A6143"/>
    <w:rsid w:val="002B1A7A"/>
    <w:rsid w:val="002B29F5"/>
    <w:rsid w:val="002D2AAD"/>
    <w:rsid w:val="002D3A2E"/>
    <w:rsid w:val="002D4898"/>
    <w:rsid w:val="002E4EF4"/>
    <w:rsid w:val="002E56B8"/>
    <w:rsid w:val="002E6351"/>
    <w:rsid w:val="002F20B0"/>
    <w:rsid w:val="002F4B2C"/>
    <w:rsid w:val="002F5B83"/>
    <w:rsid w:val="00300BDF"/>
    <w:rsid w:val="00316638"/>
    <w:rsid w:val="00327646"/>
    <w:rsid w:val="00331BF8"/>
    <w:rsid w:val="00332B86"/>
    <w:rsid w:val="00332D26"/>
    <w:rsid w:val="00356BB6"/>
    <w:rsid w:val="003707C4"/>
    <w:rsid w:val="00375241"/>
    <w:rsid w:val="00375CB5"/>
    <w:rsid w:val="00377834"/>
    <w:rsid w:val="00377C6F"/>
    <w:rsid w:val="00381AB0"/>
    <w:rsid w:val="00387471"/>
    <w:rsid w:val="003970EE"/>
    <w:rsid w:val="003A2144"/>
    <w:rsid w:val="003B034F"/>
    <w:rsid w:val="003D7A4C"/>
    <w:rsid w:val="003E2D16"/>
    <w:rsid w:val="003E552A"/>
    <w:rsid w:val="003F03AA"/>
    <w:rsid w:val="003F54EE"/>
    <w:rsid w:val="00404785"/>
    <w:rsid w:val="0041036D"/>
    <w:rsid w:val="004108A2"/>
    <w:rsid w:val="0043094E"/>
    <w:rsid w:val="00432AAA"/>
    <w:rsid w:val="00440DD2"/>
    <w:rsid w:val="00455349"/>
    <w:rsid w:val="00457419"/>
    <w:rsid w:val="004918A6"/>
    <w:rsid w:val="0049595A"/>
    <w:rsid w:val="004C4709"/>
    <w:rsid w:val="004C7C13"/>
    <w:rsid w:val="004D7FE5"/>
    <w:rsid w:val="004F36D1"/>
    <w:rsid w:val="004F5B0B"/>
    <w:rsid w:val="00502BEC"/>
    <w:rsid w:val="00504594"/>
    <w:rsid w:val="00512768"/>
    <w:rsid w:val="005149C7"/>
    <w:rsid w:val="00515CE6"/>
    <w:rsid w:val="00522D0F"/>
    <w:rsid w:val="00522FF9"/>
    <w:rsid w:val="00535A57"/>
    <w:rsid w:val="005537B5"/>
    <w:rsid w:val="00554CD2"/>
    <w:rsid w:val="00570AF4"/>
    <w:rsid w:val="0058223C"/>
    <w:rsid w:val="005962A8"/>
    <w:rsid w:val="005A01AB"/>
    <w:rsid w:val="005B3CB5"/>
    <w:rsid w:val="005B6C63"/>
    <w:rsid w:val="005B77BE"/>
    <w:rsid w:val="005B7C07"/>
    <w:rsid w:val="005C1B4E"/>
    <w:rsid w:val="005C22A9"/>
    <w:rsid w:val="005D34E6"/>
    <w:rsid w:val="005E226A"/>
    <w:rsid w:val="005E5F00"/>
    <w:rsid w:val="005E66D8"/>
    <w:rsid w:val="006005F4"/>
    <w:rsid w:val="00605E4A"/>
    <w:rsid w:val="00620438"/>
    <w:rsid w:val="0063028F"/>
    <w:rsid w:val="00634A72"/>
    <w:rsid w:val="00647BCD"/>
    <w:rsid w:val="006578F4"/>
    <w:rsid w:val="00663A94"/>
    <w:rsid w:val="00665B09"/>
    <w:rsid w:val="00677B4A"/>
    <w:rsid w:val="00690FA2"/>
    <w:rsid w:val="006A078B"/>
    <w:rsid w:val="006A3E66"/>
    <w:rsid w:val="006A5342"/>
    <w:rsid w:val="006A7178"/>
    <w:rsid w:val="006B4A38"/>
    <w:rsid w:val="006B5C73"/>
    <w:rsid w:val="006C5C42"/>
    <w:rsid w:val="006D26ED"/>
    <w:rsid w:val="006D6DCF"/>
    <w:rsid w:val="006E07AC"/>
    <w:rsid w:val="006E1790"/>
    <w:rsid w:val="006E1AC9"/>
    <w:rsid w:val="006E777C"/>
    <w:rsid w:val="00714E59"/>
    <w:rsid w:val="00720C8D"/>
    <w:rsid w:val="00726065"/>
    <w:rsid w:val="00727D33"/>
    <w:rsid w:val="007422FD"/>
    <w:rsid w:val="0074383C"/>
    <w:rsid w:val="0074434E"/>
    <w:rsid w:val="00746642"/>
    <w:rsid w:val="00747A44"/>
    <w:rsid w:val="00781601"/>
    <w:rsid w:val="007849FF"/>
    <w:rsid w:val="0078629A"/>
    <w:rsid w:val="007A0BFD"/>
    <w:rsid w:val="007A2C14"/>
    <w:rsid w:val="007A7CAC"/>
    <w:rsid w:val="007B6261"/>
    <w:rsid w:val="007B7959"/>
    <w:rsid w:val="007D04AA"/>
    <w:rsid w:val="007D1951"/>
    <w:rsid w:val="007F2A2C"/>
    <w:rsid w:val="007F6217"/>
    <w:rsid w:val="008020A5"/>
    <w:rsid w:val="008031E2"/>
    <w:rsid w:val="00834CFA"/>
    <w:rsid w:val="00836D0E"/>
    <w:rsid w:val="008410A6"/>
    <w:rsid w:val="00841387"/>
    <w:rsid w:val="00857E15"/>
    <w:rsid w:val="00863F60"/>
    <w:rsid w:val="008641C0"/>
    <w:rsid w:val="008778EF"/>
    <w:rsid w:val="008827FC"/>
    <w:rsid w:val="00882963"/>
    <w:rsid w:val="00885366"/>
    <w:rsid w:val="008B6C45"/>
    <w:rsid w:val="008B7095"/>
    <w:rsid w:val="008C6ADB"/>
    <w:rsid w:val="008D2E61"/>
    <w:rsid w:val="008F5C32"/>
    <w:rsid w:val="00902F25"/>
    <w:rsid w:val="00904D5F"/>
    <w:rsid w:val="0090787B"/>
    <w:rsid w:val="0091529B"/>
    <w:rsid w:val="00931474"/>
    <w:rsid w:val="00933EB5"/>
    <w:rsid w:val="009379C4"/>
    <w:rsid w:val="00940902"/>
    <w:rsid w:val="00947F21"/>
    <w:rsid w:val="00952A54"/>
    <w:rsid w:val="00954366"/>
    <w:rsid w:val="0096076D"/>
    <w:rsid w:val="009616AC"/>
    <w:rsid w:val="00964802"/>
    <w:rsid w:val="00966C87"/>
    <w:rsid w:val="0097346C"/>
    <w:rsid w:val="009776D5"/>
    <w:rsid w:val="00997631"/>
    <w:rsid w:val="009B68C6"/>
    <w:rsid w:val="009B70D2"/>
    <w:rsid w:val="009C6061"/>
    <w:rsid w:val="009C7DA6"/>
    <w:rsid w:val="009D0B0C"/>
    <w:rsid w:val="009D42D7"/>
    <w:rsid w:val="009E5688"/>
    <w:rsid w:val="00A05862"/>
    <w:rsid w:val="00A16FCF"/>
    <w:rsid w:val="00A320E8"/>
    <w:rsid w:val="00A340E2"/>
    <w:rsid w:val="00A346E4"/>
    <w:rsid w:val="00A36366"/>
    <w:rsid w:val="00A368A8"/>
    <w:rsid w:val="00A377A9"/>
    <w:rsid w:val="00A43703"/>
    <w:rsid w:val="00A662BA"/>
    <w:rsid w:val="00A769F6"/>
    <w:rsid w:val="00A77BA6"/>
    <w:rsid w:val="00A924B7"/>
    <w:rsid w:val="00A93530"/>
    <w:rsid w:val="00AA3C2D"/>
    <w:rsid w:val="00AB0884"/>
    <w:rsid w:val="00AB7153"/>
    <w:rsid w:val="00AD03FE"/>
    <w:rsid w:val="00AD16D5"/>
    <w:rsid w:val="00AD5D83"/>
    <w:rsid w:val="00AF1440"/>
    <w:rsid w:val="00AF290A"/>
    <w:rsid w:val="00AF64B9"/>
    <w:rsid w:val="00AF728F"/>
    <w:rsid w:val="00B04FCA"/>
    <w:rsid w:val="00B0517C"/>
    <w:rsid w:val="00B05AA2"/>
    <w:rsid w:val="00B10450"/>
    <w:rsid w:val="00B15D89"/>
    <w:rsid w:val="00B25D8B"/>
    <w:rsid w:val="00B33B48"/>
    <w:rsid w:val="00B33CE6"/>
    <w:rsid w:val="00B404BE"/>
    <w:rsid w:val="00B42245"/>
    <w:rsid w:val="00B445C9"/>
    <w:rsid w:val="00B46BDF"/>
    <w:rsid w:val="00B7784C"/>
    <w:rsid w:val="00B865E0"/>
    <w:rsid w:val="00B948B7"/>
    <w:rsid w:val="00BA32E2"/>
    <w:rsid w:val="00BA70D8"/>
    <w:rsid w:val="00BC2C9E"/>
    <w:rsid w:val="00BD1789"/>
    <w:rsid w:val="00BE0FB2"/>
    <w:rsid w:val="00BE5602"/>
    <w:rsid w:val="00BE5F14"/>
    <w:rsid w:val="00C23E76"/>
    <w:rsid w:val="00C42DE1"/>
    <w:rsid w:val="00C469E7"/>
    <w:rsid w:val="00C62480"/>
    <w:rsid w:val="00C85125"/>
    <w:rsid w:val="00C92F97"/>
    <w:rsid w:val="00CA733C"/>
    <w:rsid w:val="00CB5132"/>
    <w:rsid w:val="00CC3BEC"/>
    <w:rsid w:val="00CD15F2"/>
    <w:rsid w:val="00CD3E86"/>
    <w:rsid w:val="00CF5852"/>
    <w:rsid w:val="00D05978"/>
    <w:rsid w:val="00D06263"/>
    <w:rsid w:val="00D1557D"/>
    <w:rsid w:val="00D17347"/>
    <w:rsid w:val="00D24366"/>
    <w:rsid w:val="00D52A43"/>
    <w:rsid w:val="00D53435"/>
    <w:rsid w:val="00D61CDD"/>
    <w:rsid w:val="00D629FE"/>
    <w:rsid w:val="00D72B0C"/>
    <w:rsid w:val="00D7445A"/>
    <w:rsid w:val="00D819B6"/>
    <w:rsid w:val="00D86AB1"/>
    <w:rsid w:val="00D91DE3"/>
    <w:rsid w:val="00DC060F"/>
    <w:rsid w:val="00DC7DD5"/>
    <w:rsid w:val="00DD5657"/>
    <w:rsid w:val="00DD7A70"/>
    <w:rsid w:val="00DE56AF"/>
    <w:rsid w:val="00DF2905"/>
    <w:rsid w:val="00DF2AF9"/>
    <w:rsid w:val="00DF6614"/>
    <w:rsid w:val="00E074F7"/>
    <w:rsid w:val="00E100E8"/>
    <w:rsid w:val="00E11222"/>
    <w:rsid w:val="00E12B41"/>
    <w:rsid w:val="00E13612"/>
    <w:rsid w:val="00E13A1D"/>
    <w:rsid w:val="00E4054F"/>
    <w:rsid w:val="00E42BA4"/>
    <w:rsid w:val="00E43600"/>
    <w:rsid w:val="00E71267"/>
    <w:rsid w:val="00E71300"/>
    <w:rsid w:val="00E848F1"/>
    <w:rsid w:val="00E87B33"/>
    <w:rsid w:val="00E97A57"/>
    <w:rsid w:val="00EA143F"/>
    <w:rsid w:val="00EA15AE"/>
    <w:rsid w:val="00EB2195"/>
    <w:rsid w:val="00EB27A1"/>
    <w:rsid w:val="00EC5236"/>
    <w:rsid w:val="00EE1FF3"/>
    <w:rsid w:val="00EE5E94"/>
    <w:rsid w:val="00EF4DCF"/>
    <w:rsid w:val="00F0428A"/>
    <w:rsid w:val="00F16392"/>
    <w:rsid w:val="00F34446"/>
    <w:rsid w:val="00F44594"/>
    <w:rsid w:val="00F44629"/>
    <w:rsid w:val="00F44B50"/>
    <w:rsid w:val="00F64012"/>
    <w:rsid w:val="00F673EE"/>
    <w:rsid w:val="00F72B99"/>
    <w:rsid w:val="00F876A4"/>
    <w:rsid w:val="00F93624"/>
    <w:rsid w:val="00FA00FC"/>
    <w:rsid w:val="00FA1730"/>
    <w:rsid w:val="00FA7CCE"/>
    <w:rsid w:val="00FB3203"/>
    <w:rsid w:val="00FB569A"/>
    <w:rsid w:val="00FB7784"/>
    <w:rsid w:val="00FC0982"/>
    <w:rsid w:val="00FC1C11"/>
    <w:rsid w:val="00FE7E76"/>
    <w:rsid w:val="00FF6D57"/>
    <w:rsid w:val="00FF7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3530"/>
    <w:pPr>
      <w:spacing w:line="260" w:lineRule="atLeast"/>
    </w:pPr>
    <w:rPr>
      <w:rFonts w:eastAsiaTheme="minorHAnsi" w:cstheme="minorBidi"/>
      <w:sz w:val="22"/>
      <w:lang w:eastAsia="en-US"/>
    </w:rPr>
  </w:style>
  <w:style w:type="paragraph" w:styleId="Heading1">
    <w:name w:val="heading 1"/>
    <w:next w:val="Heading2"/>
    <w:autoRedefine/>
    <w:qFormat/>
    <w:rsid w:val="005537B5"/>
    <w:pPr>
      <w:keepNext/>
      <w:keepLines/>
      <w:ind w:left="1134" w:hanging="1134"/>
      <w:outlineLvl w:val="0"/>
    </w:pPr>
    <w:rPr>
      <w:b/>
      <w:bCs/>
      <w:kern w:val="28"/>
      <w:sz w:val="36"/>
      <w:szCs w:val="32"/>
    </w:rPr>
  </w:style>
  <w:style w:type="paragraph" w:styleId="Heading2">
    <w:name w:val="heading 2"/>
    <w:basedOn w:val="Heading1"/>
    <w:next w:val="Heading3"/>
    <w:autoRedefine/>
    <w:qFormat/>
    <w:rsid w:val="005537B5"/>
    <w:pPr>
      <w:spacing w:before="280"/>
      <w:outlineLvl w:val="1"/>
    </w:pPr>
    <w:rPr>
      <w:bCs w:val="0"/>
      <w:iCs/>
      <w:sz w:val="32"/>
      <w:szCs w:val="28"/>
    </w:rPr>
  </w:style>
  <w:style w:type="paragraph" w:styleId="Heading3">
    <w:name w:val="heading 3"/>
    <w:basedOn w:val="Heading1"/>
    <w:next w:val="Heading4"/>
    <w:autoRedefine/>
    <w:qFormat/>
    <w:rsid w:val="005537B5"/>
    <w:pPr>
      <w:spacing w:before="240"/>
      <w:outlineLvl w:val="2"/>
    </w:pPr>
    <w:rPr>
      <w:bCs w:val="0"/>
      <w:sz w:val="28"/>
      <w:szCs w:val="26"/>
    </w:rPr>
  </w:style>
  <w:style w:type="paragraph" w:styleId="Heading4">
    <w:name w:val="heading 4"/>
    <w:basedOn w:val="Heading1"/>
    <w:next w:val="Heading5"/>
    <w:autoRedefine/>
    <w:qFormat/>
    <w:rsid w:val="005537B5"/>
    <w:pPr>
      <w:spacing w:before="220"/>
      <w:outlineLvl w:val="3"/>
    </w:pPr>
    <w:rPr>
      <w:bCs w:val="0"/>
      <w:sz w:val="26"/>
      <w:szCs w:val="28"/>
    </w:rPr>
  </w:style>
  <w:style w:type="paragraph" w:styleId="Heading5">
    <w:name w:val="heading 5"/>
    <w:basedOn w:val="Heading1"/>
    <w:next w:val="subsection"/>
    <w:autoRedefine/>
    <w:qFormat/>
    <w:rsid w:val="005537B5"/>
    <w:pPr>
      <w:spacing w:before="280"/>
      <w:outlineLvl w:val="4"/>
    </w:pPr>
    <w:rPr>
      <w:bCs w:val="0"/>
      <w:iCs/>
      <w:sz w:val="24"/>
      <w:szCs w:val="26"/>
    </w:rPr>
  </w:style>
  <w:style w:type="paragraph" w:styleId="Heading6">
    <w:name w:val="heading 6"/>
    <w:basedOn w:val="Heading1"/>
    <w:next w:val="Heading7"/>
    <w:autoRedefine/>
    <w:qFormat/>
    <w:rsid w:val="005537B5"/>
    <w:pPr>
      <w:outlineLvl w:val="5"/>
    </w:pPr>
    <w:rPr>
      <w:rFonts w:ascii="Arial" w:hAnsi="Arial" w:cs="Arial"/>
      <w:bCs w:val="0"/>
      <w:sz w:val="32"/>
      <w:szCs w:val="22"/>
    </w:rPr>
  </w:style>
  <w:style w:type="paragraph" w:styleId="Heading7">
    <w:name w:val="heading 7"/>
    <w:basedOn w:val="Heading6"/>
    <w:next w:val="Normal"/>
    <w:autoRedefine/>
    <w:qFormat/>
    <w:rsid w:val="005537B5"/>
    <w:pPr>
      <w:spacing w:before="280"/>
      <w:outlineLvl w:val="6"/>
    </w:pPr>
    <w:rPr>
      <w:sz w:val="28"/>
    </w:rPr>
  </w:style>
  <w:style w:type="paragraph" w:styleId="Heading8">
    <w:name w:val="heading 8"/>
    <w:basedOn w:val="Heading6"/>
    <w:next w:val="Normal"/>
    <w:autoRedefine/>
    <w:qFormat/>
    <w:rsid w:val="005537B5"/>
    <w:pPr>
      <w:spacing w:before="240"/>
      <w:outlineLvl w:val="7"/>
    </w:pPr>
    <w:rPr>
      <w:iCs/>
      <w:sz w:val="26"/>
    </w:rPr>
  </w:style>
  <w:style w:type="paragraph" w:styleId="Heading9">
    <w:name w:val="heading 9"/>
    <w:basedOn w:val="Heading1"/>
    <w:next w:val="Normal"/>
    <w:autoRedefine/>
    <w:qFormat/>
    <w:rsid w:val="005537B5"/>
    <w:pPr>
      <w:keepNext w:val="0"/>
      <w:spacing w:before="280"/>
      <w:outlineLvl w:val="8"/>
    </w:pPr>
    <w:rPr>
      <w:i/>
      <w:sz w:val="28"/>
      <w:szCs w:val="22"/>
    </w:rPr>
  </w:style>
  <w:style w:type="character" w:default="1" w:styleId="DefaultParagraphFont">
    <w:name w:val="Default Paragraph Font"/>
    <w:uiPriority w:val="1"/>
    <w:unhideWhenUsed/>
    <w:rsid w:val="00A935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3530"/>
  </w:style>
  <w:style w:type="numbering" w:styleId="111111">
    <w:name w:val="Outline List 2"/>
    <w:basedOn w:val="NoList"/>
    <w:rsid w:val="005537B5"/>
    <w:pPr>
      <w:numPr>
        <w:numId w:val="1"/>
      </w:numPr>
    </w:pPr>
  </w:style>
  <w:style w:type="numbering" w:styleId="1ai">
    <w:name w:val="Outline List 1"/>
    <w:basedOn w:val="NoList"/>
    <w:rsid w:val="005537B5"/>
    <w:pPr>
      <w:numPr>
        <w:numId w:val="4"/>
      </w:numPr>
    </w:pPr>
  </w:style>
  <w:style w:type="paragraph" w:customStyle="1" w:styleId="ActHead1">
    <w:name w:val="ActHead 1"/>
    <w:aliases w:val="c"/>
    <w:basedOn w:val="OPCParaBase"/>
    <w:next w:val="Normal"/>
    <w:qFormat/>
    <w:rsid w:val="00A9353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9353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9353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9353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9353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9353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9353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9353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93530"/>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A9353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A93530"/>
  </w:style>
  <w:style w:type="character" w:customStyle="1" w:styleId="SOTextChar">
    <w:name w:val="SO Text Char"/>
    <w:aliases w:val="sot Char"/>
    <w:basedOn w:val="DefaultParagraphFont"/>
    <w:link w:val="SOText"/>
    <w:rsid w:val="00A93530"/>
    <w:rPr>
      <w:rFonts w:eastAsiaTheme="minorHAnsi" w:cstheme="minorBidi"/>
      <w:sz w:val="22"/>
      <w:lang w:eastAsia="en-US"/>
    </w:rPr>
  </w:style>
  <w:style w:type="paragraph" w:customStyle="1" w:styleId="SOTextNote">
    <w:name w:val="SO TextNote"/>
    <w:aliases w:val="sont"/>
    <w:basedOn w:val="SOText"/>
    <w:qFormat/>
    <w:rsid w:val="00A93530"/>
    <w:pPr>
      <w:spacing w:before="122" w:line="198" w:lineRule="exact"/>
      <w:ind w:left="1843" w:hanging="709"/>
    </w:pPr>
    <w:rPr>
      <w:sz w:val="18"/>
    </w:rPr>
  </w:style>
  <w:style w:type="paragraph" w:customStyle="1" w:styleId="SOPara">
    <w:name w:val="SO Para"/>
    <w:aliases w:val="soa"/>
    <w:basedOn w:val="SOText"/>
    <w:link w:val="SOParaChar"/>
    <w:qFormat/>
    <w:rsid w:val="00A93530"/>
    <w:pPr>
      <w:tabs>
        <w:tab w:val="right" w:pos="1786"/>
      </w:tabs>
      <w:spacing w:before="40"/>
      <w:ind w:left="2070" w:hanging="936"/>
    </w:pPr>
  </w:style>
  <w:style w:type="character" w:customStyle="1" w:styleId="SOParaChar">
    <w:name w:val="SO Para Char"/>
    <w:aliases w:val="soa Char"/>
    <w:basedOn w:val="DefaultParagraphFont"/>
    <w:link w:val="SOPara"/>
    <w:rsid w:val="00A93530"/>
    <w:rPr>
      <w:rFonts w:eastAsiaTheme="minorHAnsi" w:cstheme="minorBidi"/>
      <w:sz w:val="22"/>
      <w:lang w:eastAsia="en-US"/>
    </w:rPr>
  </w:style>
  <w:style w:type="paragraph" w:customStyle="1" w:styleId="FileName">
    <w:name w:val="FileName"/>
    <w:basedOn w:val="Normal"/>
    <w:rsid w:val="00A93530"/>
  </w:style>
  <w:style w:type="paragraph" w:customStyle="1" w:styleId="SOHeadBold">
    <w:name w:val="SO HeadBold"/>
    <w:aliases w:val="sohb"/>
    <w:basedOn w:val="SOText"/>
    <w:next w:val="SOText"/>
    <w:link w:val="SOHeadBoldChar"/>
    <w:qFormat/>
    <w:rsid w:val="00A93530"/>
    <w:rPr>
      <w:b/>
    </w:rPr>
  </w:style>
  <w:style w:type="numbering" w:styleId="ArticleSection">
    <w:name w:val="Outline List 3"/>
    <w:basedOn w:val="NoList"/>
    <w:rsid w:val="005537B5"/>
    <w:pPr>
      <w:numPr>
        <w:numId w:val="5"/>
      </w:numPr>
    </w:pPr>
  </w:style>
  <w:style w:type="character" w:customStyle="1" w:styleId="SOHeadBoldChar">
    <w:name w:val="SO HeadBold Char"/>
    <w:aliases w:val="sohb Char"/>
    <w:basedOn w:val="DefaultParagraphFont"/>
    <w:link w:val="SOHeadBold"/>
    <w:rsid w:val="00A9353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93530"/>
    <w:rPr>
      <w:i/>
    </w:rPr>
  </w:style>
  <w:style w:type="paragraph" w:styleId="BalloonText">
    <w:name w:val="Balloon Text"/>
    <w:basedOn w:val="Normal"/>
    <w:link w:val="BalloonTextChar"/>
    <w:uiPriority w:val="99"/>
    <w:unhideWhenUsed/>
    <w:rsid w:val="00A93530"/>
    <w:pPr>
      <w:spacing w:line="240" w:lineRule="auto"/>
    </w:pPr>
    <w:rPr>
      <w:rFonts w:ascii="Tahoma" w:hAnsi="Tahoma" w:cs="Tahoma"/>
      <w:sz w:val="16"/>
      <w:szCs w:val="16"/>
    </w:rPr>
  </w:style>
  <w:style w:type="paragraph" w:styleId="BlockText">
    <w:name w:val="Block Text"/>
    <w:rsid w:val="005537B5"/>
    <w:pPr>
      <w:spacing w:after="120"/>
      <w:ind w:left="1440" w:right="1440"/>
    </w:pPr>
    <w:rPr>
      <w:sz w:val="22"/>
      <w:szCs w:val="24"/>
    </w:rPr>
  </w:style>
  <w:style w:type="paragraph" w:customStyle="1" w:styleId="Blocks">
    <w:name w:val="Blocks"/>
    <w:aliases w:val="bb"/>
    <w:basedOn w:val="OPCParaBase"/>
    <w:qFormat/>
    <w:rsid w:val="00A93530"/>
    <w:pPr>
      <w:spacing w:line="240" w:lineRule="auto"/>
    </w:pPr>
    <w:rPr>
      <w:sz w:val="24"/>
    </w:rPr>
  </w:style>
  <w:style w:type="paragraph" w:styleId="BodyText">
    <w:name w:val="Body Text"/>
    <w:rsid w:val="005537B5"/>
    <w:pPr>
      <w:spacing w:after="120"/>
    </w:pPr>
    <w:rPr>
      <w:sz w:val="22"/>
      <w:szCs w:val="24"/>
    </w:rPr>
  </w:style>
  <w:style w:type="paragraph" w:styleId="BodyText2">
    <w:name w:val="Body Text 2"/>
    <w:rsid w:val="005537B5"/>
    <w:pPr>
      <w:spacing w:after="120" w:line="480" w:lineRule="auto"/>
    </w:pPr>
    <w:rPr>
      <w:sz w:val="22"/>
      <w:szCs w:val="24"/>
    </w:rPr>
  </w:style>
  <w:style w:type="paragraph" w:styleId="BodyText3">
    <w:name w:val="Body Text 3"/>
    <w:rsid w:val="005537B5"/>
    <w:pPr>
      <w:spacing w:after="120"/>
    </w:pPr>
    <w:rPr>
      <w:sz w:val="16"/>
      <w:szCs w:val="16"/>
    </w:rPr>
  </w:style>
  <w:style w:type="paragraph" w:styleId="BodyTextFirstIndent">
    <w:name w:val="Body Text First Indent"/>
    <w:basedOn w:val="BodyText"/>
    <w:rsid w:val="005537B5"/>
    <w:pPr>
      <w:ind w:firstLine="210"/>
    </w:pPr>
  </w:style>
  <w:style w:type="paragraph" w:styleId="BodyTextIndent">
    <w:name w:val="Body Text Indent"/>
    <w:rsid w:val="005537B5"/>
    <w:pPr>
      <w:spacing w:after="120"/>
      <w:ind w:left="283"/>
    </w:pPr>
    <w:rPr>
      <w:sz w:val="22"/>
      <w:szCs w:val="24"/>
    </w:rPr>
  </w:style>
  <w:style w:type="paragraph" w:styleId="BodyTextFirstIndent2">
    <w:name w:val="Body Text First Indent 2"/>
    <w:basedOn w:val="BodyTextIndent"/>
    <w:rsid w:val="005537B5"/>
    <w:pPr>
      <w:ind w:firstLine="210"/>
    </w:pPr>
  </w:style>
  <w:style w:type="paragraph" w:styleId="BodyTextIndent2">
    <w:name w:val="Body Text Indent 2"/>
    <w:rsid w:val="005537B5"/>
    <w:pPr>
      <w:spacing w:after="120" w:line="480" w:lineRule="auto"/>
      <w:ind w:left="283"/>
    </w:pPr>
    <w:rPr>
      <w:sz w:val="22"/>
      <w:szCs w:val="24"/>
    </w:rPr>
  </w:style>
  <w:style w:type="paragraph" w:styleId="BodyTextIndent3">
    <w:name w:val="Body Text Indent 3"/>
    <w:rsid w:val="005537B5"/>
    <w:pPr>
      <w:spacing w:after="120"/>
      <w:ind w:left="283"/>
    </w:pPr>
    <w:rPr>
      <w:sz w:val="16"/>
      <w:szCs w:val="16"/>
    </w:rPr>
  </w:style>
  <w:style w:type="character" w:customStyle="1" w:styleId="SOHeadItalicChar">
    <w:name w:val="SO HeadItalic Char"/>
    <w:aliases w:val="sohi Char"/>
    <w:basedOn w:val="DefaultParagraphFont"/>
    <w:link w:val="SOHeadItalic"/>
    <w:rsid w:val="00A93530"/>
    <w:rPr>
      <w:rFonts w:eastAsiaTheme="minorHAnsi" w:cstheme="minorBidi"/>
      <w:i/>
      <w:sz w:val="22"/>
      <w:lang w:eastAsia="en-US"/>
    </w:rPr>
  </w:style>
  <w:style w:type="paragraph" w:customStyle="1" w:styleId="BoxText">
    <w:name w:val="BoxText"/>
    <w:aliases w:val="bt"/>
    <w:basedOn w:val="OPCParaBase"/>
    <w:qFormat/>
    <w:rsid w:val="00A9353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93530"/>
    <w:rPr>
      <w:b/>
    </w:rPr>
  </w:style>
  <w:style w:type="paragraph" w:customStyle="1" w:styleId="BoxHeadItalic">
    <w:name w:val="BoxHeadItalic"/>
    <w:aliases w:val="bhi"/>
    <w:basedOn w:val="BoxText"/>
    <w:next w:val="BoxStep"/>
    <w:qFormat/>
    <w:rsid w:val="00A93530"/>
    <w:rPr>
      <w:i/>
    </w:rPr>
  </w:style>
  <w:style w:type="paragraph" w:customStyle="1" w:styleId="BoxList">
    <w:name w:val="BoxList"/>
    <w:aliases w:val="bl"/>
    <w:basedOn w:val="BoxText"/>
    <w:qFormat/>
    <w:rsid w:val="00A93530"/>
    <w:pPr>
      <w:ind w:left="1559" w:hanging="425"/>
    </w:pPr>
  </w:style>
  <w:style w:type="paragraph" w:customStyle="1" w:styleId="BoxNote">
    <w:name w:val="BoxNote"/>
    <w:aliases w:val="bn"/>
    <w:basedOn w:val="BoxText"/>
    <w:qFormat/>
    <w:rsid w:val="00A93530"/>
    <w:pPr>
      <w:tabs>
        <w:tab w:val="left" w:pos="1985"/>
      </w:tabs>
      <w:spacing w:before="122" w:line="198" w:lineRule="exact"/>
      <w:ind w:left="2948" w:hanging="1814"/>
    </w:pPr>
    <w:rPr>
      <w:sz w:val="18"/>
    </w:rPr>
  </w:style>
  <w:style w:type="paragraph" w:customStyle="1" w:styleId="BoxPara">
    <w:name w:val="BoxPara"/>
    <w:aliases w:val="bp"/>
    <w:basedOn w:val="BoxText"/>
    <w:qFormat/>
    <w:rsid w:val="00A93530"/>
    <w:pPr>
      <w:tabs>
        <w:tab w:val="right" w:pos="2268"/>
      </w:tabs>
      <w:ind w:left="2552" w:hanging="1418"/>
    </w:pPr>
  </w:style>
  <w:style w:type="paragraph" w:customStyle="1" w:styleId="BoxStep">
    <w:name w:val="BoxStep"/>
    <w:aliases w:val="bs"/>
    <w:basedOn w:val="BoxText"/>
    <w:qFormat/>
    <w:rsid w:val="00A93530"/>
    <w:pPr>
      <w:ind w:left="1985" w:hanging="851"/>
    </w:pPr>
  </w:style>
  <w:style w:type="paragraph" w:styleId="Caption">
    <w:name w:val="caption"/>
    <w:next w:val="Normal"/>
    <w:qFormat/>
    <w:rsid w:val="005537B5"/>
    <w:pPr>
      <w:spacing w:before="120" w:after="120"/>
    </w:pPr>
    <w:rPr>
      <w:b/>
      <w:bCs/>
    </w:rPr>
  </w:style>
  <w:style w:type="character" w:customStyle="1" w:styleId="CharAmPartNo">
    <w:name w:val="CharAmPartNo"/>
    <w:basedOn w:val="OPCCharBase"/>
    <w:uiPriority w:val="1"/>
    <w:qFormat/>
    <w:rsid w:val="00A93530"/>
  </w:style>
  <w:style w:type="character" w:customStyle="1" w:styleId="CharAmPartText">
    <w:name w:val="CharAmPartText"/>
    <w:basedOn w:val="OPCCharBase"/>
    <w:uiPriority w:val="1"/>
    <w:qFormat/>
    <w:rsid w:val="00A93530"/>
  </w:style>
  <w:style w:type="character" w:customStyle="1" w:styleId="CharAmSchNo">
    <w:name w:val="CharAmSchNo"/>
    <w:basedOn w:val="OPCCharBase"/>
    <w:uiPriority w:val="1"/>
    <w:qFormat/>
    <w:rsid w:val="00A93530"/>
  </w:style>
  <w:style w:type="character" w:customStyle="1" w:styleId="CharAmSchText">
    <w:name w:val="CharAmSchText"/>
    <w:basedOn w:val="OPCCharBase"/>
    <w:uiPriority w:val="1"/>
    <w:qFormat/>
    <w:rsid w:val="00A93530"/>
  </w:style>
  <w:style w:type="character" w:customStyle="1" w:styleId="CharBoldItalic">
    <w:name w:val="CharBoldItalic"/>
    <w:basedOn w:val="OPCCharBase"/>
    <w:uiPriority w:val="1"/>
    <w:qFormat/>
    <w:rsid w:val="00A93530"/>
    <w:rPr>
      <w:b/>
      <w:i/>
    </w:rPr>
  </w:style>
  <w:style w:type="character" w:customStyle="1" w:styleId="CharChapNo">
    <w:name w:val="CharChapNo"/>
    <w:basedOn w:val="OPCCharBase"/>
    <w:qFormat/>
    <w:rsid w:val="00A93530"/>
  </w:style>
  <w:style w:type="character" w:customStyle="1" w:styleId="CharChapText">
    <w:name w:val="CharChapText"/>
    <w:basedOn w:val="OPCCharBase"/>
    <w:qFormat/>
    <w:rsid w:val="00A93530"/>
  </w:style>
  <w:style w:type="character" w:customStyle="1" w:styleId="CharDivNo">
    <w:name w:val="CharDivNo"/>
    <w:basedOn w:val="OPCCharBase"/>
    <w:qFormat/>
    <w:rsid w:val="00A93530"/>
  </w:style>
  <w:style w:type="character" w:customStyle="1" w:styleId="CharDivText">
    <w:name w:val="CharDivText"/>
    <w:basedOn w:val="OPCCharBase"/>
    <w:qFormat/>
    <w:rsid w:val="00A93530"/>
  </w:style>
  <w:style w:type="character" w:customStyle="1" w:styleId="CharItalic">
    <w:name w:val="CharItalic"/>
    <w:basedOn w:val="OPCCharBase"/>
    <w:uiPriority w:val="1"/>
    <w:qFormat/>
    <w:rsid w:val="00A93530"/>
    <w:rPr>
      <w:i/>
    </w:rPr>
  </w:style>
  <w:style w:type="character" w:customStyle="1" w:styleId="CharNotesItals">
    <w:name w:val="CharNotesItals"/>
    <w:rsid w:val="005537B5"/>
    <w:rPr>
      <w:i/>
    </w:rPr>
  </w:style>
  <w:style w:type="paragraph" w:customStyle="1" w:styleId="SOBullet">
    <w:name w:val="SO Bullet"/>
    <w:aliases w:val="sotb"/>
    <w:basedOn w:val="SOText"/>
    <w:link w:val="SOBulletChar"/>
    <w:qFormat/>
    <w:rsid w:val="00A93530"/>
    <w:pPr>
      <w:ind w:left="1559" w:hanging="425"/>
    </w:pPr>
  </w:style>
  <w:style w:type="character" w:customStyle="1" w:styleId="CharPartNo">
    <w:name w:val="CharPartNo"/>
    <w:basedOn w:val="OPCCharBase"/>
    <w:qFormat/>
    <w:rsid w:val="00A93530"/>
  </w:style>
  <w:style w:type="character" w:customStyle="1" w:styleId="CharPartText">
    <w:name w:val="CharPartText"/>
    <w:basedOn w:val="OPCCharBase"/>
    <w:qFormat/>
    <w:rsid w:val="00A93530"/>
  </w:style>
  <w:style w:type="character" w:customStyle="1" w:styleId="CharSectno">
    <w:name w:val="CharSectno"/>
    <w:basedOn w:val="OPCCharBase"/>
    <w:qFormat/>
    <w:rsid w:val="00A93530"/>
  </w:style>
  <w:style w:type="character" w:customStyle="1" w:styleId="CharSubdNo">
    <w:name w:val="CharSubdNo"/>
    <w:basedOn w:val="OPCCharBase"/>
    <w:uiPriority w:val="1"/>
    <w:qFormat/>
    <w:rsid w:val="00A93530"/>
  </w:style>
  <w:style w:type="character" w:customStyle="1" w:styleId="CharSubdText">
    <w:name w:val="CharSubdText"/>
    <w:basedOn w:val="OPCCharBase"/>
    <w:uiPriority w:val="1"/>
    <w:qFormat/>
    <w:rsid w:val="00A93530"/>
  </w:style>
  <w:style w:type="paragraph" w:styleId="Closing">
    <w:name w:val="Closing"/>
    <w:rsid w:val="005537B5"/>
    <w:pPr>
      <w:ind w:left="4252"/>
    </w:pPr>
    <w:rPr>
      <w:sz w:val="22"/>
      <w:szCs w:val="24"/>
    </w:rPr>
  </w:style>
  <w:style w:type="character" w:styleId="CommentReference">
    <w:name w:val="annotation reference"/>
    <w:rsid w:val="005537B5"/>
    <w:rPr>
      <w:sz w:val="16"/>
      <w:szCs w:val="16"/>
    </w:rPr>
  </w:style>
  <w:style w:type="paragraph" w:styleId="CommentText">
    <w:name w:val="annotation text"/>
    <w:rsid w:val="005537B5"/>
  </w:style>
  <w:style w:type="paragraph" w:styleId="CommentSubject">
    <w:name w:val="annotation subject"/>
    <w:next w:val="CommentText"/>
    <w:rsid w:val="005537B5"/>
    <w:rPr>
      <w:b/>
      <w:bCs/>
      <w:szCs w:val="24"/>
    </w:rPr>
  </w:style>
  <w:style w:type="character" w:customStyle="1" w:styleId="SOBulletChar">
    <w:name w:val="SO Bullet Char"/>
    <w:aliases w:val="sotb Char"/>
    <w:basedOn w:val="DefaultParagraphFont"/>
    <w:link w:val="SOBullet"/>
    <w:rsid w:val="00A93530"/>
    <w:rPr>
      <w:rFonts w:eastAsiaTheme="minorHAnsi" w:cstheme="minorBidi"/>
      <w:sz w:val="22"/>
      <w:lang w:eastAsia="en-US"/>
    </w:rPr>
  </w:style>
  <w:style w:type="paragraph" w:customStyle="1" w:styleId="SOBulletNote">
    <w:name w:val="SO BulletNote"/>
    <w:aliases w:val="sonb"/>
    <w:basedOn w:val="SOTextNote"/>
    <w:link w:val="SOBulletNoteChar"/>
    <w:qFormat/>
    <w:rsid w:val="00A93530"/>
    <w:pPr>
      <w:tabs>
        <w:tab w:val="left" w:pos="1560"/>
      </w:tabs>
      <w:ind w:left="2268" w:hanging="1134"/>
    </w:pPr>
  </w:style>
  <w:style w:type="character" w:customStyle="1" w:styleId="SOBulletNoteChar">
    <w:name w:val="SO BulletNote Char"/>
    <w:aliases w:val="sonb Char"/>
    <w:basedOn w:val="DefaultParagraphFont"/>
    <w:link w:val="SOBulletNote"/>
    <w:rsid w:val="00A93530"/>
    <w:rPr>
      <w:rFonts w:eastAsiaTheme="minorHAnsi" w:cstheme="minorBidi"/>
      <w:sz w:val="18"/>
      <w:lang w:eastAsia="en-US"/>
    </w:rPr>
  </w:style>
  <w:style w:type="paragraph" w:customStyle="1" w:styleId="notetext">
    <w:name w:val="note(text)"/>
    <w:aliases w:val="n"/>
    <w:basedOn w:val="OPCParaBase"/>
    <w:rsid w:val="00A93530"/>
    <w:pPr>
      <w:spacing w:before="122" w:line="240" w:lineRule="auto"/>
      <w:ind w:left="1985" w:hanging="851"/>
    </w:pPr>
    <w:rPr>
      <w:sz w:val="18"/>
    </w:rPr>
  </w:style>
  <w:style w:type="paragraph" w:customStyle="1" w:styleId="notemargin">
    <w:name w:val="note(margin)"/>
    <w:aliases w:val="nm"/>
    <w:basedOn w:val="OPCParaBase"/>
    <w:rsid w:val="00A93530"/>
    <w:pPr>
      <w:tabs>
        <w:tab w:val="left" w:pos="709"/>
      </w:tabs>
      <w:spacing w:before="122" w:line="198" w:lineRule="exact"/>
      <w:ind w:left="709" w:hanging="709"/>
    </w:pPr>
    <w:rPr>
      <w:sz w:val="18"/>
    </w:rPr>
  </w:style>
  <w:style w:type="paragraph" w:customStyle="1" w:styleId="CTA-">
    <w:name w:val="CTA -"/>
    <w:basedOn w:val="OPCParaBase"/>
    <w:rsid w:val="00A93530"/>
    <w:pPr>
      <w:spacing w:before="60" w:line="240" w:lineRule="atLeast"/>
      <w:ind w:left="85" w:hanging="85"/>
    </w:pPr>
    <w:rPr>
      <w:sz w:val="20"/>
    </w:rPr>
  </w:style>
  <w:style w:type="paragraph" w:customStyle="1" w:styleId="CTA--">
    <w:name w:val="CTA --"/>
    <w:basedOn w:val="OPCParaBase"/>
    <w:next w:val="Normal"/>
    <w:rsid w:val="00A93530"/>
    <w:pPr>
      <w:spacing w:before="60" w:line="240" w:lineRule="atLeast"/>
      <w:ind w:left="142" w:hanging="142"/>
    </w:pPr>
    <w:rPr>
      <w:sz w:val="20"/>
    </w:rPr>
  </w:style>
  <w:style w:type="paragraph" w:customStyle="1" w:styleId="CTA---">
    <w:name w:val="CTA ---"/>
    <w:basedOn w:val="OPCParaBase"/>
    <w:next w:val="Normal"/>
    <w:rsid w:val="00A93530"/>
    <w:pPr>
      <w:spacing w:before="60" w:line="240" w:lineRule="atLeast"/>
      <w:ind w:left="198" w:hanging="198"/>
    </w:pPr>
    <w:rPr>
      <w:sz w:val="20"/>
    </w:rPr>
  </w:style>
  <w:style w:type="paragraph" w:customStyle="1" w:styleId="CTA----">
    <w:name w:val="CTA ----"/>
    <w:basedOn w:val="OPCParaBase"/>
    <w:next w:val="Normal"/>
    <w:rsid w:val="00A93530"/>
    <w:pPr>
      <w:spacing w:before="60" w:line="240" w:lineRule="atLeast"/>
      <w:ind w:left="255" w:hanging="255"/>
    </w:pPr>
    <w:rPr>
      <w:sz w:val="20"/>
    </w:rPr>
  </w:style>
  <w:style w:type="paragraph" w:customStyle="1" w:styleId="CTA1a">
    <w:name w:val="CTA 1(a)"/>
    <w:basedOn w:val="OPCParaBase"/>
    <w:rsid w:val="00A93530"/>
    <w:pPr>
      <w:tabs>
        <w:tab w:val="right" w:pos="414"/>
      </w:tabs>
      <w:spacing w:before="40" w:line="240" w:lineRule="atLeast"/>
      <w:ind w:left="675" w:hanging="675"/>
    </w:pPr>
    <w:rPr>
      <w:sz w:val="20"/>
    </w:rPr>
  </w:style>
  <w:style w:type="paragraph" w:customStyle="1" w:styleId="CTA1ai">
    <w:name w:val="CTA 1(a)(i)"/>
    <w:basedOn w:val="OPCParaBase"/>
    <w:rsid w:val="00A93530"/>
    <w:pPr>
      <w:tabs>
        <w:tab w:val="right" w:pos="1004"/>
      </w:tabs>
      <w:spacing w:before="40" w:line="240" w:lineRule="atLeast"/>
      <w:ind w:left="1253" w:hanging="1253"/>
    </w:pPr>
    <w:rPr>
      <w:sz w:val="20"/>
    </w:rPr>
  </w:style>
  <w:style w:type="paragraph" w:customStyle="1" w:styleId="CTA2a">
    <w:name w:val="CTA 2(a)"/>
    <w:basedOn w:val="OPCParaBase"/>
    <w:rsid w:val="00A93530"/>
    <w:pPr>
      <w:tabs>
        <w:tab w:val="right" w:pos="482"/>
      </w:tabs>
      <w:spacing w:before="40" w:line="240" w:lineRule="atLeast"/>
      <w:ind w:left="748" w:hanging="748"/>
    </w:pPr>
    <w:rPr>
      <w:sz w:val="20"/>
    </w:rPr>
  </w:style>
  <w:style w:type="paragraph" w:customStyle="1" w:styleId="CTA2ai">
    <w:name w:val="CTA 2(a)(i)"/>
    <w:basedOn w:val="OPCParaBase"/>
    <w:rsid w:val="00A93530"/>
    <w:pPr>
      <w:tabs>
        <w:tab w:val="right" w:pos="1089"/>
      </w:tabs>
      <w:spacing w:before="40" w:line="240" w:lineRule="atLeast"/>
      <w:ind w:left="1327" w:hanging="1327"/>
    </w:pPr>
    <w:rPr>
      <w:sz w:val="20"/>
    </w:rPr>
  </w:style>
  <w:style w:type="paragraph" w:customStyle="1" w:styleId="CTA3a">
    <w:name w:val="CTA 3(a)"/>
    <w:basedOn w:val="OPCParaBase"/>
    <w:rsid w:val="00A93530"/>
    <w:pPr>
      <w:tabs>
        <w:tab w:val="right" w:pos="556"/>
      </w:tabs>
      <w:spacing w:before="40" w:line="240" w:lineRule="atLeast"/>
      <w:ind w:left="805" w:hanging="805"/>
    </w:pPr>
    <w:rPr>
      <w:sz w:val="20"/>
    </w:rPr>
  </w:style>
  <w:style w:type="paragraph" w:customStyle="1" w:styleId="CTA3ai">
    <w:name w:val="CTA 3(a)(i)"/>
    <w:basedOn w:val="OPCParaBase"/>
    <w:rsid w:val="00A93530"/>
    <w:pPr>
      <w:tabs>
        <w:tab w:val="right" w:pos="1140"/>
      </w:tabs>
      <w:spacing w:before="40" w:line="240" w:lineRule="atLeast"/>
      <w:ind w:left="1361" w:hanging="1361"/>
    </w:pPr>
    <w:rPr>
      <w:sz w:val="20"/>
    </w:rPr>
  </w:style>
  <w:style w:type="paragraph" w:customStyle="1" w:styleId="CTA4a">
    <w:name w:val="CTA 4(a)"/>
    <w:basedOn w:val="OPCParaBase"/>
    <w:rsid w:val="00A93530"/>
    <w:pPr>
      <w:tabs>
        <w:tab w:val="right" w:pos="624"/>
      </w:tabs>
      <w:spacing w:before="40" w:line="240" w:lineRule="atLeast"/>
      <w:ind w:left="873" w:hanging="873"/>
    </w:pPr>
    <w:rPr>
      <w:sz w:val="20"/>
    </w:rPr>
  </w:style>
  <w:style w:type="paragraph" w:customStyle="1" w:styleId="CTA4ai">
    <w:name w:val="CTA 4(a)(i)"/>
    <w:basedOn w:val="OPCParaBase"/>
    <w:rsid w:val="00A93530"/>
    <w:pPr>
      <w:tabs>
        <w:tab w:val="right" w:pos="1213"/>
      </w:tabs>
      <w:spacing w:before="40" w:line="240" w:lineRule="atLeast"/>
      <w:ind w:left="1452" w:hanging="1452"/>
    </w:pPr>
    <w:rPr>
      <w:sz w:val="20"/>
    </w:rPr>
  </w:style>
  <w:style w:type="paragraph" w:customStyle="1" w:styleId="CTACAPS">
    <w:name w:val="CTA CAPS"/>
    <w:basedOn w:val="OPCParaBase"/>
    <w:rsid w:val="00A93530"/>
    <w:pPr>
      <w:spacing w:before="60" w:line="240" w:lineRule="atLeast"/>
    </w:pPr>
    <w:rPr>
      <w:sz w:val="20"/>
    </w:rPr>
  </w:style>
  <w:style w:type="paragraph" w:customStyle="1" w:styleId="CTAright">
    <w:name w:val="CTA right"/>
    <w:basedOn w:val="OPCParaBase"/>
    <w:rsid w:val="00A93530"/>
    <w:pPr>
      <w:spacing w:before="60" w:line="240" w:lineRule="auto"/>
      <w:jc w:val="right"/>
    </w:pPr>
    <w:rPr>
      <w:sz w:val="20"/>
    </w:rPr>
  </w:style>
  <w:style w:type="paragraph" w:styleId="Date">
    <w:name w:val="Date"/>
    <w:next w:val="Normal"/>
    <w:rsid w:val="005537B5"/>
    <w:rPr>
      <w:sz w:val="22"/>
      <w:szCs w:val="24"/>
    </w:rPr>
  </w:style>
  <w:style w:type="paragraph" w:customStyle="1" w:styleId="subsection">
    <w:name w:val="subsection"/>
    <w:aliases w:val="ss"/>
    <w:basedOn w:val="OPCParaBase"/>
    <w:rsid w:val="00A93530"/>
    <w:pPr>
      <w:tabs>
        <w:tab w:val="right" w:pos="1021"/>
      </w:tabs>
      <w:spacing w:before="180" w:line="240" w:lineRule="auto"/>
      <w:ind w:left="1134" w:hanging="1134"/>
    </w:pPr>
  </w:style>
  <w:style w:type="paragraph" w:customStyle="1" w:styleId="Definition">
    <w:name w:val="Definition"/>
    <w:aliases w:val="dd"/>
    <w:basedOn w:val="OPCParaBase"/>
    <w:rsid w:val="00A93530"/>
    <w:pPr>
      <w:spacing w:before="180" w:line="240" w:lineRule="auto"/>
      <w:ind w:left="1134"/>
    </w:pPr>
  </w:style>
  <w:style w:type="paragraph" w:styleId="DocumentMap">
    <w:name w:val="Document Map"/>
    <w:rsid w:val="005537B5"/>
    <w:pPr>
      <w:shd w:val="clear" w:color="auto" w:fill="000080"/>
    </w:pPr>
    <w:rPr>
      <w:rFonts w:ascii="Tahoma" w:hAnsi="Tahoma" w:cs="Tahoma"/>
      <w:sz w:val="22"/>
      <w:szCs w:val="24"/>
    </w:rPr>
  </w:style>
  <w:style w:type="paragraph" w:styleId="E-mailSignature">
    <w:name w:val="E-mail Signature"/>
    <w:rsid w:val="005537B5"/>
    <w:rPr>
      <w:sz w:val="22"/>
      <w:szCs w:val="24"/>
    </w:rPr>
  </w:style>
  <w:style w:type="character" w:styleId="Emphasis">
    <w:name w:val="Emphasis"/>
    <w:qFormat/>
    <w:rsid w:val="005537B5"/>
    <w:rPr>
      <w:i/>
      <w:iCs/>
    </w:rPr>
  </w:style>
  <w:style w:type="character" w:styleId="EndnoteReference">
    <w:name w:val="endnote reference"/>
    <w:rsid w:val="005537B5"/>
    <w:rPr>
      <w:vertAlign w:val="superscript"/>
    </w:rPr>
  </w:style>
  <w:style w:type="paragraph" w:styleId="EndnoteText">
    <w:name w:val="endnote text"/>
    <w:rsid w:val="005537B5"/>
  </w:style>
  <w:style w:type="paragraph" w:styleId="EnvelopeAddress">
    <w:name w:val="envelope address"/>
    <w:rsid w:val="005537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537B5"/>
    <w:rPr>
      <w:rFonts w:ascii="Arial" w:hAnsi="Arial" w:cs="Arial"/>
    </w:rPr>
  </w:style>
  <w:style w:type="character" w:styleId="FollowedHyperlink">
    <w:name w:val="FollowedHyperlink"/>
    <w:rsid w:val="005537B5"/>
    <w:rPr>
      <w:color w:val="800080"/>
      <w:u w:val="single"/>
    </w:rPr>
  </w:style>
  <w:style w:type="paragraph" w:styleId="Footer">
    <w:name w:val="footer"/>
    <w:link w:val="FooterChar"/>
    <w:rsid w:val="00A93530"/>
    <w:pPr>
      <w:tabs>
        <w:tab w:val="center" w:pos="4153"/>
        <w:tab w:val="right" w:pos="8306"/>
      </w:tabs>
    </w:pPr>
    <w:rPr>
      <w:sz w:val="22"/>
      <w:szCs w:val="24"/>
    </w:rPr>
  </w:style>
  <w:style w:type="character" w:styleId="FootnoteReference">
    <w:name w:val="footnote reference"/>
    <w:rsid w:val="005537B5"/>
    <w:rPr>
      <w:vertAlign w:val="superscript"/>
    </w:rPr>
  </w:style>
  <w:style w:type="paragraph" w:styleId="FootnoteText">
    <w:name w:val="footnote text"/>
    <w:rsid w:val="005537B5"/>
  </w:style>
  <w:style w:type="paragraph" w:customStyle="1" w:styleId="Formula">
    <w:name w:val="Formula"/>
    <w:basedOn w:val="OPCParaBase"/>
    <w:rsid w:val="00A93530"/>
    <w:pPr>
      <w:spacing w:line="240" w:lineRule="auto"/>
      <w:ind w:left="1134"/>
    </w:pPr>
    <w:rPr>
      <w:sz w:val="20"/>
    </w:rPr>
  </w:style>
  <w:style w:type="paragraph" w:styleId="Header">
    <w:name w:val="header"/>
    <w:basedOn w:val="OPCParaBase"/>
    <w:link w:val="HeaderChar"/>
    <w:unhideWhenUsed/>
    <w:rsid w:val="00A93530"/>
    <w:pPr>
      <w:keepNext/>
      <w:keepLines/>
      <w:tabs>
        <w:tab w:val="center" w:pos="4150"/>
        <w:tab w:val="right" w:pos="8307"/>
      </w:tabs>
      <w:spacing w:line="160" w:lineRule="exact"/>
    </w:pPr>
    <w:rPr>
      <w:sz w:val="16"/>
    </w:rPr>
  </w:style>
  <w:style w:type="paragraph" w:customStyle="1" w:styleId="House">
    <w:name w:val="House"/>
    <w:basedOn w:val="OPCParaBase"/>
    <w:rsid w:val="00A93530"/>
    <w:pPr>
      <w:spacing w:line="240" w:lineRule="auto"/>
    </w:pPr>
    <w:rPr>
      <w:sz w:val="28"/>
    </w:rPr>
  </w:style>
  <w:style w:type="character" w:styleId="HTMLAcronym">
    <w:name w:val="HTML Acronym"/>
    <w:basedOn w:val="DefaultParagraphFont"/>
    <w:rsid w:val="005537B5"/>
  </w:style>
  <w:style w:type="paragraph" w:styleId="HTMLAddress">
    <w:name w:val="HTML Address"/>
    <w:rsid w:val="005537B5"/>
    <w:rPr>
      <w:i/>
      <w:iCs/>
      <w:sz w:val="22"/>
      <w:szCs w:val="24"/>
    </w:rPr>
  </w:style>
  <w:style w:type="character" w:styleId="HTMLCite">
    <w:name w:val="HTML Cite"/>
    <w:rsid w:val="005537B5"/>
    <w:rPr>
      <w:i/>
      <w:iCs/>
    </w:rPr>
  </w:style>
  <w:style w:type="character" w:styleId="HTMLCode">
    <w:name w:val="HTML Code"/>
    <w:rsid w:val="005537B5"/>
    <w:rPr>
      <w:rFonts w:ascii="Courier New" w:hAnsi="Courier New" w:cs="Courier New"/>
      <w:sz w:val="20"/>
      <w:szCs w:val="20"/>
    </w:rPr>
  </w:style>
  <w:style w:type="character" w:styleId="HTMLDefinition">
    <w:name w:val="HTML Definition"/>
    <w:rsid w:val="005537B5"/>
    <w:rPr>
      <w:i/>
      <w:iCs/>
    </w:rPr>
  </w:style>
  <w:style w:type="character" w:styleId="HTMLKeyboard">
    <w:name w:val="HTML Keyboard"/>
    <w:rsid w:val="005537B5"/>
    <w:rPr>
      <w:rFonts w:ascii="Courier New" w:hAnsi="Courier New" w:cs="Courier New"/>
      <w:sz w:val="20"/>
      <w:szCs w:val="20"/>
    </w:rPr>
  </w:style>
  <w:style w:type="paragraph" w:styleId="HTMLPreformatted">
    <w:name w:val="HTML Preformatted"/>
    <w:rsid w:val="005537B5"/>
    <w:rPr>
      <w:rFonts w:ascii="Courier New" w:hAnsi="Courier New" w:cs="Courier New"/>
    </w:rPr>
  </w:style>
  <w:style w:type="character" w:styleId="HTMLSample">
    <w:name w:val="HTML Sample"/>
    <w:rsid w:val="005537B5"/>
    <w:rPr>
      <w:rFonts w:ascii="Courier New" w:hAnsi="Courier New" w:cs="Courier New"/>
    </w:rPr>
  </w:style>
  <w:style w:type="character" w:styleId="HTMLTypewriter">
    <w:name w:val="HTML Typewriter"/>
    <w:rsid w:val="005537B5"/>
    <w:rPr>
      <w:rFonts w:ascii="Courier New" w:hAnsi="Courier New" w:cs="Courier New"/>
      <w:sz w:val="20"/>
      <w:szCs w:val="20"/>
    </w:rPr>
  </w:style>
  <w:style w:type="character" w:styleId="HTMLVariable">
    <w:name w:val="HTML Variable"/>
    <w:rsid w:val="005537B5"/>
    <w:rPr>
      <w:i/>
      <w:iCs/>
    </w:rPr>
  </w:style>
  <w:style w:type="character" w:styleId="Hyperlink">
    <w:name w:val="Hyperlink"/>
    <w:rsid w:val="005537B5"/>
    <w:rPr>
      <w:color w:val="0000FF"/>
      <w:u w:val="single"/>
    </w:rPr>
  </w:style>
  <w:style w:type="paragraph" w:styleId="Index1">
    <w:name w:val="index 1"/>
    <w:next w:val="Normal"/>
    <w:rsid w:val="005537B5"/>
    <w:pPr>
      <w:ind w:left="220" w:hanging="220"/>
    </w:pPr>
    <w:rPr>
      <w:sz w:val="22"/>
      <w:szCs w:val="24"/>
    </w:rPr>
  </w:style>
  <w:style w:type="paragraph" w:styleId="Index2">
    <w:name w:val="index 2"/>
    <w:next w:val="Normal"/>
    <w:rsid w:val="005537B5"/>
    <w:pPr>
      <w:ind w:left="440" w:hanging="220"/>
    </w:pPr>
    <w:rPr>
      <w:sz w:val="22"/>
      <w:szCs w:val="24"/>
    </w:rPr>
  </w:style>
  <w:style w:type="paragraph" w:styleId="Index3">
    <w:name w:val="index 3"/>
    <w:next w:val="Normal"/>
    <w:rsid w:val="005537B5"/>
    <w:pPr>
      <w:ind w:left="660" w:hanging="220"/>
    </w:pPr>
    <w:rPr>
      <w:sz w:val="22"/>
      <w:szCs w:val="24"/>
    </w:rPr>
  </w:style>
  <w:style w:type="paragraph" w:styleId="Index4">
    <w:name w:val="index 4"/>
    <w:next w:val="Normal"/>
    <w:rsid w:val="005537B5"/>
    <w:pPr>
      <w:ind w:left="880" w:hanging="220"/>
    </w:pPr>
    <w:rPr>
      <w:sz w:val="22"/>
      <w:szCs w:val="24"/>
    </w:rPr>
  </w:style>
  <w:style w:type="paragraph" w:styleId="Index5">
    <w:name w:val="index 5"/>
    <w:next w:val="Normal"/>
    <w:rsid w:val="005537B5"/>
    <w:pPr>
      <w:ind w:left="1100" w:hanging="220"/>
    </w:pPr>
    <w:rPr>
      <w:sz w:val="22"/>
      <w:szCs w:val="24"/>
    </w:rPr>
  </w:style>
  <w:style w:type="paragraph" w:styleId="Index6">
    <w:name w:val="index 6"/>
    <w:next w:val="Normal"/>
    <w:rsid w:val="005537B5"/>
    <w:pPr>
      <w:ind w:left="1320" w:hanging="220"/>
    </w:pPr>
    <w:rPr>
      <w:sz w:val="22"/>
      <w:szCs w:val="24"/>
    </w:rPr>
  </w:style>
  <w:style w:type="paragraph" w:styleId="Index7">
    <w:name w:val="index 7"/>
    <w:next w:val="Normal"/>
    <w:rsid w:val="005537B5"/>
    <w:pPr>
      <w:ind w:left="1540" w:hanging="220"/>
    </w:pPr>
    <w:rPr>
      <w:sz w:val="22"/>
      <w:szCs w:val="24"/>
    </w:rPr>
  </w:style>
  <w:style w:type="paragraph" w:styleId="Index8">
    <w:name w:val="index 8"/>
    <w:next w:val="Normal"/>
    <w:rsid w:val="005537B5"/>
    <w:pPr>
      <w:ind w:left="1760" w:hanging="220"/>
    </w:pPr>
    <w:rPr>
      <w:sz w:val="22"/>
      <w:szCs w:val="24"/>
    </w:rPr>
  </w:style>
  <w:style w:type="paragraph" w:styleId="Index9">
    <w:name w:val="index 9"/>
    <w:next w:val="Normal"/>
    <w:rsid w:val="005537B5"/>
    <w:pPr>
      <w:ind w:left="1980" w:hanging="220"/>
    </w:pPr>
    <w:rPr>
      <w:sz w:val="22"/>
      <w:szCs w:val="24"/>
    </w:rPr>
  </w:style>
  <w:style w:type="paragraph" w:styleId="IndexHeading">
    <w:name w:val="index heading"/>
    <w:next w:val="Index1"/>
    <w:rsid w:val="005537B5"/>
    <w:rPr>
      <w:rFonts w:ascii="Arial" w:hAnsi="Arial" w:cs="Arial"/>
      <w:b/>
      <w:bCs/>
      <w:sz w:val="22"/>
      <w:szCs w:val="24"/>
    </w:rPr>
  </w:style>
  <w:style w:type="paragraph" w:customStyle="1" w:styleId="Item">
    <w:name w:val="Item"/>
    <w:aliases w:val="i"/>
    <w:basedOn w:val="OPCParaBase"/>
    <w:next w:val="ItemHead"/>
    <w:rsid w:val="00A93530"/>
    <w:pPr>
      <w:keepLines/>
      <w:spacing w:before="80" w:line="240" w:lineRule="auto"/>
      <w:ind w:left="709"/>
    </w:pPr>
  </w:style>
  <w:style w:type="paragraph" w:customStyle="1" w:styleId="ItemHead">
    <w:name w:val="ItemHead"/>
    <w:aliases w:val="ih"/>
    <w:basedOn w:val="OPCParaBase"/>
    <w:next w:val="Item"/>
    <w:rsid w:val="00A9353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93530"/>
    <w:rPr>
      <w:sz w:val="16"/>
    </w:rPr>
  </w:style>
  <w:style w:type="paragraph" w:styleId="List">
    <w:name w:val="List"/>
    <w:rsid w:val="005537B5"/>
    <w:pPr>
      <w:ind w:left="283" w:hanging="283"/>
    </w:pPr>
    <w:rPr>
      <w:sz w:val="22"/>
      <w:szCs w:val="24"/>
    </w:rPr>
  </w:style>
  <w:style w:type="paragraph" w:styleId="List2">
    <w:name w:val="List 2"/>
    <w:rsid w:val="005537B5"/>
    <w:pPr>
      <w:ind w:left="566" w:hanging="283"/>
    </w:pPr>
    <w:rPr>
      <w:sz w:val="22"/>
      <w:szCs w:val="24"/>
    </w:rPr>
  </w:style>
  <w:style w:type="paragraph" w:styleId="List3">
    <w:name w:val="List 3"/>
    <w:rsid w:val="005537B5"/>
    <w:pPr>
      <w:ind w:left="849" w:hanging="283"/>
    </w:pPr>
    <w:rPr>
      <w:sz w:val="22"/>
      <w:szCs w:val="24"/>
    </w:rPr>
  </w:style>
  <w:style w:type="paragraph" w:styleId="List4">
    <w:name w:val="List 4"/>
    <w:rsid w:val="005537B5"/>
    <w:pPr>
      <w:ind w:left="1132" w:hanging="283"/>
    </w:pPr>
    <w:rPr>
      <w:sz w:val="22"/>
      <w:szCs w:val="24"/>
    </w:rPr>
  </w:style>
  <w:style w:type="paragraph" w:styleId="List5">
    <w:name w:val="List 5"/>
    <w:rsid w:val="005537B5"/>
    <w:pPr>
      <w:ind w:left="1415" w:hanging="283"/>
    </w:pPr>
    <w:rPr>
      <w:sz w:val="22"/>
      <w:szCs w:val="24"/>
    </w:rPr>
  </w:style>
  <w:style w:type="paragraph" w:styleId="ListBullet">
    <w:name w:val="List Bullet"/>
    <w:rsid w:val="005537B5"/>
    <w:pPr>
      <w:numPr>
        <w:numId w:val="7"/>
      </w:numPr>
      <w:tabs>
        <w:tab w:val="clear" w:pos="360"/>
        <w:tab w:val="num" w:pos="2989"/>
      </w:tabs>
      <w:ind w:left="1225" w:firstLine="1043"/>
    </w:pPr>
    <w:rPr>
      <w:sz w:val="22"/>
      <w:szCs w:val="24"/>
    </w:rPr>
  </w:style>
  <w:style w:type="paragraph" w:styleId="ListBullet2">
    <w:name w:val="List Bullet 2"/>
    <w:rsid w:val="005537B5"/>
    <w:pPr>
      <w:numPr>
        <w:numId w:val="9"/>
      </w:numPr>
      <w:tabs>
        <w:tab w:val="clear" w:pos="643"/>
        <w:tab w:val="num" w:pos="360"/>
      </w:tabs>
      <w:ind w:left="360"/>
    </w:pPr>
    <w:rPr>
      <w:sz w:val="22"/>
      <w:szCs w:val="24"/>
    </w:rPr>
  </w:style>
  <w:style w:type="paragraph" w:styleId="ListBullet3">
    <w:name w:val="List Bullet 3"/>
    <w:rsid w:val="005537B5"/>
    <w:pPr>
      <w:numPr>
        <w:numId w:val="11"/>
      </w:numPr>
      <w:tabs>
        <w:tab w:val="clear" w:pos="926"/>
        <w:tab w:val="num" w:pos="360"/>
      </w:tabs>
      <w:ind w:left="360"/>
    </w:pPr>
    <w:rPr>
      <w:sz w:val="22"/>
      <w:szCs w:val="24"/>
    </w:rPr>
  </w:style>
  <w:style w:type="paragraph" w:styleId="ListBullet4">
    <w:name w:val="List Bullet 4"/>
    <w:rsid w:val="005537B5"/>
    <w:pPr>
      <w:numPr>
        <w:numId w:val="13"/>
      </w:numPr>
      <w:tabs>
        <w:tab w:val="clear" w:pos="1209"/>
        <w:tab w:val="num" w:pos="926"/>
      </w:tabs>
      <w:ind w:left="926"/>
    </w:pPr>
    <w:rPr>
      <w:sz w:val="22"/>
      <w:szCs w:val="24"/>
    </w:rPr>
  </w:style>
  <w:style w:type="paragraph" w:styleId="ListBullet5">
    <w:name w:val="List Bullet 5"/>
    <w:rsid w:val="005537B5"/>
    <w:pPr>
      <w:numPr>
        <w:numId w:val="15"/>
      </w:numPr>
    </w:pPr>
    <w:rPr>
      <w:sz w:val="22"/>
      <w:szCs w:val="24"/>
    </w:rPr>
  </w:style>
  <w:style w:type="paragraph" w:styleId="ListContinue">
    <w:name w:val="List Continue"/>
    <w:rsid w:val="005537B5"/>
    <w:pPr>
      <w:spacing w:after="120"/>
      <w:ind w:left="283"/>
    </w:pPr>
    <w:rPr>
      <w:sz w:val="22"/>
      <w:szCs w:val="24"/>
    </w:rPr>
  </w:style>
  <w:style w:type="paragraph" w:styleId="ListContinue2">
    <w:name w:val="List Continue 2"/>
    <w:rsid w:val="005537B5"/>
    <w:pPr>
      <w:spacing w:after="120"/>
      <w:ind w:left="566"/>
    </w:pPr>
    <w:rPr>
      <w:sz w:val="22"/>
      <w:szCs w:val="24"/>
    </w:rPr>
  </w:style>
  <w:style w:type="paragraph" w:styleId="ListContinue3">
    <w:name w:val="List Continue 3"/>
    <w:rsid w:val="005537B5"/>
    <w:pPr>
      <w:spacing w:after="120"/>
      <w:ind w:left="849"/>
    </w:pPr>
    <w:rPr>
      <w:sz w:val="22"/>
      <w:szCs w:val="24"/>
    </w:rPr>
  </w:style>
  <w:style w:type="paragraph" w:styleId="ListContinue4">
    <w:name w:val="List Continue 4"/>
    <w:rsid w:val="005537B5"/>
    <w:pPr>
      <w:spacing w:after="120"/>
      <w:ind w:left="1132"/>
    </w:pPr>
    <w:rPr>
      <w:sz w:val="22"/>
      <w:szCs w:val="24"/>
    </w:rPr>
  </w:style>
  <w:style w:type="paragraph" w:styleId="ListContinue5">
    <w:name w:val="List Continue 5"/>
    <w:rsid w:val="005537B5"/>
    <w:pPr>
      <w:spacing w:after="120"/>
      <w:ind w:left="1415"/>
    </w:pPr>
    <w:rPr>
      <w:sz w:val="22"/>
      <w:szCs w:val="24"/>
    </w:rPr>
  </w:style>
  <w:style w:type="paragraph" w:styleId="ListNumber">
    <w:name w:val="List Number"/>
    <w:rsid w:val="005537B5"/>
    <w:pPr>
      <w:numPr>
        <w:numId w:val="17"/>
      </w:numPr>
      <w:tabs>
        <w:tab w:val="clear" w:pos="360"/>
        <w:tab w:val="num" w:pos="4242"/>
      </w:tabs>
      <w:ind w:left="3521" w:hanging="1043"/>
    </w:pPr>
    <w:rPr>
      <w:sz w:val="22"/>
      <w:szCs w:val="24"/>
    </w:rPr>
  </w:style>
  <w:style w:type="paragraph" w:styleId="ListNumber2">
    <w:name w:val="List Number 2"/>
    <w:rsid w:val="005537B5"/>
    <w:pPr>
      <w:numPr>
        <w:numId w:val="19"/>
      </w:numPr>
      <w:tabs>
        <w:tab w:val="clear" w:pos="643"/>
        <w:tab w:val="num" w:pos="360"/>
      </w:tabs>
      <w:ind w:left="360"/>
    </w:pPr>
    <w:rPr>
      <w:sz w:val="22"/>
      <w:szCs w:val="24"/>
    </w:rPr>
  </w:style>
  <w:style w:type="paragraph" w:styleId="ListNumber3">
    <w:name w:val="List Number 3"/>
    <w:rsid w:val="005537B5"/>
    <w:pPr>
      <w:numPr>
        <w:numId w:val="21"/>
      </w:numPr>
      <w:tabs>
        <w:tab w:val="clear" w:pos="926"/>
        <w:tab w:val="num" w:pos="360"/>
      </w:tabs>
      <w:ind w:left="360"/>
    </w:pPr>
    <w:rPr>
      <w:sz w:val="22"/>
      <w:szCs w:val="24"/>
    </w:rPr>
  </w:style>
  <w:style w:type="paragraph" w:styleId="ListNumber4">
    <w:name w:val="List Number 4"/>
    <w:rsid w:val="005537B5"/>
    <w:pPr>
      <w:numPr>
        <w:numId w:val="23"/>
      </w:numPr>
      <w:tabs>
        <w:tab w:val="clear" w:pos="1209"/>
        <w:tab w:val="num" w:pos="360"/>
      </w:tabs>
      <w:ind w:left="360"/>
    </w:pPr>
    <w:rPr>
      <w:sz w:val="22"/>
      <w:szCs w:val="24"/>
    </w:rPr>
  </w:style>
  <w:style w:type="paragraph" w:styleId="ListNumber5">
    <w:name w:val="List Number 5"/>
    <w:rsid w:val="005537B5"/>
    <w:pPr>
      <w:numPr>
        <w:numId w:val="25"/>
      </w:numPr>
      <w:tabs>
        <w:tab w:val="clear" w:pos="1492"/>
        <w:tab w:val="num" w:pos="1440"/>
      </w:tabs>
      <w:ind w:left="0" w:firstLine="0"/>
    </w:pPr>
    <w:rPr>
      <w:sz w:val="22"/>
      <w:szCs w:val="24"/>
    </w:rPr>
  </w:style>
  <w:style w:type="paragraph" w:customStyle="1" w:styleId="LongT">
    <w:name w:val="LongT"/>
    <w:basedOn w:val="OPCParaBase"/>
    <w:rsid w:val="00A93530"/>
    <w:pPr>
      <w:spacing w:line="240" w:lineRule="auto"/>
    </w:pPr>
    <w:rPr>
      <w:b/>
      <w:sz w:val="32"/>
    </w:rPr>
  </w:style>
  <w:style w:type="paragraph" w:styleId="MacroText">
    <w:name w:val="macro"/>
    <w:rsid w:val="005537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537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537B5"/>
    <w:rPr>
      <w:sz w:val="24"/>
      <w:szCs w:val="24"/>
    </w:rPr>
  </w:style>
  <w:style w:type="paragraph" w:styleId="NormalIndent">
    <w:name w:val="Normal Indent"/>
    <w:rsid w:val="005537B5"/>
    <w:pPr>
      <w:ind w:left="720"/>
    </w:pPr>
    <w:rPr>
      <w:sz w:val="22"/>
      <w:szCs w:val="24"/>
    </w:rPr>
  </w:style>
  <w:style w:type="paragraph" w:styleId="NoteHeading">
    <w:name w:val="Note Heading"/>
    <w:next w:val="Normal"/>
    <w:rsid w:val="005537B5"/>
    <w:rPr>
      <w:sz w:val="22"/>
      <w:szCs w:val="24"/>
    </w:rPr>
  </w:style>
  <w:style w:type="paragraph" w:customStyle="1" w:styleId="notedraft">
    <w:name w:val="note(draft)"/>
    <w:aliases w:val="nd"/>
    <w:basedOn w:val="OPCParaBase"/>
    <w:rsid w:val="00A93530"/>
    <w:pPr>
      <w:spacing w:before="240" w:line="240" w:lineRule="auto"/>
      <w:ind w:left="284" w:hanging="284"/>
    </w:pPr>
    <w:rPr>
      <w:i/>
      <w:sz w:val="24"/>
    </w:rPr>
  </w:style>
  <w:style w:type="paragraph" w:customStyle="1" w:styleId="notepara">
    <w:name w:val="note(para)"/>
    <w:aliases w:val="na"/>
    <w:basedOn w:val="OPCParaBase"/>
    <w:rsid w:val="00A93530"/>
    <w:pPr>
      <w:spacing w:before="40" w:line="198" w:lineRule="exact"/>
      <w:ind w:left="2354" w:hanging="369"/>
    </w:pPr>
    <w:rPr>
      <w:sz w:val="18"/>
    </w:rPr>
  </w:style>
  <w:style w:type="paragraph" w:customStyle="1" w:styleId="noteParlAmend">
    <w:name w:val="note(ParlAmend)"/>
    <w:aliases w:val="npp"/>
    <w:basedOn w:val="OPCParaBase"/>
    <w:next w:val="ParlAmend"/>
    <w:rsid w:val="00A93530"/>
    <w:pPr>
      <w:spacing w:line="240" w:lineRule="auto"/>
      <w:jc w:val="right"/>
    </w:pPr>
    <w:rPr>
      <w:rFonts w:ascii="Arial" w:hAnsi="Arial"/>
      <w:b/>
      <w:i/>
    </w:rPr>
  </w:style>
  <w:style w:type="character" w:styleId="PageNumber">
    <w:name w:val="page number"/>
    <w:basedOn w:val="DefaultParagraphFont"/>
    <w:rsid w:val="005537B5"/>
  </w:style>
  <w:style w:type="paragraph" w:customStyle="1" w:styleId="Page1">
    <w:name w:val="Page1"/>
    <w:basedOn w:val="OPCParaBase"/>
    <w:rsid w:val="00A93530"/>
    <w:pPr>
      <w:spacing w:before="5600" w:line="240" w:lineRule="auto"/>
    </w:pPr>
    <w:rPr>
      <w:b/>
      <w:sz w:val="32"/>
    </w:rPr>
  </w:style>
  <w:style w:type="paragraph" w:customStyle="1" w:styleId="PageBreak">
    <w:name w:val="PageBreak"/>
    <w:aliases w:val="pb"/>
    <w:basedOn w:val="OPCParaBase"/>
    <w:rsid w:val="00A93530"/>
    <w:pPr>
      <w:spacing w:line="240" w:lineRule="auto"/>
    </w:pPr>
    <w:rPr>
      <w:sz w:val="20"/>
    </w:rPr>
  </w:style>
  <w:style w:type="paragraph" w:customStyle="1" w:styleId="paragraph">
    <w:name w:val="paragraph"/>
    <w:aliases w:val="a"/>
    <w:basedOn w:val="OPCParaBase"/>
    <w:rsid w:val="00A93530"/>
    <w:pPr>
      <w:tabs>
        <w:tab w:val="right" w:pos="1531"/>
      </w:tabs>
      <w:spacing w:before="40" w:line="240" w:lineRule="auto"/>
      <w:ind w:left="1644" w:hanging="1644"/>
    </w:pPr>
  </w:style>
  <w:style w:type="paragraph" w:customStyle="1" w:styleId="paragraphsub">
    <w:name w:val="paragraph(sub)"/>
    <w:aliases w:val="aa"/>
    <w:basedOn w:val="OPCParaBase"/>
    <w:rsid w:val="00A93530"/>
    <w:pPr>
      <w:tabs>
        <w:tab w:val="right" w:pos="1985"/>
      </w:tabs>
      <w:spacing w:before="40" w:line="240" w:lineRule="auto"/>
      <w:ind w:left="2098" w:hanging="2098"/>
    </w:pPr>
  </w:style>
  <w:style w:type="paragraph" w:customStyle="1" w:styleId="paragraphsub-sub">
    <w:name w:val="paragraph(sub-sub)"/>
    <w:aliases w:val="aaa"/>
    <w:basedOn w:val="OPCParaBase"/>
    <w:rsid w:val="00A93530"/>
    <w:pPr>
      <w:tabs>
        <w:tab w:val="right" w:pos="2722"/>
      </w:tabs>
      <w:spacing w:before="40" w:line="240" w:lineRule="auto"/>
      <w:ind w:left="2835" w:hanging="2835"/>
    </w:pPr>
  </w:style>
  <w:style w:type="paragraph" w:customStyle="1" w:styleId="ParlAmend">
    <w:name w:val="ParlAmend"/>
    <w:aliases w:val="pp"/>
    <w:basedOn w:val="OPCParaBase"/>
    <w:rsid w:val="00A93530"/>
    <w:pPr>
      <w:spacing w:before="240" w:line="240" w:lineRule="atLeast"/>
      <w:ind w:hanging="567"/>
    </w:pPr>
    <w:rPr>
      <w:sz w:val="24"/>
    </w:rPr>
  </w:style>
  <w:style w:type="paragraph" w:customStyle="1" w:styleId="Penalty">
    <w:name w:val="Penalty"/>
    <w:basedOn w:val="OPCParaBase"/>
    <w:rsid w:val="00A93530"/>
    <w:pPr>
      <w:tabs>
        <w:tab w:val="left" w:pos="2977"/>
      </w:tabs>
      <w:spacing w:before="180" w:line="240" w:lineRule="auto"/>
      <w:ind w:left="1985" w:hanging="851"/>
    </w:pPr>
  </w:style>
  <w:style w:type="paragraph" w:styleId="PlainText">
    <w:name w:val="Plain Text"/>
    <w:rsid w:val="005537B5"/>
    <w:rPr>
      <w:rFonts w:ascii="Courier New" w:hAnsi="Courier New" w:cs="Courier New"/>
      <w:sz w:val="22"/>
    </w:rPr>
  </w:style>
  <w:style w:type="paragraph" w:customStyle="1" w:styleId="Portfolio">
    <w:name w:val="Portfolio"/>
    <w:basedOn w:val="OPCParaBase"/>
    <w:rsid w:val="00A93530"/>
    <w:pPr>
      <w:spacing w:line="240" w:lineRule="auto"/>
    </w:pPr>
    <w:rPr>
      <w:i/>
      <w:sz w:val="20"/>
    </w:rPr>
  </w:style>
  <w:style w:type="paragraph" w:customStyle="1" w:styleId="Preamble">
    <w:name w:val="Preamble"/>
    <w:basedOn w:val="OPCParaBase"/>
    <w:next w:val="Normal"/>
    <w:rsid w:val="00A9353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93530"/>
    <w:pPr>
      <w:spacing w:line="240" w:lineRule="auto"/>
    </w:pPr>
    <w:rPr>
      <w:i/>
      <w:sz w:val="20"/>
    </w:rPr>
  </w:style>
  <w:style w:type="paragraph" w:styleId="Salutation">
    <w:name w:val="Salutation"/>
    <w:next w:val="Normal"/>
    <w:rsid w:val="005537B5"/>
    <w:rPr>
      <w:sz w:val="22"/>
      <w:szCs w:val="24"/>
    </w:rPr>
  </w:style>
  <w:style w:type="paragraph" w:customStyle="1" w:styleId="Session">
    <w:name w:val="Session"/>
    <w:basedOn w:val="OPCParaBase"/>
    <w:rsid w:val="00A93530"/>
    <w:pPr>
      <w:spacing w:line="240" w:lineRule="auto"/>
    </w:pPr>
    <w:rPr>
      <w:sz w:val="28"/>
    </w:rPr>
  </w:style>
  <w:style w:type="paragraph" w:customStyle="1" w:styleId="ShortT">
    <w:name w:val="ShortT"/>
    <w:basedOn w:val="OPCParaBase"/>
    <w:next w:val="Normal"/>
    <w:qFormat/>
    <w:rsid w:val="00A93530"/>
    <w:pPr>
      <w:spacing w:line="240" w:lineRule="auto"/>
    </w:pPr>
    <w:rPr>
      <w:b/>
      <w:sz w:val="40"/>
    </w:rPr>
  </w:style>
  <w:style w:type="paragraph" w:styleId="Signature">
    <w:name w:val="Signature"/>
    <w:link w:val="SignatureChar"/>
    <w:rsid w:val="005537B5"/>
    <w:pPr>
      <w:ind w:left="4252"/>
    </w:pPr>
    <w:rPr>
      <w:sz w:val="22"/>
      <w:szCs w:val="24"/>
    </w:rPr>
  </w:style>
  <w:style w:type="paragraph" w:customStyle="1" w:styleId="Sponsor">
    <w:name w:val="Sponsor"/>
    <w:basedOn w:val="OPCParaBase"/>
    <w:rsid w:val="00A93530"/>
    <w:pPr>
      <w:spacing w:line="240" w:lineRule="auto"/>
    </w:pPr>
    <w:rPr>
      <w:i/>
    </w:rPr>
  </w:style>
  <w:style w:type="character" w:styleId="Strong">
    <w:name w:val="Strong"/>
    <w:qFormat/>
    <w:rsid w:val="005537B5"/>
    <w:rPr>
      <w:b/>
      <w:bCs/>
    </w:rPr>
  </w:style>
  <w:style w:type="paragraph" w:customStyle="1" w:styleId="Subitem">
    <w:name w:val="Subitem"/>
    <w:aliases w:val="iss"/>
    <w:basedOn w:val="OPCParaBase"/>
    <w:rsid w:val="00A93530"/>
    <w:pPr>
      <w:spacing w:before="180" w:line="240" w:lineRule="auto"/>
      <w:ind w:left="709" w:hanging="709"/>
    </w:pPr>
  </w:style>
  <w:style w:type="paragraph" w:customStyle="1" w:styleId="SubitemHead">
    <w:name w:val="SubitemHead"/>
    <w:aliases w:val="issh"/>
    <w:basedOn w:val="OPCParaBase"/>
    <w:rsid w:val="00A9353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93530"/>
    <w:pPr>
      <w:spacing w:before="40" w:line="240" w:lineRule="auto"/>
      <w:ind w:left="1134"/>
    </w:pPr>
  </w:style>
  <w:style w:type="paragraph" w:customStyle="1" w:styleId="SubsectionHead">
    <w:name w:val="SubsectionHead"/>
    <w:aliases w:val="ssh"/>
    <w:basedOn w:val="OPCParaBase"/>
    <w:next w:val="subsection"/>
    <w:rsid w:val="00A93530"/>
    <w:pPr>
      <w:keepNext/>
      <w:keepLines/>
      <w:spacing w:before="240" w:line="240" w:lineRule="auto"/>
      <w:ind w:left="1134"/>
    </w:pPr>
    <w:rPr>
      <w:i/>
    </w:rPr>
  </w:style>
  <w:style w:type="paragraph" w:styleId="Subtitle">
    <w:name w:val="Subtitle"/>
    <w:qFormat/>
    <w:rsid w:val="005537B5"/>
    <w:pPr>
      <w:spacing w:after="60"/>
      <w:jc w:val="center"/>
    </w:pPr>
    <w:rPr>
      <w:rFonts w:ascii="Arial" w:hAnsi="Arial" w:cs="Arial"/>
      <w:sz w:val="24"/>
      <w:szCs w:val="24"/>
    </w:rPr>
  </w:style>
  <w:style w:type="table" w:styleId="Table3Deffects1">
    <w:name w:val="Table 3D effects 1"/>
    <w:basedOn w:val="TableNormal"/>
    <w:rsid w:val="005537B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37B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537B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537B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537B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537B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537B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537B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537B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537B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537B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537B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537B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537B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537B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537B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537B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9353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537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537B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537B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537B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537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537B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537B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537B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537B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537B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537B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537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537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537B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537B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537B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537B5"/>
    <w:pPr>
      <w:ind w:left="220" w:hanging="220"/>
    </w:pPr>
    <w:rPr>
      <w:sz w:val="22"/>
      <w:szCs w:val="24"/>
    </w:rPr>
  </w:style>
  <w:style w:type="paragraph" w:styleId="TableofFigures">
    <w:name w:val="table of figures"/>
    <w:next w:val="Normal"/>
    <w:rsid w:val="005537B5"/>
    <w:pPr>
      <w:ind w:left="440" w:hanging="440"/>
    </w:pPr>
    <w:rPr>
      <w:sz w:val="22"/>
      <w:szCs w:val="24"/>
    </w:rPr>
  </w:style>
  <w:style w:type="table" w:styleId="TableProfessional">
    <w:name w:val="Table Professional"/>
    <w:basedOn w:val="TableNormal"/>
    <w:rsid w:val="005537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537B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537B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537B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537B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37B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537B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537B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537B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537B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93530"/>
    <w:pPr>
      <w:spacing w:before="60" w:line="240" w:lineRule="auto"/>
      <w:ind w:left="284" w:hanging="284"/>
    </w:pPr>
    <w:rPr>
      <w:sz w:val="20"/>
    </w:rPr>
  </w:style>
  <w:style w:type="paragraph" w:customStyle="1" w:styleId="Tablei">
    <w:name w:val="Table(i)"/>
    <w:aliases w:val="taa"/>
    <w:basedOn w:val="OPCParaBase"/>
    <w:rsid w:val="00A9353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9353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93530"/>
    <w:pPr>
      <w:spacing w:before="60" w:line="240" w:lineRule="atLeast"/>
    </w:pPr>
    <w:rPr>
      <w:sz w:val="20"/>
    </w:rPr>
  </w:style>
  <w:style w:type="paragraph" w:styleId="Title">
    <w:name w:val="Title"/>
    <w:qFormat/>
    <w:rsid w:val="005537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9353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93530"/>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93530"/>
    <w:pPr>
      <w:spacing w:before="122" w:line="198" w:lineRule="exact"/>
      <w:ind w:left="1985" w:hanging="851"/>
      <w:jc w:val="right"/>
    </w:pPr>
    <w:rPr>
      <w:sz w:val="18"/>
    </w:rPr>
  </w:style>
  <w:style w:type="paragraph" w:customStyle="1" w:styleId="TLPTableBullet">
    <w:name w:val="TLPTableBullet"/>
    <w:aliases w:val="ttb"/>
    <w:basedOn w:val="OPCParaBase"/>
    <w:rsid w:val="00A93530"/>
    <w:pPr>
      <w:spacing w:line="240" w:lineRule="exact"/>
      <w:ind w:left="284" w:hanging="284"/>
    </w:pPr>
    <w:rPr>
      <w:sz w:val="20"/>
    </w:rPr>
  </w:style>
  <w:style w:type="paragraph" w:styleId="TOAHeading">
    <w:name w:val="toa heading"/>
    <w:next w:val="Normal"/>
    <w:rsid w:val="005537B5"/>
    <w:pPr>
      <w:spacing w:before="120"/>
    </w:pPr>
    <w:rPr>
      <w:rFonts w:ascii="Arial" w:hAnsi="Arial" w:cs="Arial"/>
      <w:b/>
      <w:bCs/>
      <w:sz w:val="24"/>
      <w:szCs w:val="24"/>
    </w:rPr>
  </w:style>
  <w:style w:type="paragraph" w:styleId="TOC1">
    <w:name w:val="toc 1"/>
    <w:basedOn w:val="OPCParaBase"/>
    <w:next w:val="Normal"/>
    <w:uiPriority w:val="39"/>
    <w:unhideWhenUsed/>
    <w:rsid w:val="00A9353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9353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9353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9353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9353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9353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9353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9353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9353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93530"/>
    <w:pPr>
      <w:keepLines/>
      <w:spacing w:before="240" w:after="120" w:line="240" w:lineRule="auto"/>
      <w:ind w:left="794"/>
    </w:pPr>
    <w:rPr>
      <w:b/>
      <w:kern w:val="28"/>
      <w:sz w:val="20"/>
    </w:rPr>
  </w:style>
  <w:style w:type="paragraph" w:customStyle="1" w:styleId="TofSectsHeading">
    <w:name w:val="TofSects(Heading)"/>
    <w:basedOn w:val="OPCParaBase"/>
    <w:rsid w:val="00A93530"/>
    <w:pPr>
      <w:spacing w:before="240" w:after="120" w:line="240" w:lineRule="auto"/>
    </w:pPr>
    <w:rPr>
      <w:b/>
      <w:sz w:val="24"/>
    </w:rPr>
  </w:style>
  <w:style w:type="paragraph" w:customStyle="1" w:styleId="TofSectsSection">
    <w:name w:val="TofSects(Section)"/>
    <w:basedOn w:val="OPCParaBase"/>
    <w:rsid w:val="00A93530"/>
    <w:pPr>
      <w:keepLines/>
      <w:spacing w:before="40" w:line="240" w:lineRule="auto"/>
      <w:ind w:left="1588" w:hanging="794"/>
    </w:pPr>
    <w:rPr>
      <w:kern w:val="28"/>
      <w:sz w:val="18"/>
    </w:rPr>
  </w:style>
  <w:style w:type="paragraph" w:customStyle="1" w:styleId="TofSectsSubdiv">
    <w:name w:val="TofSects(Subdiv)"/>
    <w:basedOn w:val="OPCParaBase"/>
    <w:rsid w:val="00A93530"/>
    <w:pPr>
      <w:keepLines/>
      <w:spacing w:before="80" w:line="240" w:lineRule="auto"/>
      <w:ind w:left="1588" w:hanging="794"/>
    </w:pPr>
    <w:rPr>
      <w:kern w:val="28"/>
    </w:rPr>
  </w:style>
  <w:style w:type="character" w:customStyle="1" w:styleId="OPCCharBase">
    <w:name w:val="OPCCharBase"/>
    <w:uiPriority w:val="1"/>
    <w:qFormat/>
    <w:rsid w:val="00A93530"/>
  </w:style>
  <w:style w:type="paragraph" w:customStyle="1" w:styleId="OPCParaBase">
    <w:name w:val="OPCParaBase"/>
    <w:qFormat/>
    <w:rsid w:val="00A93530"/>
    <w:pPr>
      <w:spacing w:line="260" w:lineRule="atLeast"/>
    </w:pPr>
    <w:rPr>
      <w:sz w:val="22"/>
    </w:rPr>
  </w:style>
  <w:style w:type="character" w:customStyle="1" w:styleId="HeaderChar">
    <w:name w:val="Header Char"/>
    <w:basedOn w:val="DefaultParagraphFont"/>
    <w:link w:val="Header"/>
    <w:rsid w:val="00A93530"/>
    <w:rPr>
      <w:sz w:val="16"/>
    </w:rPr>
  </w:style>
  <w:style w:type="paragraph" w:customStyle="1" w:styleId="noteToPara">
    <w:name w:val="noteToPara"/>
    <w:aliases w:val="ntp"/>
    <w:basedOn w:val="OPCParaBase"/>
    <w:rsid w:val="00A93530"/>
    <w:pPr>
      <w:spacing w:before="122" w:line="198" w:lineRule="exact"/>
      <w:ind w:left="2353" w:hanging="709"/>
    </w:pPr>
    <w:rPr>
      <w:sz w:val="18"/>
    </w:rPr>
  </w:style>
  <w:style w:type="paragraph" w:customStyle="1" w:styleId="WRStyle">
    <w:name w:val="WR Style"/>
    <w:aliases w:val="WR"/>
    <w:basedOn w:val="OPCParaBase"/>
    <w:rsid w:val="00A93530"/>
    <w:pPr>
      <w:spacing w:before="240" w:line="240" w:lineRule="auto"/>
      <w:ind w:left="284" w:hanging="284"/>
    </w:pPr>
    <w:rPr>
      <w:b/>
      <w:i/>
      <w:kern w:val="28"/>
      <w:sz w:val="24"/>
    </w:rPr>
  </w:style>
  <w:style w:type="character" w:customStyle="1" w:styleId="FooterChar">
    <w:name w:val="Footer Char"/>
    <w:basedOn w:val="DefaultParagraphFont"/>
    <w:link w:val="Footer"/>
    <w:rsid w:val="00A93530"/>
    <w:rPr>
      <w:sz w:val="22"/>
      <w:szCs w:val="24"/>
    </w:rPr>
  </w:style>
  <w:style w:type="table" w:customStyle="1" w:styleId="CFlag">
    <w:name w:val="CFlag"/>
    <w:basedOn w:val="TableNormal"/>
    <w:uiPriority w:val="99"/>
    <w:rsid w:val="00A93530"/>
    <w:tblPr/>
  </w:style>
  <w:style w:type="paragraph" w:customStyle="1" w:styleId="SignCoverPageEnd">
    <w:name w:val="SignCoverPageEnd"/>
    <w:basedOn w:val="OPCParaBase"/>
    <w:next w:val="Normal"/>
    <w:rsid w:val="00A9353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93530"/>
    <w:pPr>
      <w:pBdr>
        <w:top w:val="single" w:sz="4" w:space="1" w:color="auto"/>
      </w:pBdr>
      <w:spacing w:before="360"/>
      <w:ind w:right="397"/>
      <w:jc w:val="both"/>
    </w:pPr>
  </w:style>
  <w:style w:type="paragraph" w:customStyle="1" w:styleId="ENotesHeading1">
    <w:name w:val="ENotesHeading 1"/>
    <w:aliases w:val="Enh1"/>
    <w:basedOn w:val="OPCParaBase"/>
    <w:next w:val="Normal"/>
    <w:rsid w:val="00A93530"/>
    <w:pPr>
      <w:spacing w:before="120"/>
      <w:outlineLvl w:val="1"/>
    </w:pPr>
    <w:rPr>
      <w:b/>
      <w:sz w:val="28"/>
      <w:szCs w:val="28"/>
    </w:rPr>
  </w:style>
  <w:style w:type="paragraph" w:customStyle="1" w:styleId="ENotesHeading2">
    <w:name w:val="ENotesHeading 2"/>
    <w:aliases w:val="Enh2"/>
    <w:basedOn w:val="OPCParaBase"/>
    <w:next w:val="Normal"/>
    <w:rsid w:val="00A93530"/>
    <w:pPr>
      <w:spacing w:before="120" w:after="120"/>
      <w:outlineLvl w:val="2"/>
    </w:pPr>
    <w:rPr>
      <w:b/>
      <w:sz w:val="24"/>
      <w:szCs w:val="28"/>
    </w:rPr>
  </w:style>
  <w:style w:type="paragraph" w:customStyle="1" w:styleId="CompiledActNo">
    <w:name w:val="CompiledActNo"/>
    <w:basedOn w:val="OPCParaBase"/>
    <w:next w:val="Normal"/>
    <w:rsid w:val="00A93530"/>
    <w:rPr>
      <w:b/>
      <w:sz w:val="24"/>
      <w:szCs w:val="24"/>
    </w:rPr>
  </w:style>
  <w:style w:type="paragraph" w:customStyle="1" w:styleId="ENotesText">
    <w:name w:val="ENotesText"/>
    <w:aliases w:val="Ent,ENt"/>
    <w:basedOn w:val="OPCParaBase"/>
    <w:next w:val="Normal"/>
    <w:rsid w:val="00A93530"/>
    <w:pPr>
      <w:spacing w:before="120"/>
    </w:pPr>
  </w:style>
  <w:style w:type="paragraph" w:customStyle="1" w:styleId="CompiledMadeUnder">
    <w:name w:val="CompiledMadeUnder"/>
    <w:basedOn w:val="OPCParaBase"/>
    <w:next w:val="Normal"/>
    <w:rsid w:val="00A93530"/>
    <w:rPr>
      <w:i/>
      <w:sz w:val="24"/>
      <w:szCs w:val="24"/>
    </w:rPr>
  </w:style>
  <w:style w:type="paragraph" w:customStyle="1" w:styleId="Paragraphsub-sub-sub">
    <w:name w:val="Paragraph(sub-sub-sub)"/>
    <w:aliases w:val="aaaa"/>
    <w:basedOn w:val="OPCParaBase"/>
    <w:rsid w:val="00A9353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9353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9353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9353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9353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93530"/>
    <w:pPr>
      <w:spacing w:before="60" w:line="240" w:lineRule="auto"/>
    </w:pPr>
    <w:rPr>
      <w:rFonts w:cs="Arial"/>
      <w:sz w:val="20"/>
      <w:szCs w:val="22"/>
    </w:rPr>
  </w:style>
  <w:style w:type="paragraph" w:customStyle="1" w:styleId="ActHead10">
    <w:name w:val="ActHead 10"/>
    <w:aliases w:val="sp"/>
    <w:basedOn w:val="OPCParaBase"/>
    <w:next w:val="ActHead3"/>
    <w:rsid w:val="00A9353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93530"/>
    <w:rPr>
      <w:rFonts w:ascii="Tahoma" w:eastAsiaTheme="minorHAnsi" w:hAnsi="Tahoma" w:cs="Tahoma"/>
      <w:sz w:val="16"/>
      <w:szCs w:val="16"/>
      <w:lang w:eastAsia="en-US"/>
    </w:rPr>
  </w:style>
  <w:style w:type="paragraph" w:customStyle="1" w:styleId="NoteToSubpara">
    <w:name w:val="NoteToSubpara"/>
    <w:aliases w:val="nts"/>
    <w:basedOn w:val="OPCParaBase"/>
    <w:rsid w:val="00A93530"/>
    <w:pPr>
      <w:spacing w:before="40" w:line="198" w:lineRule="exact"/>
      <w:ind w:left="2835" w:hanging="709"/>
    </w:pPr>
    <w:rPr>
      <w:sz w:val="18"/>
    </w:rPr>
  </w:style>
  <w:style w:type="paragraph" w:customStyle="1" w:styleId="ENoteTableHeading">
    <w:name w:val="ENoteTableHeading"/>
    <w:aliases w:val="enth"/>
    <w:basedOn w:val="OPCParaBase"/>
    <w:rsid w:val="00A93530"/>
    <w:pPr>
      <w:keepNext/>
      <w:spacing w:before="60" w:line="240" w:lineRule="atLeast"/>
    </w:pPr>
    <w:rPr>
      <w:rFonts w:ascii="Arial" w:hAnsi="Arial"/>
      <w:b/>
      <w:sz w:val="16"/>
    </w:rPr>
  </w:style>
  <w:style w:type="paragraph" w:customStyle="1" w:styleId="ENoteTTi">
    <w:name w:val="ENoteTTi"/>
    <w:aliases w:val="entti"/>
    <w:basedOn w:val="OPCParaBase"/>
    <w:rsid w:val="00A93530"/>
    <w:pPr>
      <w:keepNext/>
      <w:spacing w:before="60" w:line="240" w:lineRule="atLeast"/>
      <w:ind w:left="170"/>
    </w:pPr>
    <w:rPr>
      <w:sz w:val="16"/>
    </w:rPr>
  </w:style>
  <w:style w:type="paragraph" w:customStyle="1" w:styleId="ENoteTTIndentHeading">
    <w:name w:val="ENoteTTIndentHeading"/>
    <w:aliases w:val="enTTHi"/>
    <w:basedOn w:val="OPCParaBase"/>
    <w:rsid w:val="00A9353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93530"/>
    <w:pPr>
      <w:spacing w:before="60" w:line="240" w:lineRule="atLeast"/>
    </w:pPr>
    <w:rPr>
      <w:sz w:val="16"/>
    </w:rPr>
  </w:style>
  <w:style w:type="paragraph" w:customStyle="1" w:styleId="MadeunderText">
    <w:name w:val="MadeunderText"/>
    <w:basedOn w:val="OPCParaBase"/>
    <w:next w:val="CompiledMadeUnder"/>
    <w:rsid w:val="00A93530"/>
    <w:pPr>
      <w:spacing w:before="240"/>
    </w:pPr>
    <w:rPr>
      <w:sz w:val="24"/>
      <w:szCs w:val="24"/>
    </w:rPr>
  </w:style>
  <w:style w:type="paragraph" w:customStyle="1" w:styleId="ENotesHeading3">
    <w:name w:val="ENotesHeading 3"/>
    <w:aliases w:val="Enh3"/>
    <w:basedOn w:val="OPCParaBase"/>
    <w:next w:val="Normal"/>
    <w:rsid w:val="00A93530"/>
    <w:pPr>
      <w:keepNext/>
      <w:spacing w:before="120" w:line="240" w:lineRule="auto"/>
      <w:outlineLvl w:val="4"/>
    </w:pPr>
    <w:rPr>
      <w:b/>
      <w:szCs w:val="24"/>
    </w:rPr>
  </w:style>
  <w:style w:type="paragraph" w:customStyle="1" w:styleId="SubPartCASA">
    <w:name w:val="SubPart(CASA)"/>
    <w:aliases w:val="csp"/>
    <w:basedOn w:val="OPCParaBase"/>
    <w:next w:val="ActHead3"/>
    <w:rsid w:val="00A93530"/>
    <w:pPr>
      <w:keepNext/>
      <w:keepLines/>
      <w:spacing w:before="280"/>
      <w:outlineLvl w:val="1"/>
    </w:pPr>
    <w:rPr>
      <w:b/>
      <w:kern w:val="28"/>
      <w:sz w:val="32"/>
    </w:rPr>
  </w:style>
  <w:style w:type="character" w:customStyle="1" w:styleId="CharSubPartTextCASA">
    <w:name w:val="CharSubPartText(CASA)"/>
    <w:basedOn w:val="OPCCharBase"/>
    <w:uiPriority w:val="1"/>
    <w:rsid w:val="00A93530"/>
  </w:style>
  <w:style w:type="character" w:customStyle="1" w:styleId="CharSubPartNoCASA">
    <w:name w:val="CharSubPartNo(CASA)"/>
    <w:basedOn w:val="OPCCharBase"/>
    <w:uiPriority w:val="1"/>
    <w:rsid w:val="00A93530"/>
  </w:style>
  <w:style w:type="paragraph" w:customStyle="1" w:styleId="ENoteTTIndentHeadingSub">
    <w:name w:val="ENoteTTIndentHeadingSub"/>
    <w:aliases w:val="enTTHis"/>
    <w:basedOn w:val="OPCParaBase"/>
    <w:rsid w:val="00A93530"/>
    <w:pPr>
      <w:keepNext/>
      <w:spacing w:before="60" w:line="240" w:lineRule="atLeast"/>
      <w:ind w:left="340"/>
    </w:pPr>
    <w:rPr>
      <w:b/>
      <w:sz w:val="16"/>
    </w:rPr>
  </w:style>
  <w:style w:type="paragraph" w:customStyle="1" w:styleId="ENoteTTiSub">
    <w:name w:val="ENoteTTiSub"/>
    <w:aliases w:val="enttis"/>
    <w:basedOn w:val="OPCParaBase"/>
    <w:rsid w:val="00A93530"/>
    <w:pPr>
      <w:keepNext/>
      <w:spacing w:before="60" w:line="240" w:lineRule="atLeast"/>
      <w:ind w:left="340"/>
    </w:pPr>
    <w:rPr>
      <w:sz w:val="16"/>
    </w:rPr>
  </w:style>
  <w:style w:type="paragraph" w:customStyle="1" w:styleId="SubDivisionMigration">
    <w:name w:val="SubDivisionMigration"/>
    <w:aliases w:val="sdm"/>
    <w:basedOn w:val="OPCParaBase"/>
    <w:rsid w:val="00A9353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93530"/>
    <w:pPr>
      <w:keepNext/>
      <w:keepLines/>
      <w:spacing w:before="240" w:line="240" w:lineRule="auto"/>
      <w:ind w:left="1134" w:hanging="1134"/>
    </w:pPr>
    <w:rPr>
      <w:b/>
      <w:sz w:val="28"/>
    </w:rPr>
  </w:style>
  <w:style w:type="paragraph" w:customStyle="1" w:styleId="FreeForm">
    <w:name w:val="FreeForm"/>
    <w:rsid w:val="00A93530"/>
    <w:rPr>
      <w:rFonts w:ascii="Arial" w:eastAsiaTheme="minorHAnsi" w:hAnsi="Arial" w:cstheme="minorBidi"/>
      <w:sz w:val="22"/>
      <w:lang w:eastAsia="en-US"/>
    </w:rPr>
  </w:style>
  <w:style w:type="paragraph" w:customStyle="1" w:styleId="TableHeading">
    <w:name w:val="TableHeading"/>
    <w:aliases w:val="th"/>
    <w:basedOn w:val="OPCParaBase"/>
    <w:next w:val="Tabletext"/>
    <w:rsid w:val="00A93530"/>
    <w:pPr>
      <w:keepNext/>
      <w:spacing w:before="60" w:line="240" w:lineRule="atLeast"/>
    </w:pPr>
    <w:rPr>
      <w:b/>
      <w:sz w:val="20"/>
    </w:rPr>
  </w:style>
  <w:style w:type="character" w:customStyle="1" w:styleId="charlegtitle1">
    <w:name w:val="charlegtitle1"/>
    <w:basedOn w:val="DefaultParagraphFont"/>
    <w:rsid w:val="00332D26"/>
    <w:rPr>
      <w:rFonts w:ascii="Arial" w:hAnsi="Arial" w:cs="Arial" w:hint="default"/>
      <w:b/>
      <w:bCs/>
      <w:color w:val="10418E"/>
      <w:sz w:val="40"/>
      <w:szCs w:val="40"/>
    </w:rPr>
  </w:style>
  <w:style w:type="character" w:customStyle="1" w:styleId="SignatureChar">
    <w:name w:val="Signature Char"/>
    <w:basedOn w:val="DefaultParagraphFont"/>
    <w:link w:val="Signature"/>
    <w:rsid w:val="007B6261"/>
    <w:rPr>
      <w:sz w:val="22"/>
      <w:szCs w:val="24"/>
    </w:rPr>
  </w:style>
  <w:style w:type="paragraph" w:styleId="Revision">
    <w:name w:val="Revision"/>
    <w:hidden/>
    <w:uiPriority w:val="99"/>
    <w:semiHidden/>
    <w:rsid w:val="00CB5132"/>
    <w:rPr>
      <w:rFonts w:eastAsiaTheme="minorHAnsi" w:cstheme="minorBidi"/>
      <w:sz w:val="22"/>
      <w:lang w:eastAsia="en-US"/>
    </w:rPr>
  </w:style>
  <w:style w:type="paragraph" w:customStyle="1" w:styleId="EnStatement">
    <w:name w:val="EnStatement"/>
    <w:basedOn w:val="Normal"/>
    <w:rsid w:val="00A93530"/>
    <w:pPr>
      <w:numPr>
        <w:numId w:val="48"/>
      </w:numPr>
    </w:pPr>
    <w:rPr>
      <w:rFonts w:eastAsia="Times New Roman" w:cs="Times New Roman"/>
      <w:lang w:eastAsia="en-AU"/>
    </w:rPr>
  </w:style>
  <w:style w:type="paragraph" w:customStyle="1" w:styleId="EnStatementHeading">
    <w:name w:val="EnStatementHeading"/>
    <w:basedOn w:val="Normal"/>
    <w:rsid w:val="00A93530"/>
    <w:rPr>
      <w:rFonts w:eastAsia="Times New Roman" w:cs="Times New Roman"/>
      <w:b/>
      <w:lang w:eastAsia="en-AU"/>
    </w:rPr>
  </w:style>
  <w:style w:type="paragraph" w:customStyle="1" w:styleId="Transitional">
    <w:name w:val="Transitional"/>
    <w:aliases w:val="tr"/>
    <w:basedOn w:val="Normal"/>
    <w:next w:val="Normal"/>
    <w:rsid w:val="00A93530"/>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3530"/>
    <w:pPr>
      <w:spacing w:line="260" w:lineRule="atLeast"/>
    </w:pPr>
    <w:rPr>
      <w:rFonts w:eastAsiaTheme="minorHAnsi" w:cstheme="minorBidi"/>
      <w:sz w:val="22"/>
      <w:lang w:eastAsia="en-US"/>
    </w:rPr>
  </w:style>
  <w:style w:type="paragraph" w:styleId="Heading1">
    <w:name w:val="heading 1"/>
    <w:next w:val="Heading2"/>
    <w:autoRedefine/>
    <w:qFormat/>
    <w:rsid w:val="005537B5"/>
    <w:pPr>
      <w:keepNext/>
      <w:keepLines/>
      <w:ind w:left="1134" w:hanging="1134"/>
      <w:outlineLvl w:val="0"/>
    </w:pPr>
    <w:rPr>
      <w:b/>
      <w:bCs/>
      <w:kern w:val="28"/>
      <w:sz w:val="36"/>
      <w:szCs w:val="32"/>
    </w:rPr>
  </w:style>
  <w:style w:type="paragraph" w:styleId="Heading2">
    <w:name w:val="heading 2"/>
    <w:basedOn w:val="Heading1"/>
    <w:next w:val="Heading3"/>
    <w:autoRedefine/>
    <w:qFormat/>
    <w:rsid w:val="005537B5"/>
    <w:pPr>
      <w:spacing w:before="280"/>
      <w:outlineLvl w:val="1"/>
    </w:pPr>
    <w:rPr>
      <w:bCs w:val="0"/>
      <w:iCs/>
      <w:sz w:val="32"/>
      <w:szCs w:val="28"/>
    </w:rPr>
  </w:style>
  <w:style w:type="paragraph" w:styleId="Heading3">
    <w:name w:val="heading 3"/>
    <w:basedOn w:val="Heading1"/>
    <w:next w:val="Heading4"/>
    <w:autoRedefine/>
    <w:qFormat/>
    <w:rsid w:val="005537B5"/>
    <w:pPr>
      <w:spacing w:before="240"/>
      <w:outlineLvl w:val="2"/>
    </w:pPr>
    <w:rPr>
      <w:bCs w:val="0"/>
      <w:sz w:val="28"/>
      <w:szCs w:val="26"/>
    </w:rPr>
  </w:style>
  <w:style w:type="paragraph" w:styleId="Heading4">
    <w:name w:val="heading 4"/>
    <w:basedOn w:val="Heading1"/>
    <w:next w:val="Heading5"/>
    <w:autoRedefine/>
    <w:qFormat/>
    <w:rsid w:val="005537B5"/>
    <w:pPr>
      <w:spacing w:before="220"/>
      <w:outlineLvl w:val="3"/>
    </w:pPr>
    <w:rPr>
      <w:bCs w:val="0"/>
      <w:sz w:val="26"/>
      <w:szCs w:val="28"/>
    </w:rPr>
  </w:style>
  <w:style w:type="paragraph" w:styleId="Heading5">
    <w:name w:val="heading 5"/>
    <w:basedOn w:val="Heading1"/>
    <w:next w:val="subsection"/>
    <w:autoRedefine/>
    <w:qFormat/>
    <w:rsid w:val="005537B5"/>
    <w:pPr>
      <w:spacing w:before="280"/>
      <w:outlineLvl w:val="4"/>
    </w:pPr>
    <w:rPr>
      <w:bCs w:val="0"/>
      <w:iCs/>
      <w:sz w:val="24"/>
      <w:szCs w:val="26"/>
    </w:rPr>
  </w:style>
  <w:style w:type="paragraph" w:styleId="Heading6">
    <w:name w:val="heading 6"/>
    <w:basedOn w:val="Heading1"/>
    <w:next w:val="Heading7"/>
    <w:autoRedefine/>
    <w:qFormat/>
    <w:rsid w:val="005537B5"/>
    <w:pPr>
      <w:outlineLvl w:val="5"/>
    </w:pPr>
    <w:rPr>
      <w:rFonts w:ascii="Arial" w:hAnsi="Arial" w:cs="Arial"/>
      <w:bCs w:val="0"/>
      <w:sz w:val="32"/>
      <w:szCs w:val="22"/>
    </w:rPr>
  </w:style>
  <w:style w:type="paragraph" w:styleId="Heading7">
    <w:name w:val="heading 7"/>
    <w:basedOn w:val="Heading6"/>
    <w:next w:val="Normal"/>
    <w:autoRedefine/>
    <w:qFormat/>
    <w:rsid w:val="005537B5"/>
    <w:pPr>
      <w:spacing w:before="280"/>
      <w:outlineLvl w:val="6"/>
    </w:pPr>
    <w:rPr>
      <w:sz w:val="28"/>
    </w:rPr>
  </w:style>
  <w:style w:type="paragraph" w:styleId="Heading8">
    <w:name w:val="heading 8"/>
    <w:basedOn w:val="Heading6"/>
    <w:next w:val="Normal"/>
    <w:autoRedefine/>
    <w:qFormat/>
    <w:rsid w:val="005537B5"/>
    <w:pPr>
      <w:spacing w:before="240"/>
      <w:outlineLvl w:val="7"/>
    </w:pPr>
    <w:rPr>
      <w:iCs/>
      <w:sz w:val="26"/>
    </w:rPr>
  </w:style>
  <w:style w:type="paragraph" w:styleId="Heading9">
    <w:name w:val="heading 9"/>
    <w:basedOn w:val="Heading1"/>
    <w:next w:val="Normal"/>
    <w:autoRedefine/>
    <w:qFormat/>
    <w:rsid w:val="005537B5"/>
    <w:pPr>
      <w:keepNext w:val="0"/>
      <w:spacing w:before="280"/>
      <w:outlineLvl w:val="8"/>
    </w:pPr>
    <w:rPr>
      <w:i/>
      <w:sz w:val="28"/>
      <w:szCs w:val="22"/>
    </w:rPr>
  </w:style>
  <w:style w:type="character" w:default="1" w:styleId="DefaultParagraphFont">
    <w:name w:val="Default Paragraph Font"/>
    <w:uiPriority w:val="1"/>
    <w:unhideWhenUsed/>
    <w:rsid w:val="00A935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3530"/>
  </w:style>
  <w:style w:type="numbering" w:styleId="111111">
    <w:name w:val="Outline List 2"/>
    <w:basedOn w:val="NoList"/>
    <w:rsid w:val="005537B5"/>
    <w:pPr>
      <w:numPr>
        <w:numId w:val="1"/>
      </w:numPr>
    </w:pPr>
  </w:style>
  <w:style w:type="numbering" w:styleId="1ai">
    <w:name w:val="Outline List 1"/>
    <w:basedOn w:val="NoList"/>
    <w:rsid w:val="005537B5"/>
    <w:pPr>
      <w:numPr>
        <w:numId w:val="4"/>
      </w:numPr>
    </w:pPr>
  </w:style>
  <w:style w:type="paragraph" w:customStyle="1" w:styleId="ActHead1">
    <w:name w:val="ActHead 1"/>
    <w:aliases w:val="c"/>
    <w:basedOn w:val="OPCParaBase"/>
    <w:next w:val="Normal"/>
    <w:qFormat/>
    <w:rsid w:val="00A9353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9353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9353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9353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9353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9353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9353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9353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93530"/>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A9353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A93530"/>
  </w:style>
  <w:style w:type="character" w:customStyle="1" w:styleId="SOTextChar">
    <w:name w:val="SO Text Char"/>
    <w:aliases w:val="sot Char"/>
    <w:basedOn w:val="DefaultParagraphFont"/>
    <w:link w:val="SOText"/>
    <w:rsid w:val="00A93530"/>
    <w:rPr>
      <w:rFonts w:eastAsiaTheme="minorHAnsi" w:cstheme="minorBidi"/>
      <w:sz w:val="22"/>
      <w:lang w:eastAsia="en-US"/>
    </w:rPr>
  </w:style>
  <w:style w:type="paragraph" w:customStyle="1" w:styleId="SOTextNote">
    <w:name w:val="SO TextNote"/>
    <w:aliases w:val="sont"/>
    <w:basedOn w:val="SOText"/>
    <w:qFormat/>
    <w:rsid w:val="00A93530"/>
    <w:pPr>
      <w:spacing w:before="122" w:line="198" w:lineRule="exact"/>
      <w:ind w:left="1843" w:hanging="709"/>
    </w:pPr>
    <w:rPr>
      <w:sz w:val="18"/>
    </w:rPr>
  </w:style>
  <w:style w:type="paragraph" w:customStyle="1" w:styleId="SOPara">
    <w:name w:val="SO Para"/>
    <w:aliases w:val="soa"/>
    <w:basedOn w:val="SOText"/>
    <w:link w:val="SOParaChar"/>
    <w:qFormat/>
    <w:rsid w:val="00A93530"/>
    <w:pPr>
      <w:tabs>
        <w:tab w:val="right" w:pos="1786"/>
      </w:tabs>
      <w:spacing w:before="40"/>
      <w:ind w:left="2070" w:hanging="936"/>
    </w:pPr>
  </w:style>
  <w:style w:type="character" w:customStyle="1" w:styleId="SOParaChar">
    <w:name w:val="SO Para Char"/>
    <w:aliases w:val="soa Char"/>
    <w:basedOn w:val="DefaultParagraphFont"/>
    <w:link w:val="SOPara"/>
    <w:rsid w:val="00A93530"/>
    <w:rPr>
      <w:rFonts w:eastAsiaTheme="minorHAnsi" w:cstheme="minorBidi"/>
      <w:sz w:val="22"/>
      <w:lang w:eastAsia="en-US"/>
    </w:rPr>
  </w:style>
  <w:style w:type="paragraph" w:customStyle="1" w:styleId="FileName">
    <w:name w:val="FileName"/>
    <w:basedOn w:val="Normal"/>
    <w:rsid w:val="00A93530"/>
  </w:style>
  <w:style w:type="paragraph" w:customStyle="1" w:styleId="SOHeadBold">
    <w:name w:val="SO HeadBold"/>
    <w:aliases w:val="sohb"/>
    <w:basedOn w:val="SOText"/>
    <w:next w:val="SOText"/>
    <w:link w:val="SOHeadBoldChar"/>
    <w:qFormat/>
    <w:rsid w:val="00A93530"/>
    <w:rPr>
      <w:b/>
    </w:rPr>
  </w:style>
  <w:style w:type="numbering" w:styleId="ArticleSection">
    <w:name w:val="Outline List 3"/>
    <w:basedOn w:val="NoList"/>
    <w:rsid w:val="005537B5"/>
    <w:pPr>
      <w:numPr>
        <w:numId w:val="5"/>
      </w:numPr>
    </w:pPr>
  </w:style>
  <w:style w:type="character" w:customStyle="1" w:styleId="SOHeadBoldChar">
    <w:name w:val="SO HeadBold Char"/>
    <w:aliases w:val="sohb Char"/>
    <w:basedOn w:val="DefaultParagraphFont"/>
    <w:link w:val="SOHeadBold"/>
    <w:rsid w:val="00A9353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93530"/>
    <w:rPr>
      <w:i/>
    </w:rPr>
  </w:style>
  <w:style w:type="paragraph" w:styleId="BalloonText">
    <w:name w:val="Balloon Text"/>
    <w:basedOn w:val="Normal"/>
    <w:link w:val="BalloonTextChar"/>
    <w:uiPriority w:val="99"/>
    <w:unhideWhenUsed/>
    <w:rsid w:val="00A93530"/>
    <w:pPr>
      <w:spacing w:line="240" w:lineRule="auto"/>
    </w:pPr>
    <w:rPr>
      <w:rFonts w:ascii="Tahoma" w:hAnsi="Tahoma" w:cs="Tahoma"/>
      <w:sz w:val="16"/>
      <w:szCs w:val="16"/>
    </w:rPr>
  </w:style>
  <w:style w:type="paragraph" w:styleId="BlockText">
    <w:name w:val="Block Text"/>
    <w:rsid w:val="005537B5"/>
    <w:pPr>
      <w:spacing w:after="120"/>
      <w:ind w:left="1440" w:right="1440"/>
    </w:pPr>
    <w:rPr>
      <w:sz w:val="22"/>
      <w:szCs w:val="24"/>
    </w:rPr>
  </w:style>
  <w:style w:type="paragraph" w:customStyle="1" w:styleId="Blocks">
    <w:name w:val="Blocks"/>
    <w:aliases w:val="bb"/>
    <w:basedOn w:val="OPCParaBase"/>
    <w:qFormat/>
    <w:rsid w:val="00A93530"/>
    <w:pPr>
      <w:spacing w:line="240" w:lineRule="auto"/>
    </w:pPr>
    <w:rPr>
      <w:sz w:val="24"/>
    </w:rPr>
  </w:style>
  <w:style w:type="paragraph" w:styleId="BodyText">
    <w:name w:val="Body Text"/>
    <w:rsid w:val="005537B5"/>
    <w:pPr>
      <w:spacing w:after="120"/>
    </w:pPr>
    <w:rPr>
      <w:sz w:val="22"/>
      <w:szCs w:val="24"/>
    </w:rPr>
  </w:style>
  <w:style w:type="paragraph" w:styleId="BodyText2">
    <w:name w:val="Body Text 2"/>
    <w:rsid w:val="005537B5"/>
    <w:pPr>
      <w:spacing w:after="120" w:line="480" w:lineRule="auto"/>
    </w:pPr>
    <w:rPr>
      <w:sz w:val="22"/>
      <w:szCs w:val="24"/>
    </w:rPr>
  </w:style>
  <w:style w:type="paragraph" w:styleId="BodyText3">
    <w:name w:val="Body Text 3"/>
    <w:rsid w:val="005537B5"/>
    <w:pPr>
      <w:spacing w:after="120"/>
    </w:pPr>
    <w:rPr>
      <w:sz w:val="16"/>
      <w:szCs w:val="16"/>
    </w:rPr>
  </w:style>
  <w:style w:type="paragraph" w:styleId="BodyTextFirstIndent">
    <w:name w:val="Body Text First Indent"/>
    <w:basedOn w:val="BodyText"/>
    <w:rsid w:val="005537B5"/>
    <w:pPr>
      <w:ind w:firstLine="210"/>
    </w:pPr>
  </w:style>
  <w:style w:type="paragraph" w:styleId="BodyTextIndent">
    <w:name w:val="Body Text Indent"/>
    <w:rsid w:val="005537B5"/>
    <w:pPr>
      <w:spacing w:after="120"/>
      <w:ind w:left="283"/>
    </w:pPr>
    <w:rPr>
      <w:sz w:val="22"/>
      <w:szCs w:val="24"/>
    </w:rPr>
  </w:style>
  <w:style w:type="paragraph" w:styleId="BodyTextFirstIndent2">
    <w:name w:val="Body Text First Indent 2"/>
    <w:basedOn w:val="BodyTextIndent"/>
    <w:rsid w:val="005537B5"/>
    <w:pPr>
      <w:ind w:firstLine="210"/>
    </w:pPr>
  </w:style>
  <w:style w:type="paragraph" w:styleId="BodyTextIndent2">
    <w:name w:val="Body Text Indent 2"/>
    <w:rsid w:val="005537B5"/>
    <w:pPr>
      <w:spacing w:after="120" w:line="480" w:lineRule="auto"/>
      <w:ind w:left="283"/>
    </w:pPr>
    <w:rPr>
      <w:sz w:val="22"/>
      <w:szCs w:val="24"/>
    </w:rPr>
  </w:style>
  <w:style w:type="paragraph" w:styleId="BodyTextIndent3">
    <w:name w:val="Body Text Indent 3"/>
    <w:rsid w:val="005537B5"/>
    <w:pPr>
      <w:spacing w:after="120"/>
      <w:ind w:left="283"/>
    </w:pPr>
    <w:rPr>
      <w:sz w:val="16"/>
      <w:szCs w:val="16"/>
    </w:rPr>
  </w:style>
  <w:style w:type="character" w:customStyle="1" w:styleId="SOHeadItalicChar">
    <w:name w:val="SO HeadItalic Char"/>
    <w:aliases w:val="sohi Char"/>
    <w:basedOn w:val="DefaultParagraphFont"/>
    <w:link w:val="SOHeadItalic"/>
    <w:rsid w:val="00A93530"/>
    <w:rPr>
      <w:rFonts w:eastAsiaTheme="minorHAnsi" w:cstheme="minorBidi"/>
      <w:i/>
      <w:sz w:val="22"/>
      <w:lang w:eastAsia="en-US"/>
    </w:rPr>
  </w:style>
  <w:style w:type="paragraph" w:customStyle="1" w:styleId="BoxText">
    <w:name w:val="BoxText"/>
    <w:aliases w:val="bt"/>
    <w:basedOn w:val="OPCParaBase"/>
    <w:qFormat/>
    <w:rsid w:val="00A9353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93530"/>
    <w:rPr>
      <w:b/>
    </w:rPr>
  </w:style>
  <w:style w:type="paragraph" w:customStyle="1" w:styleId="BoxHeadItalic">
    <w:name w:val="BoxHeadItalic"/>
    <w:aliases w:val="bhi"/>
    <w:basedOn w:val="BoxText"/>
    <w:next w:val="BoxStep"/>
    <w:qFormat/>
    <w:rsid w:val="00A93530"/>
    <w:rPr>
      <w:i/>
    </w:rPr>
  </w:style>
  <w:style w:type="paragraph" w:customStyle="1" w:styleId="BoxList">
    <w:name w:val="BoxList"/>
    <w:aliases w:val="bl"/>
    <w:basedOn w:val="BoxText"/>
    <w:qFormat/>
    <w:rsid w:val="00A93530"/>
    <w:pPr>
      <w:ind w:left="1559" w:hanging="425"/>
    </w:pPr>
  </w:style>
  <w:style w:type="paragraph" w:customStyle="1" w:styleId="BoxNote">
    <w:name w:val="BoxNote"/>
    <w:aliases w:val="bn"/>
    <w:basedOn w:val="BoxText"/>
    <w:qFormat/>
    <w:rsid w:val="00A93530"/>
    <w:pPr>
      <w:tabs>
        <w:tab w:val="left" w:pos="1985"/>
      </w:tabs>
      <w:spacing w:before="122" w:line="198" w:lineRule="exact"/>
      <w:ind w:left="2948" w:hanging="1814"/>
    </w:pPr>
    <w:rPr>
      <w:sz w:val="18"/>
    </w:rPr>
  </w:style>
  <w:style w:type="paragraph" w:customStyle="1" w:styleId="BoxPara">
    <w:name w:val="BoxPara"/>
    <w:aliases w:val="bp"/>
    <w:basedOn w:val="BoxText"/>
    <w:qFormat/>
    <w:rsid w:val="00A93530"/>
    <w:pPr>
      <w:tabs>
        <w:tab w:val="right" w:pos="2268"/>
      </w:tabs>
      <w:ind w:left="2552" w:hanging="1418"/>
    </w:pPr>
  </w:style>
  <w:style w:type="paragraph" w:customStyle="1" w:styleId="BoxStep">
    <w:name w:val="BoxStep"/>
    <w:aliases w:val="bs"/>
    <w:basedOn w:val="BoxText"/>
    <w:qFormat/>
    <w:rsid w:val="00A93530"/>
    <w:pPr>
      <w:ind w:left="1985" w:hanging="851"/>
    </w:pPr>
  </w:style>
  <w:style w:type="paragraph" w:styleId="Caption">
    <w:name w:val="caption"/>
    <w:next w:val="Normal"/>
    <w:qFormat/>
    <w:rsid w:val="005537B5"/>
    <w:pPr>
      <w:spacing w:before="120" w:after="120"/>
    </w:pPr>
    <w:rPr>
      <w:b/>
      <w:bCs/>
    </w:rPr>
  </w:style>
  <w:style w:type="character" w:customStyle="1" w:styleId="CharAmPartNo">
    <w:name w:val="CharAmPartNo"/>
    <w:basedOn w:val="OPCCharBase"/>
    <w:uiPriority w:val="1"/>
    <w:qFormat/>
    <w:rsid w:val="00A93530"/>
  </w:style>
  <w:style w:type="character" w:customStyle="1" w:styleId="CharAmPartText">
    <w:name w:val="CharAmPartText"/>
    <w:basedOn w:val="OPCCharBase"/>
    <w:uiPriority w:val="1"/>
    <w:qFormat/>
    <w:rsid w:val="00A93530"/>
  </w:style>
  <w:style w:type="character" w:customStyle="1" w:styleId="CharAmSchNo">
    <w:name w:val="CharAmSchNo"/>
    <w:basedOn w:val="OPCCharBase"/>
    <w:uiPriority w:val="1"/>
    <w:qFormat/>
    <w:rsid w:val="00A93530"/>
  </w:style>
  <w:style w:type="character" w:customStyle="1" w:styleId="CharAmSchText">
    <w:name w:val="CharAmSchText"/>
    <w:basedOn w:val="OPCCharBase"/>
    <w:uiPriority w:val="1"/>
    <w:qFormat/>
    <w:rsid w:val="00A93530"/>
  </w:style>
  <w:style w:type="character" w:customStyle="1" w:styleId="CharBoldItalic">
    <w:name w:val="CharBoldItalic"/>
    <w:basedOn w:val="OPCCharBase"/>
    <w:uiPriority w:val="1"/>
    <w:qFormat/>
    <w:rsid w:val="00A93530"/>
    <w:rPr>
      <w:b/>
      <w:i/>
    </w:rPr>
  </w:style>
  <w:style w:type="character" w:customStyle="1" w:styleId="CharChapNo">
    <w:name w:val="CharChapNo"/>
    <w:basedOn w:val="OPCCharBase"/>
    <w:qFormat/>
    <w:rsid w:val="00A93530"/>
  </w:style>
  <w:style w:type="character" w:customStyle="1" w:styleId="CharChapText">
    <w:name w:val="CharChapText"/>
    <w:basedOn w:val="OPCCharBase"/>
    <w:qFormat/>
    <w:rsid w:val="00A93530"/>
  </w:style>
  <w:style w:type="character" w:customStyle="1" w:styleId="CharDivNo">
    <w:name w:val="CharDivNo"/>
    <w:basedOn w:val="OPCCharBase"/>
    <w:qFormat/>
    <w:rsid w:val="00A93530"/>
  </w:style>
  <w:style w:type="character" w:customStyle="1" w:styleId="CharDivText">
    <w:name w:val="CharDivText"/>
    <w:basedOn w:val="OPCCharBase"/>
    <w:qFormat/>
    <w:rsid w:val="00A93530"/>
  </w:style>
  <w:style w:type="character" w:customStyle="1" w:styleId="CharItalic">
    <w:name w:val="CharItalic"/>
    <w:basedOn w:val="OPCCharBase"/>
    <w:uiPriority w:val="1"/>
    <w:qFormat/>
    <w:rsid w:val="00A93530"/>
    <w:rPr>
      <w:i/>
    </w:rPr>
  </w:style>
  <w:style w:type="character" w:customStyle="1" w:styleId="CharNotesItals">
    <w:name w:val="CharNotesItals"/>
    <w:rsid w:val="005537B5"/>
    <w:rPr>
      <w:i/>
    </w:rPr>
  </w:style>
  <w:style w:type="paragraph" w:customStyle="1" w:styleId="SOBullet">
    <w:name w:val="SO Bullet"/>
    <w:aliases w:val="sotb"/>
    <w:basedOn w:val="SOText"/>
    <w:link w:val="SOBulletChar"/>
    <w:qFormat/>
    <w:rsid w:val="00A93530"/>
    <w:pPr>
      <w:ind w:left="1559" w:hanging="425"/>
    </w:pPr>
  </w:style>
  <w:style w:type="character" w:customStyle="1" w:styleId="CharPartNo">
    <w:name w:val="CharPartNo"/>
    <w:basedOn w:val="OPCCharBase"/>
    <w:qFormat/>
    <w:rsid w:val="00A93530"/>
  </w:style>
  <w:style w:type="character" w:customStyle="1" w:styleId="CharPartText">
    <w:name w:val="CharPartText"/>
    <w:basedOn w:val="OPCCharBase"/>
    <w:qFormat/>
    <w:rsid w:val="00A93530"/>
  </w:style>
  <w:style w:type="character" w:customStyle="1" w:styleId="CharSectno">
    <w:name w:val="CharSectno"/>
    <w:basedOn w:val="OPCCharBase"/>
    <w:qFormat/>
    <w:rsid w:val="00A93530"/>
  </w:style>
  <w:style w:type="character" w:customStyle="1" w:styleId="CharSubdNo">
    <w:name w:val="CharSubdNo"/>
    <w:basedOn w:val="OPCCharBase"/>
    <w:uiPriority w:val="1"/>
    <w:qFormat/>
    <w:rsid w:val="00A93530"/>
  </w:style>
  <w:style w:type="character" w:customStyle="1" w:styleId="CharSubdText">
    <w:name w:val="CharSubdText"/>
    <w:basedOn w:val="OPCCharBase"/>
    <w:uiPriority w:val="1"/>
    <w:qFormat/>
    <w:rsid w:val="00A93530"/>
  </w:style>
  <w:style w:type="paragraph" w:styleId="Closing">
    <w:name w:val="Closing"/>
    <w:rsid w:val="005537B5"/>
    <w:pPr>
      <w:ind w:left="4252"/>
    </w:pPr>
    <w:rPr>
      <w:sz w:val="22"/>
      <w:szCs w:val="24"/>
    </w:rPr>
  </w:style>
  <w:style w:type="character" w:styleId="CommentReference">
    <w:name w:val="annotation reference"/>
    <w:rsid w:val="005537B5"/>
    <w:rPr>
      <w:sz w:val="16"/>
      <w:szCs w:val="16"/>
    </w:rPr>
  </w:style>
  <w:style w:type="paragraph" w:styleId="CommentText">
    <w:name w:val="annotation text"/>
    <w:rsid w:val="005537B5"/>
  </w:style>
  <w:style w:type="paragraph" w:styleId="CommentSubject">
    <w:name w:val="annotation subject"/>
    <w:next w:val="CommentText"/>
    <w:rsid w:val="005537B5"/>
    <w:rPr>
      <w:b/>
      <w:bCs/>
      <w:szCs w:val="24"/>
    </w:rPr>
  </w:style>
  <w:style w:type="character" w:customStyle="1" w:styleId="SOBulletChar">
    <w:name w:val="SO Bullet Char"/>
    <w:aliases w:val="sotb Char"/>
    <w:basedOn w:val="DefaultParagraphFont"/>
    <w:link w:val="SOBullet"/>
    <w:rsid w:val="00A93530"/>
    <w:rPr>
      <w:rFonts w:eastAsiaTheme="minorHAnsi" w:cstheme="minorBidi"/>
      <w:sz w:val="22"/>
      <w:lang w:eastAsia="en-US"/>
    </w:rPr>
  </w:style>
  <w:style w:type="paragraph" w:customStyle="1" w:styleId="SOBulletNote">
    <w:name w:val="SO BulletNote"/>
    <w:aliases w:val="sonb"/>
    <w:basedOn w:val="SOTextNote"/>
    <w:link w:val="SOBulletNoteChar"/>
    <w:qFormat/>
    <w:rsid w:val="00A93530"/>
    <w:pPr>
      <w:tabs>
        <w:tab w:val="left" w:pos="1560"/>
      </w:tabs>
      <w:ind w:left="2268" w:hanging="1134"/>
    </w:pPr>
  </w:style>
  <w:style w:type="character" w:customStyle="1" w:styleId="SOBulletNoteChar">
    <w:name w:val="SO BulletNote Char"/>
    <w:aliases w:val="sonb Char"/>
    <w:basedOn w:val="DefaultParagraphFont"/>
    <w:link w:val="SOBulletNote"/>
    <w:rsid w:val="00A93530"/>
    <w:rPr>
      <w:rFonts w:eastAsiaTheme="minorHAnsi" w:cstheme="minorBidi"/>
      <w:sz w:val="18"/>
      <w:lang w:eastAsia="en-US"/>
    </w:rPr>
  </w:style>
  <w:style w:type="paragraph" w:customStyle="1" w:styleId="notetext">
    <w:name w:val="note(text)"/>
    <w:aliases w:val="n"/>
    <w:basedOn w:val="OPCParaBase"/>
    <w:rsid w:val="00A93530"/>
    <w:pPr>
      <w:spacing w:before="122" w:line="240" w:lineRule="auto"/>
      <w:ind w:left="1985" w:hanging="851"/>
    </w:pPr>
    <w:rPr>
      <w:sz w:val="18"/>
    </w:rPr>
  </w:style>
  <w:style w:type="paragraph" w:customStyle="1" w:styleId="notemargin">
    <w:name w:val="note(margin)"/>
    <w:aliases w:val="nm"/>
    <w:basedOn w:val="OPCParaBase"/>
    <w:rsid w:val="00A93530"/>
    <w:pPr>
      <w:tabs>
        <w:tab w:val="left" w:pos="709"/>
      </w:tabs>
      <w:spacing w:before="122" w:line="198" w:lineRule="exact"/>
      <w:ind w:left="709" w:hanging="709"/>
    </w:pPr>
    <w:rPr>
      <w:sz w:val="18"/>
    </w:rPr>
  </w:style>
  <w:style w:type="paragraph" w:customStyle="1" w:styleId="CTA-">
    <w:name w:val="CTA -"/>
    <w:basedOn w:val="OPCParaBase"/>
    <w:rsid w:val="00A93530"/>
    <w:pPr>
      <w:spacing w:before="60" w:line="240" w:lineRule="atLeast"/>
      <w:ind w:left="85" w:hanging="85"/>
    </w:pPr>
    <w:rPr>
      <w:sz w:val="20"/>
    </w:rPr>
  </w:style>
  <w:style w:type="paragraph" w:customStyle="1" w:styleId="CTA--">
    <w:name w:val="CTA --"/>
    <w:basedOn w:val="OPCParaBase"/>
    <w:next w:val="Normal"/>
    <w:rsid w:val="00A93530"/>
    <w:pPr>
      <w:spacing w:before="60" w:line="240" w:lineRule="atLeast"/>
      <w:ind w:left="142" w:hanging="142"/>
    </w:pPr>
    <w:rPr>
      <w:sz w:val="20"/>
    </w:rPr>
  </w:style>
  <w:style w:type="paragraph" w:customStyle="1" w:styleId="CTA---">
    <w:name w:val="CTA ---"/>
    <w:basedOn w:val="OPCParaBase"/>
    <w:next w:val="Normal"/>
    <w:rsid w:val="00A93530"/>
    <w:pPr>
      <w:spacing w:before="60" w:line="240" w:lineRule="atLeast"/>
      <w:ind w:left="198" w:hanging="198"/>
    </w:pPr>
    <w:rPr>
      <w:sz w:val="20"/>
    </w:rPr>
  </w:style>
  <w:style w:type="paragraph" w:customStyle="1" w:styleId="CTA----">
    <w:name w:val="CTA ----"/>
    <w:basedOn w:val="OPCParaBase"/>
    <w:next w:val="Normal"/>
    <w:rsid w:val="00A93530"/>
    <w:pPr>
      <w:spacing w:before="60" w:line="240" w:lineRule="atLeast"/>
      <w:ind w:left="255" w:hanging="255"/>
    </w:pPr>
    <w:rPr>
      <w:sz w:val="20"/>
    </w:rPr>
  </w:style>
  <w:style w:type="paragraph" w:customStyle="1" w:styleId="CTA1a">
    <w:name w:val="CTA 1(a)"/>
    <w:basedOn w:val="OPCParaBase"/>
    <w:rsid w:val="00A93530"/>
    <w:pPr>
      <w:tabs>
        <w:tab w:val="right" w:pos="414"/>
      </w:tabs>
      <w:spacing w:before="40" w:line="240" w:lineRule="atLeast"/>
      <w:ind w:left="675" w:hanging="675"/>
    </w:pPr>
    <w:rPr>
      <w:sz w:val="20"/>
    </w:rPr>
  </w:style>
  <w:style w:type="paragraph" w:customStyle="1" w:styleId="CTA1ai">
    <w:name w:val="CTA 1(a)(i)"/>
    <w:basedOn w:val="OPCParaBase"/>
    <w:rsid w:val="00A93530"/>
    <w:pPr>
      <w:tabs>
        <w:tab w:val="right" w:pos="1004"/>
      </w:tabs>
      <w:spacing w:before="40" w:line="240" w:lineRule="atLeast"/>
      <w:ind w:left="1253" w:hanging="1253"/>
    </w:pPr>
    <w:rPr>
      <w:sz w:val="20"/>
    </w:rPr>
  </w:style>
  <w:style w:type="paragraph" w:customStyle="1" w:styleId="CTA2a">
    <w:name w:val="CTA 2(a)"/>
    <w:basedOn w:val="OPCParaBase"/>
    <w:rsid w:val="00A93530"/>
    <w:pPr>
      <w:tabs>
        <w:tab w:val="right" w:pos="482"/>
      </w:tabs>
      <w:spacing w:before="40" w:line="240" w:lineRule="atLeast"/>
      <w:ind w:left="748" w:hanging="748"/>
    </w:pPr>
    <w:rPr>
      <w:sz w:val="20"/>
    </w:rPr>
  </w:style>
  <w:style w:type="paragraph" w:customStyle="1" w:styleId="CTA2ai">
    <w:name w:val="CTA 2(a)(i)"/>
    <w:basedOn w:val="OPCParaBase"/>
    <w:rsid w:val="00A93530"/>
    <w:pPr>
      <w:tabs>
        <w:tab w:val="right" w:pos="1089"/>
      </w:tabs>
      <w:spacing w:before="40" w:line="240" w:lineRule="atLeast"/>
      <w:ind w:left="1327" w:hanging="1327"/>
    </w:pPr>
    <w:rPr>
      <w:sz w:val="20"/>
    </w:rPr>
  </w:style>
  <w:style w:type="paragraph" w:customStyle="1" w:styleId="CTA3a">
    <w:name w:val="CTA 3(a)"/>
    <w:basedOn w:val="OPCParaBase"/>
    <w:rsid w:val="00A93530"/>
    <w:pPr>
      <w:tabs>
        <w:tab w:val="right" w:pos="556"/>
      </w:tabs>
      <w:spacing w:before="40" w:line="240" w:lineRule="atLeast"/>
      <w:ind w:left="805" w:hanging="805"/>
    </w:pPr>
    <w:rPr>
      <w:sz w:val="20"/>
    </w:rPr>
  </w:style>
  <w:style w:type="paragraph" w:customStyle="1" w:styleId="CTA3ai">
    <w:name w:val="CTA 3(a)(i)"/>
    <w:basedOn w:val="OPCParaBase"/>
    <w:rsid w:val="00A93530"/>
    <w:pPr>
      <w:tabs>
        <w:tab w:val="right" w:pos="1140"/>
      </w:tabs>
      <w:spacing w:before="40" w:line="240" w:lineRule="atLeast"/>
      <w:ind w:left="1361" w:hanging="1361"/>
    </w:pPr>
    <w:rPr>
      <w:sz w:val="20"/>
    </w:rPr>
  </w:style>
  <w:style w:type="paragraph" w:customStyle="1" w:styleId="CTA4a">
    <w:name w:val="CTA 4(a)"/>
    <w:basedOn w:val="OPCParaBase"/>
    <w:rsid w:val="00A93530"/>
    <w:pPr>
      <w:tabs>
        <w:tab w:val="right" w:pos="624"/>
      </w:tabs>
      <w:spacing w:before="40" w:line="240" w:lineRule="atLeast"/>
      <w:ind w:left="873" w:hanging="873"/>
    </w:pPr>
    <w:rPr>
      <w:sz w:val="20"/>
    </w:rPr>
  </w:style>
  <w:style w:type="paragraph" w:customStyle="1" w:styleId="CTA4ai">
    <w:name w:val="CTA 4(a)(i)"/>
    <w:basedOn w:val="OPCParaBase"/>
    <w:rsid w:val="00A93530"/>
    <w:pPr>
      <w:tabs>
        <w:tab w:val="right" w:pos="1213"/>
      </w:tabs>
      <w:spacing w:before="40" w:line="240" w:lineRule="atLeast"/>
      <w:ind w:left="1452" w:hanging="1452"/>
    </w:pPr>
    <w:rPr>
      <w:sz w:val="20"/>
    </w:rPr>
  </w:style>
  <w:style w:type="paragraph" w:customStyle="1" w:styleId="CTACAPS">
    <w:name w:val="CTA CAPS"/>
    <w:basedOn w:val="OPCParaBase"/>
    <w:rsid w:val="00A93530"/>
    <w:pPr>
      <w:spacing w:before="60" w:line="240" w:lineRule="atLeast"/>
    </w:pPr>
    <w:rPr>
      <w:sz w:val="20"/>
    </w:rPr>
  </w:style>
  <w:style w:type="paragraph" w:customStyle="1" w:styleId="CTAright">
    <w:name w:val="CTA right"/>
    <w:basedOn w:val="OPCParaBase"/>
    <w:rsid w:val="00A93530"/>
    <w:pPr>
      <w:spacing w:before="60" w:line="240" w:lineRule="auto"/>
      <w:jc w:val="right"/>
    </w:pPr>
    <w:rPr>
      <w:sz w:val="20"/>
    </w:rPr>
  </w:style>
  <w:style w:type="paragraph" w:styleId="Date">
    <w:name w:val="Date"/>
    <w:next w:val="Normal"/>
    <w:rsid w:val="005537B5"/>
    <w:rPr>
      <w:sz w:val="22"/>
      <w:szCs w:val="24"/>
    </w:rPr>
  </w:style>
  <w:style w:type="paragraph" w:customStyle="1" w:styleId="subsection">
    <w:name w:val="subsection"/>
    <w:aliases w:val="ss"/>
    <w:basedOn w:val="OPCParaBase"/>
    <w:rsid w:val="00A93530"/>
    <w:pPr>
      <w:tabs>
        <w:tab w:val="right" w:pos="1021"/>
      </w:tabs>
      <w:spacing w:before="180" w:line="240" w:lineRule="auto"/>
      <w:ind w:left="1134" w:hanging="1134"/>
    </w:pPr>
  </w:style>
  <w:style w:type="paragraph" w:customStyle="1" w:styleId="Definition">
    <w:name w:val="Definition"/>
    <w:aliases w:val="dd"/>
    <w:basedOn w:val="OPCParaBase"/>
    <w:rsid w:val="00A93530"/>
    <w:pPr>
      <w:spacing w:before="180" w:line="240" w:lineRule="auto"/>
      <w:ind w:left="1134"/>
    </w:pPr>
  </w:style>
  <w:style w:type="paragraph" w:styleId="DocumentMap">
    <w:name w:val="Document Map"/>
    <w:rsid w:val="005537B5"/>
    <w:pPr>
      <w:shd w:val="clear" w:color="auto" w:fill="000080"/>
    </w:pPr>
    <w:rPr>
      <w:rFonts w:ascii="Tahoma" w:hAnsi="Tahoma" w:cs="Tahoma"/>
      <w:sz w:val="22"/>
      <w:szCs w:val="24"/>
    </w:rPr>
  </w:style>
  <w:style w:type="paragraph" w:styleId="E-mailSignature">
    <w:name w:val="E-mail Signature"/>
    <w:rsid w:val="005537B5"/>
    <w:rPr>
      <w:sz w:val="22"/>
      <w:szCs w:val="24"/>
    </w:rPr>
  </w:style>
  <w:style w:type="character" w:styleId="Emphasis">
    <w:name w:val="Emphasis"/>
    <w:qFormat/>
    <w:rsid w:val="005537B5"/>
    <w:rPr>
      <w:i/>
      <w:iCs/>
    </w:rPr>
  </w:style>
  <w:style w:type="character" w:styleId="EndnoteReference">
    <w:name w:val="endnote reference"/>
    <w:rsid w:val="005537B5"/>
    <w:rPr>
      <w:vertAlign w:val="superscript"/>
    </w:rPr>
  </w:style>
  <w:style w:type="paragraph" w:styleId="EndnoteText">
    <w:name w:val="endnote text"/>
    <w:rsid w:val="005537B5"/>
  </w:style>
  <w:style w:type="paragraph" w:styleId="EnvelopeAddress">
    <w:name w:val="envelope address"/>
    <w:rsid w:val="005537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537B5"/>
    <w:rPr>
      <w:rFonts w:ascii="Arial" w:hAnsi="Arial" w:cs="Arial"/>
    </w:rPr>
  </w:style>
  <w:style w:type="character" w:styleId="FollowedHyperlink">
    <w:name w:val="FollowedHyperlink"/>
    <w:rsid w:val="005537B5"/>
    <w:rPr>
      <w:color w:val="800080"/>
      <w:u w:val="single"/>
    </w:rPr>
  </w:style>
  <w:style w:type="paragraph" w:styleId="Footer">
    <w:name w:val="footer"/>
    <w:link w:val="FooterChar"/>
    <w:rsid w:val="00A93530"/>
    <w:pPr>
      <w:tabs>
        <w:tab w:val="center" w:pos="4153"/>
        <w:tab w:val="right" w:pos="8306"/>
      </w:tabs>
    </w:pPr>
    <w:rPr>
      <w:sz w:val="22"/>
      <w:szCs w:val="24"/>
    </w:rPr>
  </w:style>
  <w:style w:type="character" w:styleId="FootnoteReference">
    <w:name w:val="footnote reference"/>
    <w:rsid w:val="005537B5"/>
    <w:rPr>
      <w:vertAlign w:val="superscript"/>
    </w:rPr>
  </w:style>
  <w:style w:type="paragraph" w:styleId="FootnoteText">
    <w:name w:val="footnote text"/>
    <w:rsid w:val="005537B5"/>
  </w:style>
  <w:style w:type="paragraph" w:customStyle="1" w:styleId="Formula">
    <w:name w:val="Formula"/>
    <w:basedOn w:val="OPCParaBase"/>
    <w:rsid w:val="00A93530"/>
    <w:pPr>
      <w:spacing w:line="240" w:lineRule="auto"/>
      <w:ind w:left="1134"/>
    </w:pPr>
    <w:rPr>
      <w:sz w:val="20"/>
    </w:rPr>
  </w:style>
  <w:style w:type="paragraph" w:styleId="Header">
    <w:name w:val="header"/>
    <w:basedOn w:val="OPCParaBase"/>
    <w:link w:val="HeaderChar"/>
    <w:unhideWhenUsed/>
    <w:rsid w:val="00A93530"/>
    <w:pPr>
      <w:keepNext/>
      <w:keepLines/>
      <w:tabs>
        <w:tab w:val="center" w:pos="4150"/>
        <w:tab w:val="right" w:pos="8307"/>
      </w:tabs>
      <w:spacing w:line="160" w:lineRule="exact"/>
    </w:pPr>
    <w:rPr>
      <w:sz w:val="16"/>
    </w:rPr>
  </w:style>
  <w:style w:type="paragraph" w:customStyle="1" w:styleId="House">
    <w:name w:val="House"/>
    <w:basedOn w:val="OPCParaBase"/>
    <w:rsid w:val="00A93530"/>
    <w:pPr>
      <w:spacing w:line="240" w:lineRule="auto"/>
    </w:pPr>
    <w:rPr>
      <w:sz w:val="28"/>
    </w:rPr>
  </w:style>
  <w:style w:type="character" w:styleId="HTMLAcronym">
    <w:name w:val="HTML Acronym"/>
    <w:basedOn w:val="DefaultParagraphFont"/>
    <w:rsid w:val="005537B5"/>
  </w:style>
  <w:style w:type="paragraph" w:styleId="HTMLAddress">
    <w:name w:val="HTML Address"/>
    <w:rsid w:val="005537B5"/>
    <w:rPr>
      <w:i/>
      <w:iCs/>
      <w:sz w:val="22"/>
      <w:szCs w:val="24"/>
    </w:rPr>
  </w:style>
  <w:style w:type="character" w:styleId="HTMLCite">
    <w:name w:val="HTML Cite"/>
    <w:rsid w:val="005537B5"/>
    <w:rPr>
      <w:i/>
      <w:iCs/>
    </w:rPr>
  </w:style>
  <w:style w:type="character" w:styleId="HTMLCode">
    <w:name w:val="HTML Code"/>
    <w:rsid w:val="005537B5"/>
    <w:rPr>
      <w:rFonts w:ascii="Courier New" w:hAnsi="Courier New" w:cs="Courier New"/>
      <w:sz w:val="20"/>
      <w:szCs w:val="20"/>
    </w:rPr>
  </w:style>
  <w:style w:type="character" w:styleId="HTMLDefinition">
    <w:name w:val="HTML Definition"/>
    <w:rsid w:val="005537B5"/>
    <w:rPr>
      <w:i/>
      <w:iCs/>
    </w:rPr>
  </w:style>
  <w:style w:type="character" w:styleId="HTMLKeyboard">
    <w:name w:val="HTML Keyboard"/>
    <w:rsid w:val="005537B5"/>
    <w:rPr>
      <w:rFonts w:ascii="Courier New" w:hAnsi="Courier New" w:cs="Courier New"/>
      <w:sz w:val="20"/>
      <w:szCs w:val="20"/>
    </w:rPr>
  </w:style>
  <w:style w:type="paragraph" w:styleId="HTMLPreformatted">
    <w:name w:val="HTML Preformatted"/>
    <w:rsid w:val="005537B5"/>
    <w:rPr>
      <w:rFonts w:ascii="Courier New" w:hAnsi="Courier New" w:cs="Courier New"/>
    </w:rPr>
  </w:style>
  <w:style w:type="character" w:styleId="HTMLSample">
    <w:name w:val="HTML Sample"/>
    <w:rsid w:val="005537B5"/>
    <w:rPr>
      <w:rFonts w:ascii="Courier New" w:hAnsi="Courier New" w:cs="Courier New"/>
    </w:rPr>
  </w:style>
  <w:style w:type="character" w:styleId="HTMLTypewriter">
    <w:name w:val="HTML Typewriter"/>
    <w:rsid w:val="005537B5"/>
    <w:rPr>
      <w:rFonts w:ascii="Courier New" w:hAnsi="Courier New" w:cs="Courier New"/>
      <w:sz w:val="20"/>
      <w:szCs w:val="20"/>
    </w:rPr>
  </w:style>
  <w:style w:type="character" w:styleId="HTMLVariable">
    <w:name w:val="HTML Variable"/>
    <w:rsid w:val="005537B5"/>
    <w:rPr>
      <w:i/>
      <w:iCs/>
    </w:rPr>
  </w:style>
  <w:style w:type="character" w:styleId="Hyperlink">
    <w:name w:val="Hyperlink"/>
    <w:rsid w:val="005537B5"/>
    <w:rPr>
      <w:color w:val="0000FF"/>
      <w:u w:val="single"/>
    </w:rPr>
  </w:style>
  <w:style w:type="paragraph" w:styleId="Index1">
    <w:name w:val="index 1"/>
    <w:next w:val="Normal"/>
    <w:rsid w:val="005537B5"/>
    <w:pPr>
      <w:ind w:left="220" w:hanging="220"/>
    </w:pPr>
    <w:rPr>
      <w:sz w:val="22"/>
      <w:szCs w:val="24"/>
    </w:rPr>
  </w:style>
  <w:style w:type="paragraph" w:styleId="Index2">
    <w:name w:val="index 2"/>
    <w:next w:val="Normal"/>
    <w:rsid w:val="005537B5"/>
    <w:pPr>
      <w:ind w:left="440" w:hanging="220"/>
    </w:pPr>
    <w:rPr>
      <w:sz w:val="22"/>
      <w:szCs w:val="24"/>
    </w:rPr>
  </w:style>
  <w:style w:type="paragraph" w:styleId="Index3">
    <w:name w:val="index 3"/>
    <w:next w:val="Normal"/>
    <w:rsid w:val="005537B5"/>
    <w:pPr>
      <w:ind w:left="660" w:hanging="220"/>
    </w:pPr>
    <w:rPr>
      <w:sz w:val="22"/>
      <w:szCs w:val="24"/>
    </w:rPr>
  </w:style>
  <w:style w:type="paragraph" w:styleId="Index4">
    <w:name w:val="index 4"/>
    <w:next w:val="Normal"/>
    <w:rsid w:val="005537B5"/>
    <w:pPr>
      <w:ind w:left="880" w:hanging="220"/>
    </w:pPr>
    <w:rPr>
      <w:sz w:val="22"/>
      <w:szCs w:val="24"/>
    </w:rPr>
  </w:style>
  <w:style w:type="paragraph" w:styleId="Index5">
    <w:name w:val="index 5"/>
    <w:next w:val="Normal"/>
    <w:rsid w:val="005537B5"/>
    <w:pPr>
      <w:ind w:left="1100" w:hanging="220"/>
    </w:pPr>
    <w:rPr>
      <w:sz w:val="22"/>
      <w:szCs w:val="24"/>
    </w:rPr>
  </w:style>
  <w:style w:type="paragraph" w:styleId="Index6">
    <w:name w:val="index 6"/>
    <w:next w:val="Normal"/>
    <w:rsid w:val="005537B5"/>
    <w:pPr>
      <w:ind w:left="1320" w:hanging="220"/>
    </w:pPr>
    <w:rPr>
      <w:sz w:val="22"/>
      <w:szCs w:val="24"/>
    </w:rPr>
  </w:style>
  <w:style w:type="paragraph" w:styleId="Index7">
    <w:name w:val="index 7"/>
    <w:next w:val="Normal"/>
    <w:rsid w:val="005537B5"/>
    <w:pPr>
      <w:ind w:left="1540" w:hanging="220"/>
    </w:pPr>
    <w:rPr>
      <w:sz w:val="22"/>
      <w:szCs w:val="24"/>
    </w:rPr>
  </w:style>
  <w:style w:type="paragraph" w:styleId="Index8">
    <w:name w:val="index 8"/>
    <w:next w:val="Normal"/>
    <w:rsid w:val="005537B5"/>
    <w:pPr>
      <w:ind w:left="1760" w:hanging="220"/>
    </w:pPr>
    <w:rPr>
      <w:sz w:val="22"/>
      <w:szCs w:val="24"/>
    </w:rPr>
  </w:style>
  <w:style w:type="paragraph" w:styleId="Index9">
    <w:name w:val="index 9"/>
    <w:next w:val="Normal"/>
    <w:rsid w:val="005537B5"/>
    <w:pPr>
      <w:ind w:left="1980" w:hanging="220"/>
    </w:pPr>
    <w:rPr>
      <w:sz w:val="22"/>
      <w:szCs w:val="24"/>
    </w:rPr>
  </w:style>
  <w:style w:type="paragraph" w:styleId="IndexHeading">
    <w:name w:val="index heading"/>
    <w:next w:val="Index1"/>
    <w:rsid w:val="005537B5"/>
    <w:rPr>
      <w:rFonts w:ascii="Arial" w:hAnsi="Arial" w:cs="Arial"/>
      <w:b/>
      <w:bCs/>
      <w:sz w:val="22"/>
      <w:szCs w:val="24"/>
    </w:rPr>
  </w:style>
  <w:style w:type="paragraph" w:customStyle="1" w:styleId="Item">
    <w:name w:val="Item"/>
    <w:aliases w:val="i"/>
    <w:basedOn w:val="OPCParaBase"/>
    <w:next w:val="ItemHead"/>
    <w:rsid w:val="00A93530"/>
    <w:pPr>
      <w:keepLines/>
      <w:spacing w:before="80" w:line="240" w:lineRule="auto"/>
      <w:ind w:left="709"/>
    </w:pPr>
  </w:style>
  <w:style w:type="paragraph" w:customStyle="1" w:styleId="ItemHead">
    <w:name w:val="ItemHead"/>
    <w:aliases w:val="ih"/>
    <w:basedOn w:val="OPCParaBase"/>
    <w:next w:val="Item"/>
    <w:rsid w:val="00A9353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93530"/>
    <w:rPr>
      <w:sz w:val="16"/>
    </w:rPr>
  </w:style>
  <w:style w:type="paragraph" w:styleId="List">
    <w:name w:val="List"/>
    <w:rsid w:val="005537B5"/>
    <w:pPr>
      <w:ind w:left="283" w:hanging="283"/>
    </w:pPr>
    <w:rPr>
      <w:sz w:val="22"/>
      <w:szCs w:val="24"/>
    </w:rPr>
  </w:style>
  <w:style w:type="paragraph" w:styleId="List2">
    <w:name w:val="List 2"/>
    <w:rsid w:val="005537B5"/>
    <w:pPr>
      <w:ind w:left="566" w:hanging="283"/>
    </w:pPr>
    <w:rPr>
      <w:sz w:val="22"/>
      <w:szCs w:val="24"/>
    </w:rPr>
  </w:style>
  <w:style w:type="paragraph" w:styleId="List3">
    <w:name w:val="List 3"/>
    <w:rsid w:val="005537B5"/>
    <w:pPr>
      <w:ind w:left="849" w:hanging="283"/>
    </w:pPr>
    <w:rPr>
      <w:sz w:val="22"/>
      <w:szCs w:val="24"/>
    </w:rPr>
  </w:style>
  <w:style w:type="paragraph" w:styleId="List4">
    <w:name w:val="List 4"/>
    <w:rsid w:val="005537B5"/>
    <w:pPr>
      <w:ind w:left="1132" w:hanging="283"/>
    </w:pPr>
    <w:rPr>
      <w:sz w:val="22"/>
      <w:szCs w:val="24"/>
    </w:rPr>
  </w:style>
  <w:style w:type="paragraph" w:styleId="List5">
    <w:name w:val="List 5"/>
    <w:rsid w:val="005537B5"/>
    <w:pPr>
      <w:ind w:left="1415" w:hanging="283"/>
    </w:pPr>
    <w:rPr>
      <w:sz w:val="22"/>
      <w:szCs w:val="24"/>
    </w:rPr>
  </w:style>
  <w:style w:type="paragraph" w:styleId="ListBullet">
    <w:name w:val="List Bullet"/>
    <w:rsid w:val="005537B5"/>
    <w:pPr>
      <w:numPr>
        <w:numId w:val="7"/>
      </w:numPr>
      <w:tabs>
        <w:tab w:val="clear" w:pos="360"/>
        <w:tab w:val="num" w:pos="2989"/>
      </w:tabs>
      <w:ind w:left="1225" w:firstLine="1043"/>
    </w:pPr>
    <w:rPr>
      <w:sz w:val="22"/>
      <w:szCs w:val="24"/>
    </w:rPr>
  </w:style>
  <w:style w:type="paragraph" w:styleId="ListBullet2">
    <w:name w:val="List Bullet 2"/>
    <w:rsid w:val="005537B5"/>
    <w:pPr>
      <w:numPr>
        <w:numId w:val="9"/>
      </w:numPr>
      <w:tabs>
        <w:tab w:val="clear" w:pos="643"/>
        <w:tab w:val="num" w:pos="360"/>
      </w:tabs>
      <w:ind w:left="360"/>
    </w:pPr>
    <w:rPr>
      <w:sz w:val="22"/>
      <w:szCs w:val="24"/>
    </w:rPr>
  </w:style>
  <w:style w:type="paragraph" w:styleId="ListBullet3">
    <w:name w:val="List Bullet 3"/>
    <w:rsid w:val="005537B5"/>
    <w:pPr>
      <w:numPr>
        <w:numId w:val="11"/>
      </w:numPr>
      <w:tabs>
        <w:tab w:val="clear" w:pos="926"/>
        <w:tab w:val="num" w:pos="360"/>
      </w:tabs>
      <w:ind w:left="360"/>
    </w:pPr>
    <w:rPr>
      <w:sz w:val="22"/>
      <w:szCs w:val="24"/>
    </w:rPr>
  </w:style>
  <w:style w:type="paragraph" w:styleId="ListBullet4">
    <w:name w:val="List Bullet 4"/>
    <w:rsid w:val="005537B5"/>
    <w:pPr>
      <w:numPr>
        <w:numId w:val="13"/>
      </w:numPr>
      <w:tabs>
        <w:tab w:val="clear" w:pos="1209"/>
        <w:tab w:val="num" w:pos="926"/>
      </w:tabs>
      <w:ind w:left="926"/>
    </w:pPr>
    <w:rPr>
      <w:sz w:val="22"/>
      <w:szCs w:val="24"/>
    </w:rPr>
  </w:style>
  <w:style w:type="paragraph" w:styleId="ListBullet5">
    <w:name w:val="List Bullet 5"/>
    <w:rsid w:val="005537B5"/>
    <w:pPr>
      <w:numPr>
        <w:numId w:val="15"/>
      </w:numPr>
    </w:pPr>
    <w:rPr>
      <w:sz w:val="22"/>
      <w:szCs w:val="24"/>
    </w:rPr>
  </w:style>
  <w:style w:type="paragraph" w:styleId="ListContinue">
    <w:name w:val="List Continue"/>
    <w:rsid w:val="005537B5"/>
    <w:pPr>
      <w:spacing w:after="120"/>
      <w:ind w:left="283"/>
    </w:pPr>
    <w:rPr>
      <w:sz w:val="22"/>
      <w:szCs w:val="24"/>
    </w:rPr>
  </w:style>
  <w:style w:type="paragraph" w:styleId="ListContinue2">
    <w:name w:val="List Continue 2"/>
    <w:rsid w:val="005537B5"/>
    <w:pPr>
      <w:spacing w:after="120"/>
      <w:ind w:left="566"/>
    </w:pPr>
    <w:rPr>
      <w:sz w:val="22"/>
      <w:szCs w:val="24"/>
    </w:rPr>
  </w:style>
  <w:style w:type="paragraph" w:styleId="ListContinue3">
    <w:name w:val="List Continue 3"/>
    <w:rsid w:val="005537B5"/>
    <w:pPr>
      <w:spacing w:after="120"/>
      <w:ind w:left="849"/>
    </w:pPr>
    <w:rPr>
      <w:sz w:val="22"/>
      <w:szCs w:val="24"/>
    </w:rPr>
  </w:style>
  <w:style w:type="paragraph" w:styleId="ListContinue4">
    <w:name w:val="List Continue 4"/>
    <w:rsid w:val="005537B5"/>
    <w:pPr>
      <w:spacing w:after="120"/>
      <w:ind w:left="1132"/>
    </w:pPr>
    <w:rPr>
      <w:sz w:val="22"/>
      <w:szCs w:val="24"/>
    </w:rPr>
  </w:style>
  <w:style w:type="paragraph" w:styleId="ListContinue5">
    <w:name w:val="List Continue 5"/>
    <w:rsid w:val="005537B5"/>
    <w:pPr>
      <w:spacing w:after="120"/>
      <w:ind w:left="1415"/>
    </w:pPr>
    <w:rPr>
      <w:sz w:val="22"/>
      <w:szCs w:val="24"/>
    </w:rPr>
  </w:style>
  <w:style w:type="paragraph" w:styleId="ListNumber">
    <w:name w:val="List Number"/>
    <w:rsid w:val="005537B5"/>
    <w:pPr>
      <w:numPr>
        <w:numId w:val="17"/>
      </w:numPr>
      <w:tabs>
        <w:tab w:val="clear" w:pos="360"/>
        <w:tab w:val="num" w:pos="4242"/>
      </w:tabs>
      <w:ind w:left="3521" w:hanging="1043"/>
    </w:pPr>
    <w:rPr>
      <w:sz w:val="22"/>
      <w:szCs w:val="24"/>
    </w:rPr>
  </w:style>
  <w:style w:type="paragraph" w:styleId="ListNumber2">
    <w:name w:val="List Number 2"/>
    <w:rsid w:val="005537B5"/>
    <w:pPr>
      <w:numPr>
        <w:numId w:val="19"/>
      </w:numPr>
      <w:tabs>
        <w:tab w:val="clear" w:pos="643"/>
        <w:tab w:val="num" w:pos="360"/>
      </w:tabs>
      <w:ind w:left="360"/>
    </w:pPr>
    <w:rPr>
      <w:sz w:val="22"/>
      <w:szCs w:val="24"/>
    </w:rPr>
  </w:style>
  <w:style w:type="paragraph" w:styleId="ListNumber3">
    <w:name w:val="List Number 3"/>
    <w:rsid w:val="005537B5"/>
    <w:pPr>
      <w:numPr>
        <w:numId w:val="21"/>
      </w:numPr>
      <w:tabs>
        <w:tab w:val="clear" w:pos="926"/>
        <w:tab w:val="num" w:pos="360"/>
      </w:tabs>
      <w:ind w:left="360"/>
    </w:pPr>
    <w:rPr>
      <w:sz w:val="22"/>
      <w:szCs w:val="24"/>
    </w:rPr>
  </w:style>
  <w:style w:type="paragraph" w:styleId="ListNumber4">
    <w:name w:val="List Number 4"/>
    <w:rsid w:val="005537B5"/>
    <w:pPr>
      <w:numPr>
        <w:numId w:val="23"/>
      </w:numPr>
      <w:tabs>
        <w:tab w:val="clear" w:pos="1209"/>
        <w:tab w:val="num" w:pos="360"/>
      </w:tabs>
      <w:ind w:left="360"/>
    </w:pPr>
    <w:rPr>
      <w:sz w:val="22"/>
      <w:szCs w:val="24"/>
    </w:rPr>
  </w:style>
  <w:style w:type="paragraph" w:styleId="ListNumber5">
    <w:name w:val="List Number 5"/>
    <w:rsid w:val="005537B5"/>
    <w:pPr>
      <w:numPr>
        <w:numId w:val="25"/>
      </w:numPr>
      <w:tabs>
        <w:tab w:val="clear" w:pos="1492"/>
        <w:tab w:val="num" w:pos="1440"/>
      </w:tabs>
      <w:ind w:left="0" w:firstLine="0"/>
    </w:pPr>
    <w:rPr>
      <w:sz w:val="22"/>
      <w:szCs w:val="24"/>
    </w:rPr>
  </w:style>
  <w:style w:type="paragraph" w:customStyle="1" w:styleId="LongT">
    <w:name w:val="LongT"/>
    <w:basedOn w:val="OPCParaBase"/>
    <w:rsid w:val="00A93530"/>
    <w:pPr>
      <w:spacing w:line="240" w:lineRule="auto"/>
    </w:pPr>
    <w:rPr>
      <w:b/>
      <w:sz w:val="32"/>
    </w:rPr>
  </w:style>
  <w:style w:type="paragraph" w:styleId="MacroText">
    <w:name w:val="macro"/>
    <w:rsid w:val="005537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537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537B5"/>
    <w:rPr>
      <w:sz w:val="24"/>
      <w:szCs w:val="24"/>
    </w:rPr>
  </w:style>
  <w:style w:type="paragraph" w:styleId="NormalIndent">
    <w:name w:val="Normal Indent"/>
    <w:rsid w:val="005537B5"/>
    <w:pPr>
      <w:ind w:left="720"/>
    </w:pPr>
    <w:rPr>
      <w:sz w:val="22"/>
      <w:szCs w:val="24"/>
    </w:rPr>
  </w:style>
  <w:style w:type="paragraph" w:styleId="NoteHeading">
    <w:name w:val="Note Heading"/>
    <w:next w:val="Normal"/>
    <w:rsid w:val="005537B5"/>
    <w:rPr>
      <w:sz w:val="22"/>
      <w:szCs w:val="24"/>
    </w:rPr>
  </w:style>
  <w:style w:type="paragraph" w:customStyle="1" w:styleId="notedraft">
    <w:name w:val="note(draft)"/>
    <w:aliases w:val="nd"/>
    <w:basedOn w:val="OPCParaBase"/>
    <w:rsid w:val="00A93530"/>
    <w:pPr>
      <w:spacing w:before="240" w:line="240" w:lineRule="auto"/>
      <w:ind w:left="284" w:hanging="284"/>
    </w:pPr>
    <w:rPr>
      <w:i/>
      <w:sz w:val="24"/>
    </w:rPr>
  </w:style>
  <w:style w:type="paragraph" w:customStyle="1" w:styleId="notepara">
    <w:name w:val="note(para)"/>
    <w:aliases w:val="na"/>
    <w:basedOn w:val="OPCParaBase"/>
    <w:rsid w:val="00A93530"/>
    <w:pPr>
      <w:spacing w:before="40" w:line="198" w:lineRule="exact"/>
      <w:ind w:left="2354" w:hanging="369"/>
    </w:pPr>
    <w:rPr>
      <w:sz w:val="18"/>
    </w:rPr>
  </w:style>
  <w:style w:type="paragraph" w:customStyle="1" w:styleId="noteParlAmend">
    <w:name w:val="note(ParlAmend)"/>
    <w:aliases w:val="npp"/>
    <w:basedOn w:val="OPCParaBase"/>
    <w:next w:val="ParlAmend"/>
    <w:rsid w:val="00A93530"/>
    <w:pPr>
      <w:spacing w:line="240" w:lineRule="auto"/>
      <w:jc w:val="right"/>
    </w:pPr>
    <w:rPr>
      <w:rFonts w:ascii="Arial" w:hAnsi="Arial"/>
      <w:b/>
      <w:i/>
    </w:rPr>
  </w:style>
  <w:style w:type="character" w:styleId="PageNumber">
    <w:name w:val="page number"/>
    <w:basedOn w:val="DefaultParagraphFont"/>
    <w:rsid w:val="005537B5"/>
  </w:style>
  <w:style w:type="paragraph" w:customStyle="1" w:styleId="Page1">
    <w:name w:val="Page1"/>
    <w:basedOn w:val="OPCParaBase"/>
    <w:rsid w:val="00A93530"/>
    <w:pPr>
      <w:spacing w:before="5600" w:line="240" w:lineRule="auto"/>
    </w:pPr>
    <w:rPr>
      <w:b/>
      <w:sz w:val="32"/>
    </w:rPr>
  </w:style>
  <w:style w:type="paragraph" w:customStyle="1" w:styleId="PageBreak">
    <w:name w:val="PageBreak"/>
    <w:aliases w:val="pb"/>
    <w:basedOn w:val="OPCParaBase"/>
    <w:rsid w:val="00A93530"/>
    <w:pPr>
      <w:spacing w:line="240" w:lineRule="auto"/>
    </w:pPr>
    <w:rPr>
      <w:sz w:val="20"/>
    </w:rPr>
  </w:style>
  <w:style w:type="paragraph" w:customStyle="1" w:styleId="paragraph">
    <w:name w:val="paragraph"/>
    <w:aliases w:val="a"/>
    <w:basedOn w:val="OPCParaBase"/>
    <w:rsid w:val="00A93530"/>
    <w:pPr>
      <w:tabs>
        <w:tab w:val="right" w:pos="1531"/>
      </w:tabs>
      <w:spacing w:before="40" w:line="240" w:lineRule="auto"/>
      <w:ind w:left="1644" w:hanging="1644"/>
    </w:pPr>
  </w:style>
  <w:style w:type="paragraph" w:customStyle="1" w:styleId="paragraphsub">
    <w:name w:val="paragraph(sub)"/>
    <w:aliases w:val="aa"/>
    <w:basedOn w:val="OPCParaBase"/>
    <w:rsid w:val="00A93530"/>
    <w:pPr>
      <w:tabs>
        <w:tab w:val="right" w:pos="1985"/>
      </w:tabs>
      <w:spacing w:before="40" w:line="240" w:lineRule="auto"/>
      <w:ind w:left="2098" w:hanging="2098"/>
    </w:pPr>
  </w:style>
  <w:style w:type="paragraph" w:customStyle="1" w:styleId="paragraphsub-sub">
    <w:name w:val="paragraph(sub-sub)"/>
    <w:aliases w:val="aaa"/>
    <w:basedOn w:val="OPCParaBase"/>
    <w:rsid w:val="00A93530"/>
    <w:pPr>
      <w:tabs>
        <w:tab w:val="right" w:pos="2722"/>
      </w:tabs>
      <w:spacing w:before="40" w:line="240" w:lineRule="auto"/>
      <w:ind w:left="2835" w:hanging="2835"/>
    </w:pPr>
  </w:style>
  <w:style w:type="paragraph" w:customStyle="1" w:styleId="ParlAmend">
    <w:name w:val="ParlAmend"/>
    <w:aliases w:val="pp"/>
    <w:basedOn w:val="OPCParaBase"/>
    <w:rsid w:val="00A93530"/>
    <w:pPr>
      <w:spacing w:before="240" w:line="240" w:lineRule="atLeast"/>
      <w:ind w:hanging="567"/>
    </w:pPr>
    <w:rPr>
      <w:sz w:val="24"/>
    </w:rPr>
  </w:style>
  <w:style w:type="paragraph" w:customStyle="1" w:styleId="Penalty">
    <w:name w:val="Penalty"/>
    <w:basedOn w:val="OPCParaBase"/>
    <w:rsid w:val="00A93530"/>
    <w:pPr>
      <w:tabs>
        <w:tab w:val="left" w:pos="2977"/>
      </w:tabs>
      <w:spacing w:before="180" w:line="240" w:lineRule="auto"/>
      <w:ind w:left="1985" w:hanging="851"/>
    </w:pPr>
  </w:style>
  <w:style w:type="paragraph" w:styleId="PlainText">
    <w:name w:val="Plain Text"/>
    <w:rsid w:val="005537B5"/>
    <w:rPr>
      <w:rFonts w:ascii="Courier New" w:hAnsi="Courier New" w:cs="Courier New"/>
      <w:sz w:val="22"/>
    </w:rPr>
  </w:style>
  <w:style w:type="paragraph" w:customStyle="1" w:styleId="Portfolio">
    <w:name w:val="Portfolio"/>
    <w:basedOn w:val="OPCParaBase"/>
    <w:rsid w:val="00A93530"/>
    <w:pPr>
      <w:spacing w:line="240" w:lineRule="auto"/>
    </w:pPr>
    <w:rPr>
      <w:i/>
      <w:sz w:val="20"/>
    </w:rPr>
  </w:style>
  <w:style w:type="paragraph" w:customStyle="1" w:styleId="Preamble">
    <w:name w:val="Preamble"/>
    <w:basedOn w:val="OPCParaBase"/>
    <w:next w:val="Normal"/>
    <w:rsid w:val="00A9353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93530"/>
    <w:pPr>
      <w:spacing w:line="240" w:lineRule="auto"/>
    </w:pPr>
    <w:rPr>
      <w:i/>
      <w:sz w:val="20"/>
    </w:rPr>
  </w:style>
  <w:style w:type="paragraph" w:styleId="Salutation">
    <w:name w:val="Salutation"/>
    <w:next w:val="Normal"/>
    <w:rsid w:val="005537B5"/>
    <w:rPr>
      <w:sz w:val="22"/>
      <w:szCs w:val="24"/>
    </w:rPr>
  </w:style>
  <w:style w:type="paragraph" w:customStyle="1" w:styleId="Session">
    <w:name w:val="Session"/>
    <w:basedOn w:val="OPCParaBase"/>
    <w:rsid w:val="00A93530"/>
    <w:pPr>
      <w:spacing w:line="240" w:lineRule="auto"/>
    </w:pPr>
    <w:rPr>
      <w:sz w:val="28"/>
    </w:rPr>
  </w:style>
  <w:style w:type="paragraph" w:customStyle="1" w:styleId="ShortT">
    <w:name w:val="ShortT"/>
    <w:basedOn w:val="OPCParaBase"/>
    <w:next w:val="Normal"/>
    <w:qFormat/>
    <w:rsid w:val="00A93530"/>
    <w:pPr>
      <w:spacing w:line="240" w:lineRule="auto"/>
    </w:pPr>
    <w:rPr>
      <w:b/>
      <w:sz w:val="40"/>
    </w:rPr>
  </w:style>
  <w:style w:type="paragraph" w:styleId="Signature">
    <w:name w:val="Signature"/>
    <w:link w:val="SignatureChar"/>
    <w:rsid w:val="005537B5"/>
    <w:pPr>
      <w:ind w:left="4252"/>
    </w:pPr>
    <w:rPr>
      <w:sz w:val="22"/>
      <w:szCs w:val="24"/>
    </w:rPr>
  </w:style>
  <w:style w:type="paragraph" w:customStyle="1" w:styleId="Sponsor">
    <w:name w:val="Sponsor"/>
    <w:basedOn w:val="OPCParaBase"/>
    <w:rsid w:val="00A93530"/>
    <w:pPr>
      <w:spacing w:line="240" w:lineRule="auto"/>
    </w:pPr>
    <w:rPr>
      <w:i/>
    </w:rPr>
  </w:style>
  <w:style w:type="character" w:styleId="Strong">
    <w:name w:val="Strong"/>
    <w:qFormat/>
    <w:rsid w:val="005537B5"/>
    <w:rPr>
      <w:b/>
      <w:bCs/>
    </w:rPr>
  </w:style>
  <w:style w:type="paragraph" w:customStyle="1" w:styleId="Subitem">
    <w:name w:val="Subitem"/>
    <w:aliases w:val="iss"/>
    <w:basedOn w:val="OPCParaBase"/>
    <w:rsid w:val="00A93530"/>
    <w:pPr>
      <w:spacing w:before="180" w:line="240" w:lineRule="auto"/>
      <w:ind w:left="709" w:hanging="709"/>
    </w:pPr>
  </w:style>
  <w:style w:type="paragraph" w:customStyle="1" w:styleId="SubitemHead">
    <w:name w:val="SubitemHead"/>
    <w:aliases w:val="issh"/>
    <w:basedOn w:val="OPCParaBase"/>
    <w:rsid w:val="00A9353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93530"/>
    <w:pPr>
      <w:spacing w:before="40" w:line="240" w:lineRule="auto"/>
      <w:ind w:left="1134"/>
    </w:pPr>
  </w:style>
  <w:style w:type="paragraph" w:customStyle="1" w:styleId="SubsectionHead">
    <w:name w:val="SubsectionHead"/>
    <w:aliases w:val="ssh"/>
    <w:basedOn w:val="OPCParaBase"/>
    <w:next w:val="subsection"/>
    <w:rsid w:val="00A93530"/>
    <w:pPr>
      <w:keepNext/>
      <w:keepLines/>
      <w:spacing w:before="240" w:line="240" w:lineRule="auto"/>
      <w:ind w:left="1134"/>
    </w:pPr>
    <w:rPr>
      <w:i/>
    </w:rPr>
  </w:style>
  <w:style w:type="paragraph" w:styleId="Subtitle">
    <w:name w:val="Subtitle"/>
    <w:qFormat/>
    <w:rsid w:val="005537B5"/>
    <w:pPr>
      <w:spacing w:after="60"/>
      <w:jc w:val="center"/>
    </w:pPr>
    <w:rPr>
      <w:rFonts w:ascii="Arial" w:hAnsi="Arial" w:cs="Arial"/>
      <w:sz w:val="24"/>
      <w:szCs w:val="24"/>
    </w:rPr>
  </w:style>
  <w:style w:type="table" w:styleId="Table3Deffects1">
    <w:name w:val="Table 3D effects 1"/>
    <w:basedOn w:val="TableNormal"/>
    <w:rsid w:val="005537B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37B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537B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537B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537B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537B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537B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537B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537B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537B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537B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537B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537B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537B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537B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537B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537B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9353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537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537B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537B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537B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537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537B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537B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537B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537B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537B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537B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537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537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537B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537B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537B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537B5"/>
    <w:pPr>
      <w:ind w:left="220" w:hanging="220"/>
    </w:pPr>
    <w:rPr>
      <w:sz w:val="22"/>
      <w:szCs w:val="24"/>
    </w:rPr>
  </w:style>
  <w:style w:type="paragraph" w:styleId="TableofFigures">
    <w:name w:val="table of figures"/>
    <w:next w:val="Normal"/>
    <w:rsid w:val="005537B5"/>
    <w:pPr>
      <w:ind w:left="440" w:hanging="440"/>
    </w:pPr>
    <w:rPr>
      <w:sz w:val="22"/>
      <w:szCs w:val="24"/>
    </w:rPr>
  </w:style>
  <w:style w:type="table" w:styleId="TableProfessional">
    <w:name w:val="Table Professional"/>
    <w:basedOn w:val="TableNormal"/>
    <w:rsid w:val="005537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537B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537B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537B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537B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37B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537B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537B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537B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537B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93530"/>
    <w:pPr>
      <w:spacing w:before="60" w:line="240" w:lineRule="auto"/>
      <w:ind w:left="284" w:hanging="284"/>
    </w:pPr>
    <w:rPr>
      <w:sz w:val="20"/>
    </w:rPr>
  </w:style>
  <w:style w:type="paragraph" w:customStyle="1" w:styleId="Tablei">
    <w:name w:val="Table(i)"/>
    <w:aliases w:val="taa"/>
    <w:basedOn w:val="OPCParaBase"/>
    <w:rsid w:val="00A9353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9353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93530"/>
    <w:pPr>
      <w:spacing w:before="60" w:line="240" w:lineRule="atLeast"/>
    </w:pPr>
    <w:rPr>
      <w:sz w:val="20"/>
    </w:rPr>
  </w:style>
  <w:style w:type="paragraph" w:styleId="Title">
    <w:name w:val="Title"/>
    <w:qFormat/>
    <w:rsid w:val="005537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9353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93530"/>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93530"/>
    <w:pPr>
      <w:spacing w:before="122" w:line="198" w:lineRule="exact"/>
      <w:ind w:left="1985" w:hanging="851"/>
      <w:jc w:val="right"/>
    </w:pPr>
    <w:rPr>
      <w:sz w:val="18"/>
    </w:rPr>
  </w:style>
  <w:style w:type="paragraph" w:customStyle="1" w:styleId="TLPTableBullet">
    <w:name w:val="TLPTableBullet"/>
    <w:aliases w:val="ttb"/>
    <w:basedOn w:val="OPCParaBase"/>
    <w:rsid w:val="00A93530"/>
    <w:pPr>
      <w:spacing w:line="240" w:lineRule="exact"/>
      <w:ind w:left="284" w:hanging="284"/>
    </w:pPr>
    <w:rPr>
      <w:sz w:val="20"/>
    </w:rPr>
  </w:style>
  <w:style w:type="paragraph" w:styleId="TOAHeading">
    <w:name w:val="toa heading"/>
    <w:next w:val="Normal"/>
    <w:rsid w:val="005537B5"/>
    <w:pPr>
      <w:spacing w:before="120"/>
    </w:pPr>
    <w:rPr>
      <w:rFonts w:ascii="Arial" w:hAnsi="Arial" w:cs="Arial"/>
      <w:b/>
      <w:bCs/>
      <w:sz w:val="24"/>
      <w:szCs w:val="24"/>
    </w:rPr>
  </w:style>
  <w:style w:type="paragraph" w:styleId="TOC1">
    <w:name w:val="toc 1"/>
    <w:basedOn w:val="OPCParaBase"/>
    <w:next w:val="Normal"/>
    <w:uiPriority w:val="39"/>
    <w:unhideWhenUsed/>
    <w:rsid w:val="00A9353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9353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9353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9353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9353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9353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9353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9353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9353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93530"/>
    <w:pPr>
      <w:keepLines/>
      <w:spacing w:before="240" w:after="120" w:line="240" w:lineRule="auto"/>
      <w:ind w:left="794"/>
    </w:pPr>
    <w:rPr>
      <w:b/>
      <w:kern w:val="28"/>
      <w:sz w:val="20"/>
    </w:rPr>
  </w:style>
  <w:style w:type="paragraph" w:customStyle="1" w:styleId="TofSectsHeading">
    <w:name w:val="TofSects(Heading)"/>
    <w:basedOn w:val="OPCParaBase"/>
    <w:rsid w:val="00A93530"/>
    <w:pPr>
      <w:spacing w:before="240" w:after="120" w:line="240" w:lineRule="auto"/>
    </w:pPr>
    <w:rPr>
      <w:b/>
      <w:sz w:val="24"/>
    </w:rPr>
  </w:style>
  <w:style w:type="paragraph" w:customStyle="1" w:styleId="TofSectsSection">
    <w:name w:val="TofSects(Section)"/>
    <w:basedOn w:val="OPCParaBase"/>
    <w:rsid w:val="00A93530"/>
    <w:pPr>
      <w:keepLines/>
      <w:spacing w:before="40" w:line="240" w:lineRule="auto"/>
      <w:ind w:left="1588" w:hanging="794"/>
    </w:pPr>
    <w:rPr>
      <w:kern w:val="28"/>
      <w:sz w:val="18"/>
    </w:rPr>
  </w:style>
  <w:style w:type="paragraph" w:customStyle="1" w:styleId="TofSectsSubdiv">
    <w:name w:val="TofSects(Subdiv)"/>
    <w:basedOn w:val="OPCParaBase"/>
    <w:rsid w:val="00A93530"/>
    <w:pPr>
      <w:keepLines/>
      <w:spacing w:before="80" w:line="240" w:lineRule="auto"/>
      <w:ind w:left="1588" w:hanging="794"/>
    </w:pPr>
    <w:rPr>
      <w:kern w:val="28"/>
    </w:rPr>
  </w:style>
  <w:style w:type="character" w:customStyle="1" w:styleId="OPCCharBase">
    <w:name w:val="OPCCharBase"/>
    <w:uiPriority w:val="1"/>
    <w:qFormat/>
    <w:rsid w:val="00A93530"/>
  </w:style>
  <w:style w:type="paragraph" w:customStyle="1" w:styleId="OPCParaBase">
    <w:name w:val="OPCParaBase"/>
    <w:qFormat/>
    <w:rsid w:val="00A93530"/>
    <w:pPr>
      <w:spacing w:line="260" w:lineRule="atLeast"/>
    </w:pPr>
    <w:rPr>
      <w:sz w:val="22"/>
    </w:rPr>
  </w:style>
  <w:style w:type="character" w:customStyle="1" w:styleId="HeaderChar">
    <w:name w:val="Header Char"/>
    <w:basedOn w:val="DefaultParagraphFont"/>
    <w:link w:val="Header"/>
    <w:rsid w:val="00A93530"/>
    <w:rPr>
      <w:sz w:val="16"/>
    </w:rPr>
  </w:style>
  <w:style w:type="paragraph" w:customStyle="1" w:styleId="noteToPara">
    <w:name w:val="noteToPara"/>
    <w:aliases w:val="ntp"/>
    <w:basedOn w:val="OPCParaBase"/>
    <w:rsid w:val="00A93530"/>
    <w:pPr>
      <w:spacing w:before="122" w:line="198" w:lineRule="exact"/>
      <w:ind w:left="2353" w:hanging="709"/>
    </w:pPr>
    <w:rPr>
      <w:sz w:val="18"/>
    </w:rPr>
  </w:style>
  <w:style w:type="paragraph" w:customStyle="1" w:styleId="WRStyle">
    <w:name w:val="WR Style"/>
    <w:aliases w:val="WR"/>
    <w:basedOn w:val="OPCParaBase"/>
    <w:rsid w:val="00A93530"/>
    <w:pPr>
      <w:spacing w:before="240" w:line="240" w:lineRule="auto"/>
      <w:ind w:left="284" w:hanging="284"/>
    </w:pPr>
    <w:rPr>
      <w:b/>
      <w:i/>
      <w:kern w:val="28"/>
      <w:sz w:val="24"/>
    </w:rPr>
  </w:style>
  <w:style w:type="character" w:customStyle="1" w:styleId="FooterChar">
    <w:name w:val="Footer Char"/>
    <w:basedOn w:val="DefaultParagraphFont"/>
    <w:link w:val="Footer"/>
    <w:rsid w:val="00A93530"/>
    <w:rPr>
      <w:sz w:val="22"/>
      <w:szCs w:val="24"/>
    </w:rPr>
  </w:style>
  <w:style w:type="table" w:customStyle="1" w:styleId="CFlag">
    <w:name w:val="CFlag"/>
    <w:basedOn w:val="TableNormal"/>
    <w:uiPriority w:val="99"/>
    <w:rsid w:val="00A93530"/>
    <w:tblPr/>
  </w:style>
  <w:style w:type="paragraph" w:customStyle="1" w:styleId="SignCoverPageEnd">
    <w:name w:val="SignCoverPageEnd"/>
    <w:basedOn w:val="OPCParaBase"/>
    <w:next w:val="Normal"/>
    <w:rsid w:val="00A9353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93530"/>
    <w:pPr>
      <w:pBdr>
        <w:top w:val="single" w:sz="4" w:space="1" w:color="auto"/>
      </w:pBdr>
      <w:spacing w:before="360"/>
      <w:ind w:right="397"/>
      <w:jc w:val="both"/>
    </w:pPr>
  </w:style>
  <w:style w:type="paragraph" w:customStyle="1" w:styleId="ENotesHeading1">
    <w:name w:val="ENotesHeading 1"/>
    <w:aliases w:val="Enh1"/>
    <w:basedOn w:val="OPCParaBase"/>
    <w:next w:val="Normal"/>
    <w:rsid w:val="00A93530"/>
    <w:pPr>
      <w:spacing w:before="120"/>
      <w:outlineLvl w:val="1"/>
    </w:pPr>
    <w:rPr>
      <w:b/>
      <w:sz w:val="28"/>
      <w:szCs w:val="28"/>
    </w:rPr>
  </w:style>
  <w:style w:type="paragraph" w:customStyle="1" w:styleId="ENotesHeading2">
    <w:name w:val="ENotesHeading 2"/>
    <w:aliases w:val="Enh2"/>
    <w:basedOn w:val="OPCParaBase"/>
    <w:next w:val="Normal"/>
    <w:rsid w:val="00A93530"/>
    <w:pPr>
      <w:spacing w:before="120" w:after="120"/>
      <w:outlineLvl w:val="2"/>
    </w:pPr>
    <w:rPr>
      <w:b/>
      <w:sz w:val="24"/>
      <w:szCs w:val="28"/>
    </w:rPr>
  </w:style>
  <w:style w:type="paragraph" w:customStyle="1" w:styleId="CompiledActNo">
    <w:name w:val="CompiledActNo"/>
    <w:basedOn w:val="OPCParaBase"/>
    <w:next w:val="Normal"/>
    <w:rsid w:val="00A93530"/>
    <w:rPr>
      <w:b/>
      <w:sz w:val="24"/>
      <w:szCs w:val="24"/>
    </w:rPr>
  </w:style>
  <w:style w:type="paragraph" w:customStyle="1" w:styleId="ENotesText">
    <w:name w:val="ENotesText"/>
    <w:aliases w:val="Ent,ENt"/>
    <w:basedOn w:val="OPCParaBase"/>
    <w:next w:val="Normal"/>
    <w:rsid w:val="00A93530"/>
    <w:pPr>
      <w:spacing w:before="120"/>
    </w:pPr>
  </w:style>
  <w:style w:type="paragraph" w:customStyle="1" w:styleId="CompiledMadeUnder">
    <w:name w:val="CompiledMadeUnder"/>
    <w:basedOn w:val="OPCParaBase"/>
    <w:next w:val="Normal"/>
    <w:rsid w:val="00A93530"/>
    <w:rPr>
      <w:i/>
      <w:sz w:val="24"/>
      <w:szCs w:val="24"/>
    </w:rPr>
  </w:style>
  <w:style w:type="paragraph" w:customStyle="1" w:styleId="Paragraphsub-sub-sub">
    <w:name w:val="Paragraph(sub-sub-sub)"/>
    <w:aliases w:val="aaaa"/>
    <w:basedOn w:val="OPCParaBase"/>
    <w:rsid w:val="00A9353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9353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9353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9353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9353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93530"/>
    <w:pPr>
      <w:spacing w:before="60" w:line="240" w:lineRule="auto"/>
    </w:pPr>
    <w:rPr>
      <w:rFonts w:cs="Arial"/>
      <w:sz w:val="20"/>
      <w:szCs w:val="22"/>
    </w:rPr>
  </w:style>
  <w:style w:type="paragraph" w:customStyle="1" w:styleId="ActHead10">
    <w:name w:val="ActHead 10"/>
    <w:aliases w:val="sp"/>
    <w:basedOn w:val="OPCParaBase"/>
    <w:next w:val="ActHead3"/>
    <w:rsid w:val="00A9353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93530"/>
    <w:rPr>
      <w:rFonts w:ascii="Tahoma" w:eastAsiaTheme="minorHAnsi" w:hAnsi="Tahoma" w:cs="Tahoma"/>
      <w:sz w:val="16"/>
      <w:szCs w:val="16"/>
      <w:lang w:eastAsia="en-US"/>
    </w:rPr>
  </w:style>
  <w:style w:type="paragraph" w:customStyle="1" w:styleId="NoteToSubpara">
    <w:name w:val="NoteToSubpara"/>
    <w:aliases w:val="nts"/>
    <w:basedOn w:val="OPCParaBase"/>
    <w:rsid w:val="00A93530"/>
    <w:pPr>
      <w:spacing w:before="40" w:line="198" w:lineRule="exact"/>
      <w:ind w:left="2835" w:hanging="709"/>
    </w:pPr>
    <w:rPr>
      <w:sz w:val="18"/>
    </w:rPr>
  </w:style>
  <w:style w:type="paragraph" w:customStyle="1" w:styleId="ENoteTableHeading">
    <w:name w:val="ENoteTableHeading"/>
    <w:aliases w:val="enth"/>
    <w:basedOn w:val="OPCParaBase"/>
    <w:rsid w:val="00A93530"/>
    <w:pPr>
      <w:keepNext/>
      <w:spacing w:before="60" w:line="240" w:lineRule="atLeast"/>
    </w:pPr>
    <w:rPr>
      <w:rFonts w:ascii="Arial" w:hAnsi="Arial"/>
      <w:b/>
      <w:sz w:val="16"/>
    </w:rPr>
  </w:style>
  <w:style w:type="paragraph" w:customStyle="1" w:styleId="ENoteTTi">
    <w:name w:val="ENoteTTi"/>
    <w:aliases w:val="entti"/>
    <w:basedOn w:val="OPCParaBase"/>
    <w:rsid w:val="00A93530"/>
    <w:pPr>
      <w:keepNext/>
      <w:spacing w:before="60" w:line="240" w:lineRule="atLeast"/>
      <w:ind w:left="170"/>
    </w:pPr>
    <w:rPr>
      <w:sz w:val="16"/>
    </w:rPr>
  </w:style>
  <w:style w:type="paragraph" w:customStyle="1" w:styleId="ENoteTTIndentHeading">
    <w:name w:val="ENoteTTIndentHeading"/>
    <w:aliases w:val="enTTHi"/>
    <w:basedOn w:val="OPCParaBase"/>
    <w:rsid w:val="00A9353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93530"/>
    <w:pPr>
      <w:spacing w:before="60" w:line="240" w:lineRule="atLeast"/>
    </w:pPr>
    <w:rPr>
      <w:sz w:val="16"/>
    </w:rPr>
  </w:style>
  <w:style w:type="paragraph" w:customStyle="1" w:styleId="MadeunderText">
    <w:name w:val="MadeunderText"/>
    <w:basedOn w:val="OPCParaBase"/>
    <w:next w:val="CompiledMadeUnder"/>
    <w:rsid w:val="00A93530"/>
    <w:pPr>
      <w:spacing w:before="240"/>
    </w:pPr>
    <w:rPr>
      <w:sz w:val="24"/>
      <w:szCs w:val="24"/>
    </w:rPr>
  </w:style>
  <w:style w:type="paragraph" w:customStyle="1" w:styleId="ENotesHeading3">
    <w:name w:val="ENotesHeading 3"/>
    <w:aliases w:val="Enh3"/>
    <w:basedOn w:val="OPCParaBase"/>
    <w:next w:val="Normal"/>
    <w:rsid w:val="00A93530"/>
    <w:pPr>
      <w:keepNext/>
      <w:spacing w:before="120" w:line="240" w:lineRule="auto"/>
      <w:outlineLvl w:val="4"/>
    </w:pPr>
    <w:rPr>
      <w:b/>
      <w:szCs w:val="24"/>
    </w:rPr>
  </w:style>
  <w:style w:type="paragraph" w:customStyle="1" w:styleId="SubPartCASA">
    <w:name w:val="SubPart(CASA)"/>
    <w:aliases w:val="csp"/>
    <w:basedOn w:val="OPCParaBase"/>
    <w:next w:val="ActHead3"/>
    <w:rsid w:val="00A93530"/>
    <w:pPr>
      <w:keepNext/>
      <w:keepLines/>
      <w:spacing w:before="280"/>
      <w:outlineLvl w:val="1"/>
    </w:pPr>
    <w:rPr>
      <w:b/>
      <w:kern w:val="28"/>
      <w:sz w:val="32"/>
    </w:rPr>
  </w:style>
  <w:style w:type="character" w:customStyle="1" w:styleId="CharSubPartTextCASA">
    <w:name w:val="CharSubPartText(CASA)"/>
    <w:basedOn w:val="OPCCharBase"/>
    <w:uiPriority w:val="1"/>
    <w:rsid w:val="00A93530"/>
  </w:style>
  <w:style w:type="character" w:customStyle="1" w:styleId="CharSubPartNoCASA">
    <w:name w:val="CharSubPartNo(CASA)"/>
    <w:basedOn w:val="OPCCharBase"/>
    <w:uiPriority w:val="1"/>
    <w:rsid w:val="00A93530"/>
  </w:style>
  <w:style w:type="paragraph" w:customStyle="1" w:styleId="ENoteTTIndentHeadingSub">
    <w:name w:val="ENoteTTIndentHeadingSub"/>
    <w:aliases w:val="enTTHis"/>
    <w:basedOn w:val="OPCParaBase"/>
    <w:rsid w:val="00A93530"/>
    <w:pPr>
      <w:keepNext/>
      <w:spacing w:before="60" w:line="240" w:lineRule="atLeast"/>
      <w:ind w:left="340"/>
    </w:pPr>
    <w:rPr>
      <w:b/>
      <w:sz w:val="16"/>
    </w:rPr>
  </w:style>
  <w:style w:type="paragraph" w:customStyle="1" w:styleId="ENoteTTiSub">
    <w:name w:val="ENoteTTiSub"/>
    <w:aliases w:val="enttis"/>
    <w:basedOn w:val="OPCParaBase"/>
    <w:rsid w:val="00A93530"/>
    <w:pPr>
      <w:keepNext/>
      <w:spacing w:before="60" w:line="240" w:lineRule="atLeast"/>
      <w:ind w:left="340"/>
    </w:pPr>
    <w:rPr>
      <w:sz w:val="16"/>
    </w:rPr>
  </w:style>
  <w:style w:type="paragraph" w:customStyle="1" w:styleId="SubDivisionMigration">
    <w:name w:val="SubDivisionMigration"/>
    <w:aliases w:val="sdm"/>
    <w:basedOn w:val="OPCParaBase"/>
    <w:rsid w:val="00A9353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93530"/>
    <w:pPr>
      <w:keepNext/>
      <w:keepLines/>
      <w:spacing w:before="240" w:line="240" w:lineRule="auto"/>
      <w:ind w:left="1134" w:hanging="1134"/>
    </w:pPr>
    <w:rPr>
      <w:b/>
      <w:sz w:val="28"/>
    </w:rPr>
  </w:style>
  <w:style w:type="paragraph" w:customStyle="1" w:styleId="FreeForm">
    <w:name w:val="FreeForm"/>
    <w:rsid w:val="00A93530"/>
    <w:rPr>
      <w:rFonts w:ascii="Arial" w:eastAsiaTheme="minorHAnsi" w:hAnsi="Arial" w:cstheme="minorBidi"/>
      <w:sz w:val="22"/>
      <w:lang w:eastAsia="en-US"/>
    </w:rPr>
  </w:style>
  <w:style w:type="paragraph" w:customStyle="1" w:styleId="TableHeading">
    <w:name w:val="TableHeading"/>
    <w:aliases w:val="th"/>
    <w:basedOn w:val="OPCParaBase"/>
    <w:next w:val="Tabletext"/>
    <w:rsid w:val="00A93530"/>
    <w:pPr>
      <w:keepNext/>
      <w:spacing w:before="60" w:line="240" w:lineRule="atLeast"/>
    </w:pPr>
    <w:rPr>
      <w:b/>
      <w:sz w:val="20"/>
    </w:rPr>
  </w:style>
  <w:style w:type="character" w:customStyle="1" w:styleId="charlegtitle1">
    <w:name w:val="charlegtitle1"/>
    <w:basedOn w:val="DefaultParagraphFont"/>
    <w:rsid w:val="00332D26"/>
    <w:rPr>
      <w:rFonts w:ascii="Arial" w:hAnsi="Arial" w:cs="Arial" w:hint="default"/>
      <w:b/>
      <w:bCs/>
      <w:color w:val="10418E"/>
      <w:sz w:val="40"/>
      <w:szCs w:val="40"/>
    </w:rPr>
  </w:style>
  <w:style w:type="character" w:customStyle="1" w:styleId="SignatureChar">
    <w:name w:val="Signature Char"/>
    <w:basedOn w:val="DefaultParagraphFont"/>
    <w:link w:val="Signature"/>
    <w:rsid w:val="007B6261"/>
    <w:rPr>
      <w:sz w:val="22"/>
      <w:szCs w:val="24"/>
    </w:rPr>
  </w:style>
  <w:style w:type="paragraph" w:styleId="Revision">
    <w:name w:val="Revision"/>
    <w:hidden/>
    <w:uiPriority w:val="99"/>
    <w:semiHidden/>
    <w:rsid w:val="00CB5132"/>
    <w:rPr>
      <w:rFonts w:eastAsiaTheme="minorHAnsi" w:cstheme="minorBidi"/>
      <w:sz w:val="22"/>
      <w:lang w:eastAsia="en-US"/>
    </w:rPr>
  </w:style>
  <w:style w:type="paragraph" w:customStyle="1" w:styleId="EnStatement">
    <w:name w:val="EnStatement"/>
    <w:basedOn w:val="Normal"/>
    <w:rsid w:val="00A93530"/>
    <w:pPr>
      <w:numPr>
        <w:numId w:val="48"/>
      </w:numPr>
    </w:pPr>
    <w:rPr>
      <w:rFonts w:eastAsia="Times New Roman" w:cs="Times New Roman"/>
      <w:lang w:eastAsia="en-AU"/>
    </w:rPr>
  </w:style>
  <w:style w:type="paragraph" w:customStyle="1" w:styleId="EnStatementHeading">
    <w:name w:val="EnStatementHeading"/>
    <w:basedOn w:val="Normal"/>
    <w:rsid w:val="00A93530"/>
    <w:rPr>
      <w:rFonts w:eastAsia="Times New Roman" w:cs="Times New Roman"/>
      <w:b/>
      <w:lang w:eastAsia="en-AU"/>
    </w:rPr>
  </w:style>
  <w:style w:type="paragraph" w:customStyle="1" w:styleId="Transitional">
    <w:name w:val="Transitional"/>
    <w:aliases w:val="tr"/>
    <w:basedOn w:val="Normal"/>
    <w:next w:val="Normal"/>
    <w:rsid w:val="00A93530"/>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8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footer" Target="footer20.xml"/><Relationship Id="rId55"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0A49-A8A3-4B2E-99DF-71069037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71</Pages>
  <Words>13543</Words>
  <Characters>70920</Characters>
  <Application>Microsoft Office Word</Application>
  <DocSecurity>0</DocSecurity>
  <PresentationFormat/>
  <Lines>2008</Lines>
  <Paragraphs>989</Paragraphs>
  <ScaleCrop>false</ScaleCrop>
  <HeadingPairs>
    <vt:vector size="2" baseType="variant">
      <vt:variant>
        <vt:lpstr>Title</vt:lpstr>
      </vt:variant>
      <vt:variant>
        <vt:i4>1</vt:i4>
      </vt:variant>
    </vt:vector>
  </HeadingPairs>
  <TitlesOfParts>
    <vt:vector size="1" baseType="lpstr">
      <vt:lpstr>Trans-Tasman Mutual Recognition Act 1997</vt:lpstr>
    </vt:vector>
  </TitlesOfParts>
  <Manager/>
  <Company/>
  <LinksUpToDate>false</LinksUpToDate>
  <CharactersWithSpaces>83974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Act 1997</dc:title>
  <dc:subject/>
  <dc:creator/>
  <cp:keywords/>
  <dc:description/>
  <cp:lastModifiedBy/>
  <cp:revision>1</cp:revision>
  <cp:lastPrinted>2014-02-12T04:14:00Z</cp:lastPrinted>
  <dcterms:created xsi:type="dcterms:W3CDTF">2018-12-13T00:52:00Z</dcterms:created>
  <dcterms:modified xsi:type="dcterms:W3CDTF">2018-12-13T00:52:00Z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Trans-Tasman Mutual Recognition Act 1997</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19</vt:lpwstr>
  </property>
  <property fmtid="{D5CDD505-2E9C-101B-9397-08002B2CF9AE}" pid="13" name="StartDate">
    <vt:filetime>2018-12-06T13:00:00Z</vt:filetime>
  </property>
  <property fmtid="{D5CDD505-2E9C-101B-9397-08002B2CF9AE}" pid="14" name="PreparedDate">
    <vt:filetime>2015-08-26T14:00:00Z</vt:filetime>
  </property>
  <property fmtid="{D5CDD505-2E9C-101B-9397-08002B2CF9AE}" pid="15" name="RegisteredDate">
    <vt:filetime>2018-12-12T13:00:00Z</vt:filetime>
  </property>
  <property fmtid="{D5CDD505-2E9C-101B-9397-08002B2CF9AE}" pid="16" name="IncludesUpTo">
    <vt:lpwstr>F2018L01692</vt:lpwstr>
  </property>
</Properties>
</file>