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215B8">
      <w:pPr>
        <w:rPr>
          <w:sz w:val="28"/>
          <w:szCs w:val="28"/>
        </w:rPr>
      </w:pPr>
    </w:p>
    <w:p w:rsidR="00000000" w:rsidRDefault="003215B8">
      <w:pPr>
        <w:rPr>
          <w:sz w:val="28"/>
          <w:szCs w:val="28"/>
        </w:rPr>
      </w:pPr>
    </w:p>
    <w:p w:rsidR="00000000" w:rsidRDefault="003215B8">
      <w:pPr>
        <w:rPr>
          <w:sz w:val="28"/>
          <w:szCs w:val="28"/>
        </w:rPr>
      </w:pPr>
    </w:p>
    <w:p w:rsidR="00000000" w:rsidRDefault="003215B8">
      <w:pPr>
        <w:rPr>
          <w:i/>
          <w:iCs/>
          <w:sz w:val="19"/>
          <w:szCs w:val="19"/>
        </w:rPr>
      </w:pPr>
    </w:p>
    <w:p w:rsidR="00000000" w:rsidRDefault="003215B8">
      <w:pPr>
        <w:pStyle w:val="ShortT"/>
      </w:pPr>
      <w:r>
        <w:t>Superannuation Industry (Supervision)</w:t>
      </w:r>
      <w:r>
        <w:t xml:space="preserve"> Amendment Act 1</w:t>
      </w:r>
      <w:bookmarkStart w:id="0" w:name="_GoBack"/>
      <w:bookmarkEnd w:id="0"/>
      <w:r>
        <w:t>997</w:t>
      </w:r>
    </w:p>
    <w:p w:rsidR="00000000" w:rsidRDefault="003215B8"/>
    <w:p w:rsidR="00000000" w:rsidRDefault="003215B8">
      <w:pPr>
        <w:pStyle w:val="Actno"/>
        <w:spacing w:before="400"/>
      </w:pPr>
      <w:r>
        <w:t>No. 172, 1997</w:t>
      </w:r>
    </w:p>
    <w:p w:rsidR="00000000" w:rsidRDefault="003215B8"/>
    <w:p w:rsidR="00000000" w:rsidRDefault="003215B8"/>
    <w:p w:rsidR="00000000" w:rsidRDefault="003215B8"/>
    <w:p w:rsidR="00000000" w:rsidRDefault="003215B8"/>
    <w:p w:rsidR="00000000" w:rsidRDefault="003215B8">
      <w:pPr>
        <w:pStyle w:val="Header"/>
      </w:pPr>
      <w:r>
        <w:rPr>
          <w:rStyle w:val="CharAmSchNo"/>
        </w:rPr>
        <w:t xml:space="preserve"> </w:t>
      </w:r>
      <w:r>
        <w:rPr>
          <w:rStyle w:val="CharAmSchText"/>
        </w:rPr>
        <w:t xml:space="preserve"> </w:t>
      </w:r>
    </w:p>
    <w:p w:rsidR="00000000" w:rsidRDefault="003215B8">
      <w:pPr>
        <w:pStyle w:val="Header"/>
      </w:pPr>
      <w:r>
        <w:rPr>
          <w:rStyle w:val="CharAmPartNo"/>
        </w:rPr>
        <w:t xml:space="preserve"> </w:t>
      </w:r>
      <w:r>
        <w:rPr>
          <w:rStyle w:val="CharAmPartText"/>
        </w:rPr>
        <w:t xml:space="preserve"> </w:t>
      </w:r>
    </w:p>
    <w:p w:rsidR="00000000" w:rsidRDefault="003215B8">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sectPr w:rsidR="00000000">
          <w:headerReference w:type="even" r:id="rId7"/>
          <w:headerReference w:type="default" r:id="rId8"/>
          <w:footerReference w:type="even" r:id="rId9"/>
          <w:footerReference w:type="default" r:id="rId10"/>
          <w:headerReference w:type="first" r:id="rId11"/>
          <w:type w:val="nextColumn"/>
          <w:pgSz w:w="11907" w:h="16840" w:code="9"/>
          <w:pgMar w:top="1418" w:right="2410" w:bottom="3544" w:left="2410" w:header="720" w:footer="4111" w:gutter="0"/>
          <w:pgNumType w:start="1"/>
          <w:cols w:space="720"/>
          <w:titlePg/>
        </w:sectPr>
      </w:pPr>
    </w:p>
    <w:p w:rsidR="00000000" w:rsidRDefault="003215B8">
      <w:pPr>
        <w:rPr>
          <w:sz w:val="28"/>
          <w:szCs w:val="28"/>
        </w:rPr>
      </w:pPr>
    </w:p>
    <w:p w:rsidR="00000000" w:rsidRDefault="003215B8">
      <w:pPr>
        <w:rPr>
          <w:sz w:val="28"/>
          <w:szCs w:val="28"/>
        </w:rPr>
      </w:pPr>
    </w:p>
    <w:p w:rsidR="00000000" w:rsidRDefault="003215B8">
      <w:pPr>
        <w:rPr>
          <w:sz w:val="28"/>
          <w:szCs w:val="28"/>
        </w:rPr>
      </w:pPr>
    </w:p>
    <w:p w:rsidR="00000000" w:rsidRDefault="003215B8">
      <w:pPr>
        <w:rPr>
          <w:i/>
          <w:iCs/>
          <w:sz w:val="19"/>
          <w:szCs w:val="19"/>
        </w:rPr>
      </w:pPr>
    </w:p>
    <w:p w:rsidR="00000000" w:rsidRDefault="003215B8">
      <w:pPr>
        <w:pStyle w:val="ShortT"/>
      </w:pPr>
      <w:r>
        <w:t>Superannuation Industry (Supervision) Amendment Act 1997</w:t>
      </w:r>
    </w:p>
    <w:p w:rsidR="00000000" w:rsidRDefault="003215B8"/>
    <w:p w:rsidR="00000000" w:rsidRDefault="003215B8">
      <w:pPr>
        <w:pStyle w:val="Actno"/>
        <w:spacing w:before="400"/>
      </w:pPr>
      <w:r>
        <w:t>No. 172, 1997</w:t>
      </w:r>
    </w:p>
    <w:p w:rsidR="00000000" w:rsidRDefault="003215B8"/>
    <w:p w:rsidR="00000000" w:rsidRDefault="003215B8"/>
    <w:p w:rsidR="00000000" w:rsidRDefault="003215B8"/>
    <w:p w:rsidR="00000000" w:rsidRDefault="003215B8"/>
    <w:p w:rsidR="00000000" w:rsidRDefault="003215B8">
      <w:pPr>
        <w:pStyle w:val="LongT"/>
      </w:pPr>
      <w:r>
        <w:t xml:space="preserve">An Act to amend the </w:t>
      </w:r>
      <w:r>
        <w:rPr>
          <w:i/>
          <w:iCs/>
        </w:rPr>
        <w:t>Superannuation Industry (Supervision) Act 1993</w:t>
      </w:r>
      <w:r>
        <w:t>, and for related purposes</w:t>
      </w:r>
    </w:p>
    <w:p w:rsidR="00000000" w:rsidRDefault="003215B8">
      <w:pPr>
        <w:pStyle w:val="Header"/>
      </w:pPr>
      <w:r>
        <w:rPr>
          <w:rStyle w:val="CharAmSchNo"/>
        </w:rPr>
        <w:t xml:space="preserve"> </w:t>
      </w:r>
      <w:r>
        <w:rPr>
          <w:rStyle w:val="CharAmSchText"/>
        </w:rPr>
        <w:t xml:space="preserve"> </w:t>
      </w:r>
    </w:p>
    <w:p w:rsidR="00000000" w:rsidRDefault="003215B8">
      <w:pPr>
        <w:pStyle w:val="Header"/>
      </w:pPr>
      <w:r>
        <w:rPr>
          <w:rStyle w:val="CharAmPartNo"/>
        </w:rPr>
        <w:t xml:space="preserve"> </w:t>
      </w:r>
      <w:r>
        <w:rPr>
          <w:rStyle w:val="CharAmPartText"/>
        </w:rPr>
        <w:t xml:space="preserve"> </w:t>
      </w:r>
    </w:p>
    <w:p w:rsidR="00000000" w:rsidRDefault="003215B8">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sectPr w:rsidR="00000000">
          <w:headerReference w:type="even" r:id="rId12"/>
          <w:headerReference w:type="default" r:id="rId13"/>
          <w:footerReference w:type="even" r:id="rId14"/>
          <w:footerReference w:type="default" r:id="rId15"/>
          <w:headerReference w:type="first" r:id="rId16"/>
          <w:type w:val="nextColumn"/>
          <w:pgSz w:w="11907" w:h="16840" w:code="9"/>
          <w:pgMar w:top="1418" w:right="2410" w:bottom="3544" w:left="2410" w:header="720" w:footer="4111" w:gutter="0"/>
          <w:pgNumType w:start="1"/>
          <w:cols w:space="720"/>
          <w:titlePg/>
        </w:sectPr>
      </w:pPr>
    </w:p>
    <w:p w:rsidR="00000000" w:rsidRDefault="003215B8">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rPr>
          <w:sz w:val="36"/>
          <w:szCs w:val="36"/>
        </w:rPr>
      </w:pPr>
      <w:r>
        <w:rPr>
          <w:sz w:val="36"/>
          <w:szCs w:val="36"/>
        </w:rPr>
        <w:lastRenderedPageBreak/>
        <w:t>Contents</w:t>
      </w:r>
    </w:p>
    <w:p w:rsidR="00000000" w:rsidRDefault="003215B8">
      <w:pPr>
        <w:pStyle w:val="TOC5"/>
      </w:pPr>
      <w:r>
        <w:rPr>
          <w:sz w:val="36"/>
          <w:szCs w:val="36"/>
        </w:rPr>
        <w:fldChar w:fldCharType="begin"/>
      </w:r>
      <w:r>
        <w:rPr>
          <w:sz w:val="36"/>
          <w:szCs w:val="36"/>
        </w:rPr>
        <w:instrText xml:space="preserve"> TOC \t "Heading 1,1,Heading 2,2,Heading 3,3,Heading 4,4,Heading 5,5, Heading 6,6,Heading 7,7,Heading 8,8, Heading 9,9" </w:instrText>
      </w:r>
      <w:r>
        <w:rPr>
          <w:sz w:val="36"/>
          <w:szCs w:val="36"/>
        </w:rPr>
        <w:fldChar w:fldCharType="separate"/>
      </w:r>
      <w:r>
        <w:t>1</w:t>
      </w:r>
      <w:r>
        <w:tab/>
      </w:r>
      <w:r>
        <w:t>Short title</w:t>
      </w:r>
      <w:r>
        <w:tab/>
      </w:r>
      <w:r>
        <w:fldChar w:fldCharType="begin"/>
      </w:r>
      <w:r>
        <w:instrText xml:space="preserve"> GOTOBUTTON _Toc400251104  </w:instrText>
      </w:r>
      <w:r>
        <w:fldChar w:fldCharType="begin"/>
      </w:r>
      <w:r>
        <w:instrText xml:space="preserve"> PAGEREF _Toc400251104 </w:instrText>
      </w:r>
      <w:r>
        <w:fldChar w:fldCharType="separate"/>
      </w:r>
      <w:r>
        <w:instrText>1</w:instrText>
      </w:r>
      <w:r>
        <w:fldChar w:fldCharType="end"/>
      </w:r>
      <w:r>
        <w:fldChar w:fldCharType="end"/>
      </w:r>
    </w:p>
    <w:p w:rsidR="00000000" w:rsidRDefault="003215B8">
      <w:pPr>
        <w:pStyle w:val="TOC5"/>
      </w:pPr>
      <w:r>
        <w:t>2</w:t>
      </w:r>
      <w:r>
        <w:tab/>
        <w:t>Commencement</w:t>
      </w:r>
      <w:r>
        <w:tab/>
      </w:r>
      <w:r>
        <w:fldChar w:fldCharType="begin"/>
      </w:r>
      <w:r>
        <w:instrText xml:space="preserve"> GOTOBUTTON _Toc400251105  </w:instrText>
      </w:r>
      <w:r>
        <w:fldChar w:fldCharType="begin"/>
      </w:r>
      <w:r>
        <w:instrText xml:space="preserve"> PAGEREF _Toc400251105 </w:instrText>
      </w:r>
      <w:r>
        <w:fldChar w:fldCharType="separate"/>
      </w:r>
      <w:r>
        <w:instrText>1</w:instrText>
      </w:r>
      <w:r>
        <w:fldChar w:fldCharType="end"/>
      </w:r>
      <w:r>
        <w:fldChar w:fldCharType="end"/>
      </w:r>
    </w:p>
    <w:p w:rsidR="00000000" w:rsidRDefault="003215B8">
      <w:pPr>
        <w:pStyle w:val="TOC5"/>
      </w:pPr>
      <w:r>
        <w:t>3</w:t>
      </w:r>
      <w:r>
        <w:tab/>
        <w:t>Schedule(s)</w:t>
      </w:r>
      <w:r>
        <w:tab/>
      </w:r>
      <w:r>
        <w:fldChar w:fldCharType="begin"/>
      </w:r>
      <w:r>
        <w:instrText xml:space="preserve"> GOTOBUTTON _Toc400251106  </w:instrText>
      </w:r>
      <w:r>
        <w:fldChar w:fldCharType="begin"/>
      </w:r>
      <w:r>
        <w:instrText xml:space="preserve"> PAGEREF _Toc400251106 </w:instrText>
      </w:r>
      <w:r>
        <w:fldChar w:fldCharType="separate"/>
      </w:r>
      <w:r>
        <w:instrText>2</w:instrText>
      </w:r>
      <w:r>
        <w:fldChar w:fldCharType="end"/>
      </w:r>
      <w:r>
        <w:fldChar w:fldCharType="end"/>
      </w:r>
    </w:p>
    <w:p w:rsidR="00000000" w:rsidRDefault="003215B8">
      <w:pPr>
        <w:pStyle w:val="TOC6"/>
      </w:pPr>
      <w:r>
        <w:t>Schedule 1—Amendment of the Superannuation I</w:t>
      </w:r>
      <w:r>
        <w:t>ndustry (Supervision) Act 1993</w:t>
      </w:r>
      <w:r>
        <w:tab/>
      </w:r>
      <w:r>
        <w:rPr>
          <w:b w:val="0"/>
          <w:bCs w:val="0"/>
          <w:sz w:val="18"/>
          <w:szCs w:val="18"/>
        </w:rPr>
        <w:fldChar w:fldCharType="begin"/>
      </w:r>
      <w:r>
        <w:rPr>
          <w:b w:val="0"/>
          <w:bCs w:val="0"/>
          <w:sz w:val="18"/>
          <w:szCs w:val="18"/>
        </w:rPr>
        <w:instrText xml:space="preserve"> GOTOBUTTON _Toc400251107  </w:instrText>
      </w:r>
      <w:r>
        <w:rPr>
          <w:b w:val="0"/>
          <w:bCs w:val="0"/>
          <w:sz w:val="18"/>
          <w:szCs w:val="18"/>
        </w:rPr>
        <w:fldChar w:fldCharType="begin"/>
      </w:r>
      <w:r>
        <w:rPr>
          <w:b w:val="0"/>
          <w:bCs w:val="0"/>
          <w:sz w:val="18"/>
          <w:szCs w:val="18"/>
        </w:rPr>
        <w:instrText xml:space="preserve"> PAGEREF _Toc400251107 </w:instrText>
      </w:r>
      <w:r>
        <w:rPr>
          <w:b w:val="0"/>
          <w:bCs w:val="0"/>
          <w:sz w:val="18"/>
          <w:szCs w:val="18"/>
        </w:rPr>
        <w:fldChar w:fldCharType="separate"/>
      </w:r>
      <w:r>
        <w:rPr>
          <w:b w:val="0"/>
          <w:bCs w:val="0"/>
          <w:sz w:val="18"/>
          <w:szCs w:val="18"/>
        </w:rPr>
        <w:instrText>3</w:instrText>
      </w:r>
      <w:r>
        <w:rPr>
          <w:b w:val="0"/>
          <w:bCs w:val="0"/>
          <w:sz w:val="18"/>
          <w:szCs w:val="18"/>
        </w:rPr>
        <w:fldChar w:fldCharType="end"/>
      </w:r>
      <w:r>
        <w:rPr>
          <w:b w:val="0"/>
          <w:bCs w:val="0"/>
          <w:sz w:val="18"/>
          <w:szCs w:val="18"/>
        </w:rPr>
        <w:fldChar w:fldCharType="end"/>
      </w:r>
    </w:p>
    <w:p w:rsidR="00000000" w:rsidRDefault="003215B8">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rPr>
          <w:sz w:val="36"/>
          <w:szCs w:val="36"/>
        </w:rPr>
      </w:pPr>
      <w:r>
        <w:rPr>
          <w:sz w:val="36"/>
          <w:szCs w:val="36"/>
        </w:rPr>
        <w:fldChar w:fldCharType="end"/>
      </w:r>
    </w:p>
    <w:p w:rsidR="00000000" w:rsidRDefault="003215B8">
      <w:pPr>
        <w:sectPr w:rsidR="00000000">
          <w:headerReference w:type="even" r:id="rId17"/>
          <w:headerReference w:type="default" r:id="rId18"/>
          <w:footerReference w:type="even" r:id="rId19"/>
          <w:footerReference w:type="default" r:id="rId20"/>
          <w:pgSz w:w="11907" w:h="16840" w:code="9"/>
          <w:pgMar w:top="1418" w:right="2410" w:bottom="3544" w:left="2410" w:header="720" w:footer="4111" w:gutter="0"/>
          <w:pgNumType w:fmt="lowerRoman" w:start="1"/>
          <w:cols w:space="720"/>
        </w:sectPr>
      </w:pPr>
    </w:p>
    <w:p w:rsidR="00000000" w:rsidRDefault="003215B8">
      <w:pPr>
        <w:spacing w:before="800"/>
        <w:rPr>
          <w:b/>
          <w:bCs/>
          <w:sz w:val="40"/>
          <w:szCs w:val="40"/>
        </w:rPr>
      </w:pPr>
      <w:r>
        <w:rPr>
          <w:b/>
          <w:bCs/>
          <w:sz w:val="40"/>
          <w:szCs w:val="40"/>
        </w:rPr>
        <w:lastRenderedPageBreak/>
        <w:fldChar w:fldCharType="begin"/>
      </w:r>
      <w:r>
        <w:rPr>
          <w:b/>
          <w:bCs/>
          <w:sz w:val="40"/>
          <w:szCs w:val="40"/>
        </w:rPr>
        <w:instrText xml:space="preserve"> STYLEREF ShortT </w:instrText>
      </w:r>
      <w:r>
        <w:rPr>
          <w:b/>
          <w:bCs/>
          <w:sz w:val="40"/>
          <w:szCs w:val="40"/>
        </w:rPr>
        <w:fldChar w:fldCharType="separate"/>
      </w:r>
      <w:r>
        <w:rPr>
          <w:b/>
          <w:bCs/>
          <w:sz w:val="40"/>
          <w:szCs w:val="40"/>
        </w:rPr>
        <w:t>Superannuation Industry (Supervision) Amendment Act 1997</w:t>
      </w:r>
      <w:r>
        <w:rPr>
          <w:b/>
          <w:bCs/>
          <w:sz w:val="40"/>
          <w:szCs w:val="40"/>
        </w:rPr>
        <w:fldChar w:fldCharType="end"/>
      </w:r>
    </w:p>
    <w:p w:rsidR="00000000" w:rsidRDefault="003215B8">
      <w:pPr>
        <w:spacing w:before="800"/>
        <w:rPr>
          <w:b/>
          <w:bCs/>
          <w:sz w:val="28"/>
          <w:szCs w:val="28"/>
        </w:rPr>
      </w:pPr>
      <w:r>
        <w:rPr>
          <w:b/>
          <w:bCs/>
          <w:sz w:val="28"/>
          <w:szCs w:val="28"/>
        </w:rPr>
        <w:fldChar w:fldCharType="begin"/>
      </w:r>
      <w:r>
        <w:rPr>
          <w:b/>
          <w:bCs/>
          <w:sz w:val="28"/>
          <w:szCs w:val="28"/>
        </w:rPr>
        <w:instrText xml:space="preserve"> STYLEREF Actno </w:instrText>
      </w:r>
      <w:r>
        <w:rPr>
          <w:b/>
          <w:bCs/>
          <w:sz w:val="28"/>
          <w:szCs w:val="28"/>
        </w:rPr>
        <w:fldChar w:fldCharType="separate"/>
      </w:r>
      <w:r>
        <w:rPr>
          <w:b/>
          <w:bCs/>
          <w:sz w:val="28"/>
          <w:szCs w:val="28"/>
        </w:rPr>
        <w:t>No. 172, 1997</w:t>
      </w:r>
      <w:r>
        <w:rPr>
          <w:b/>
          <w:bCs/>
          <w:sz w:val="28"/>
          <w:szCs w:val="28"/>
        </w:rPr>
        <w:fldChar w:fldCharType="end"/>
      </w:r>
    </w:p>
    <w:p w:rsidR="00000000" w:rsidRDefault="003215B8">
      <w:pPr>
        <w:pBdr>
          <w:bottom w:val="single" w:sz="6" w:space="1" w:color="auto"/>
        </w:pBdr>
        <w:spacing w:before="400"/>
        <w:rPr>
          <w:b/>
          <w:bCs/>
          <w:sz w:val="16"/>
          <w:szCs w:val="16"/>
        </w:rPr>
      </w:pPr>
    </w:p>
    <w:p w:rsidR="00000000" w:rsidRDefault="003215B8">
      <w:pPr>
        <w:spacing w:line="40" w:lineRule="exact"/>
        <w:rPr>
          <w:b/>
          <w:bCs/>
          <w:sz w:val="28"/>
          <w:szCs w:val="28"/>
        </w:rPr>
      </w:pPr>
    </w:p>
    <w:p w:rsidR="00000000" w:rsidRDefault="003215B8">
      <w:pPr>
        <w:pBdr>
          <w:top w:val="single" w:sz="12" w:space="1" w:color="auto"/>
        </w:pBdr>
        <w:rPr>
          <w:sz w:val="16"/>
          <w:szCs w:val="16"/>
        </w:rPr>
      </w:pPr>
    </w:p>
    <w:p w:rsidR="00000000" w:rsidRDefault="003215B8">
      <w:pPr>
        <w:pStyle w:val="Page1"/>
        <w:spacing w:before="240"/>
      </w:pPr>
      <w:r>
        <w:t xml:space="preserve">An Act to amend the </w:t>
      </w:r>
      <w:r>
        <w:rPr>
          <w:i/>
          <w:iCs/>
        </w:rPr>
        <w:t>Superannuation Industry (Supervision) Act 1993</w:t>
      </w:r>
      <w:r>
        <w:t>, and for related purposes</w:t>
      </w:r>
    </w:p>
    <w:p w:rsidR="00000000" w:rsidRDefault="003215B8">
      <w:pPr>
        <w:spacing w:before="240" w:line="240" w:lineRule="auto"/>
        <w:rPr>
          <w:sz w:val="32"/>
          <w:szCs w:val="32"/>
        </w:rPr>
      </w:pPr>
      <w:r>
        <w:rPr>
          <w:sz w:val="24"/>
          <w:szCs w:val="24"/>
        </w:rPr>
        <w:t>[</w:t>
      </w:r>
      <w:r>
        <w:rPr>
          <w:i/>
          <w:iCs/>
          <w:sz w:val="24"/>
          <w:szCs w:val="24"/>
        </w:rPr>
        <w:t>Assented to 17 November 1997</w:t>
      </w:r>
      <w:r>
        <w:rPr>
          <w:sz w:val="24"/>
          <w:szCs w:val="24"/>
        </w:rPr>
        <w:t>]</w:t>
      </w:r>
    </w:p>
    <w:p w:rsidR="00000000" w:rsidRDefault="003215B8">
      <w:pPr>
        <w:spacing w:before="240" w:line="240" w:lineRule="auto"/>
        <w:rPr>
          <w:sz w:val="32"/>
          <w:szCs w:val="32"/>
        </w:rPr>
      </w:pPr>
      <w:r>
        <w:rPr>
          <w:sz w:val="32"/>
          <w:szCs w:val="32"/>
        </w:rPr>
        <w:t>The Parliament of A</w:t>
      </w:r>
      <w:r>
        <w:rPr>
          <w:sz w:val="32"/>
          <w:szCs w:val="32"/>
        </w:rPr>
        <w:t>ustralia enacts:</w:t>
      </w:r>
    </w:p>
    <w:p w:rsidR="00000000" w:rsidRDefault="003215B8">
      <w:pPr>
        <w:pStyle w:val="Heading5"/>
      </w:pPr>
      <w:bookmarkStart w:id="1" w:name="_Toc313538257"/>
      <w:bookmarkStart w:id="2" w:name="_Toc313693988"/>
      <w:bookmarkStart w:id="3" w:name="_Toc317143067"/>
      <w:bookmarkStart w:id="4" w:name="_Toc317251939"/>
      <w:bookmarkStart w:id="5" w:name="_Toc396272712"/>
      <w:bookmarkStart w:id="6" w:name="_Toc396788387"/>
      <w:bookmarkStart w:id="7" w:name="_Toc398022971"/>
      <w:bookmarkStart w:id="8" w:name="_Toc399742506"/>
      <w:bookmarkStart w:id="9" w:name="_Toc400248569"/>
      <w:bookmarkStart w:id="10" w:name="_Toc400249001"/>
      <w:bookmarkStart w:id="11" w:name="_Toc400249169"/>
      <w:bookmarkStart w:id="12" w:name="_Toc400249352"/>
      <w:bookmarkStart w:id="13" w:name="_Toc400250428"/>
      <w:bookmarkStart w:id="14" w:name="_Toc400251104"/>
      <w:bookmarkStart w:id="15" w:name="_Toc318795567"/>
      <w:r>
        <w:rPr>
          <w:rStyle w:val="CharSectno"/>
        </w:rPr>
        <w:t>1</w:t>
      </w:r>
      <w:r>
        <w:t xml:space="preserve">  Short title</w:t>
      </w:r>
      <w:bookmarkEnd w:id="1"/>
      <w:bookmarkEnd w:id="2"/>
      <w:bookmarkEnd w:id="3"/>
      <w:bookmarkEnd w:id="4"/>
      <w:bookmarkEnd w:id="5"/>
      <w:bookmarkEnd w:id="6"/>
      <w:bookmarkEnd w:id="7"/>
      <w:bookmarkEnd w:id="8"/>
      <w:bookmarkEnd w:id="9"/>
      <w:bookmarkEnd w:id="10"/>
      <w:bookmarkEnd w:id="11"/>
      <w:bookmarkEnd w:id="12"/>
      <w:bookmarkEnd w:id="13"/>
      <w:bookmarkEnd w:id="14"/>
    </w:p>
    <w:p w:rsidR="00000000" w:rsidRDefault="003215B8">
      <w:pPr>
        <w:pStyle w:val="Subsection"/>
      </w:pPr>
      <w:r>
        <w:tab/>
      </w:r>
      <w:r>
        <w:tab/>
        <w:t xml:space="preserve">This Act may be cited as the </w:t>
      </w:r>
      <w:r>
        <w:rPr>
          <w:i/>
          <w:iCs/>
        </w:rPr>
        <w:t>Superannuation Industry (Supervision) Amendment Act 1997</w:t>
      </w:r>
      <w:r>
        <w:t>.</w:t>
      </w:r>
    </w:p>
    <w:p w:rsidR="00000000" w:rsidRDefault="003215B8">
      <w:pPr>
        <w:pStyle w:val="Heading5"/>
      </w:pPr>
      <w:bookmarkStart w:id="16" w:name="_FOPNextObject"/>
      <w:bookmarkStart w:id="17" w:name="_Toc313692954"/>
      <w:bookmarkStart w:id="18" w:name="_Toc313695428"/>
      <w:bookmarkStart w:id="19" w:name="_Toc317653189"/>
      <w:bookmarkStart w:id="20" w:name="_Toc318795378"/>
      <w:bookmarkStart w:id="21" w:name="_Toc320629538"/>
      <w:bookmarkStart w:id="22" w:name="_Toc320629619"/>
      <w:bookmarkStart w:id="23" w:name="_Toc320629673"/>
      <w:bookmarkStart w:id="24" w:name="_Toc320629808"/>
      <w:bookmarkStart w:id="25" w:name="_Toc396272713"/>
      <w:bookmarkStart w:id="26" w:name="_Toc396788388"/>
      <w:bookmarkStart w:id="27" w:name="_Toc398022972"/>
      <w:bookmarkStart w:id="28" w:name="_Toc399742507"/>
      <w:bookmarkStart w:id="29" w:name="_Toc400248570"/>
      <w:bookmarkStart w:id="30" w:name="_Toc400249002"/>
      <w:bookmarkStart w:id="31" w:name="_Toc400249170"/>
      <w:bookmarkStart w:id="32" w:name="_Toc400249353"/>
      <w:bookmarkStart w:id="33" w:name="_Toc400250429"/>
      <w:bookmarkStart w:id="34" w:name="_Toc400251105"/>
      <w:bookmarkEnd w:id="15"/>
      <w:bookmarkEnd w:id="16"/>
      <w:r>
        <w:rPr>
          <w:rStyle w:val="CharSectno"/>
        </w:rPr>
        <w:t>2</w:t>
      </w:r>
      <w:r>
        <w:t xml:space="preserve">  Commencement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000000" w:rsidRDefault="003215B8">
      <w:pPr>
        <w:pStyle w:val="Subsection"/>
      </w:pPr>
      <w:bookmarkStart w:id="35" w:name="_Toc313692955"/>
      <w:bookmarkStart w:id="36" w:name="_Toc313695429"/>
      <w:bookmarkStart w:id="37" w:name="_Toc317653190"/>
      <w:bookmarkStart w:id="38" w:name="_Toc318795379"/>
      <w:bookmarkStart w:id="39" w:name="_Toc320629539"/>
      <w:bookmarkStart w:id="40" w:name="_Toc320629620"/>
      <w:bookmarkStart w:id="41" w:name="_Toc320629674"/>
      <w:bookmarkStart w:id="42" w:name="_Toc320629809"/>
      <w:r>
        <w:tab/>
        <w:t>(1)</w:t>
      </w:r>
      <w:r>
        <w:tab/>
        <w:t>Subject to subsection (2), this Act commences on the day on which it receives the Royal Assent.</w:t>
      </w:r>
    </w:p>
    <w:p w:rsidR="00000000" w:rsidRDefault="003215B8">
      <w:pPr>
        <w:pStyle w:val="Subsection"/>
      </w:pPr>
      <w:r>
        <w:tab/>
        <w:t>(2)</w:t>
      </w:r>
      <w:r>
        <w:tab/>
        <w:t xml:space="preserve">Schedule 1 is taken to have commenced on 1 </w:t>
      </w:r>
      <w:r>
        <w:t>July 1996.</w:t>
      </w:r>
    </w:p>
    <w:p w:rsidR="00000000" w:rsidRDefault="003215B8">
      <w:pPr>
        <w:pStyle w:val="Heading5"/>
      </w:pPr>
      <w:bookmarkStart w:id="43" w:name="_Toc396272714"/>
      <w:bookmarkStart w:id="44" w:name="_Toc396788389"/>
      <w:bookmarkStart w:id="45" w:name="_Toc398022973"/>
      <w:bookmarkStart w:id="46" w:name="_Toc399742508"/>
      <w:bookmarkStart w:id="47" w:name="_Toc400248571"/>
      <w:bookmarkStart w:id="48" w:name="_Toc400249003"/>
      <w:bookmarkStart w:id="49" w:name="_Toc400249171"/>
      <w:bookmarkStart w:id="50" w:name="_Toc400249354"/>
      <w:bookmarkStart w:id="51" w:name="_Toc400250430"/>
      <w:bookmarkStart w:id="52" w:name="_Toc400251106"/>
      <w:r>
        <w:rPr>
          <w:rStyle w:val="CharSectno"/>
        </w:rPr>
        <w:t>3</w:t>
      </w:r>
      <w:r>
        <w:t xml:space="preserve">  Schedule(s</w:t>
      </w:r>
      <w:bookmarkEnd w:id="35"/>
      <w:bookmarkEnd w:id="36"/>
      <w:bookmarkEnd w:id="37"/>
      <w:bookmarkEnd w:id="38"/>
      <w:bookmarkEnd w:id="39"/>
      <w:bookmarkEnd w:id="40"/>
      <w:bookmarkEnd w:id="41"/>
      <w:bookmarkEnd w:id="42"/>
      <w:r>
        <w:t>)</w:t>
      </w:r>
      <w:bookmarkEnd w:id="43"/>
      <w:bookmarkEnd w:id="44"/>
      <w:bookmarkEnd w:id="45"/>
      <w:bookmarkEnd w:id="46"/>
      <w:bookmarkEnd w:id="47"/>
      <w:bookmarkEnd w:id="48"/>
      <w:bookmarkEnd w:id="49"/>
      <w:bookmarkEnd w:id="50"/>
      <w:bookmarkEnd w:id="51"/>
      <w:bookmarkEnd w:id="52"/>
    </w:p>
    <w:p w:rsidR="00000000" w:rsidRDefault="003215B8">
      <w:pPr>
        <w:pStyle w:val="Subsection"/>
      </w:pPr>
      <w:r>
        <w:tab/>
      </w:r>
      <w:r>
        <w:tab/>
        <w:t>Subject to section 2, each Act that is specified in a Schedule to this Act is amended or repealed as set out in the appl</w:t>
      </w:r>
      <w:r>
        <w:t xml:space="preserve">icable items in the </w:t>
      </w:r>
      <w:r>
        <w:lastRenderedPageBreak/>
        <w:t>Schedule concerned, and any other item in a Schedule to this Act has effect according to its terms.</w:t>
      </w:r>
    </w:p>
    <w:p w:rsidR="00000000" w:rsidRDefault="003215B8">
      <w:pPr>
        <w:pStyle w:val="PageBreak"/>
      </w:pPr>
      <w:r>
        <w:br w:type="page"/>
      </w:r>
    </w:p>
    <w:p w:rsidR="00000000" w:rsidRDefault="003215B8">
      <w:pPr>
        <w:pStyle w:val="Heading6"/>
      </w:pPr>
      <w:bookmarkStart w:id="53" w:name="_Toc396272715"/>
      <w:bookmarkStart w:id="54" w:name="_Toc396788390"/>
      <w:bookmarkStart w:id="55" w:name="_Toc398022974"/>
      <w:bookmarkStart w:id="56" w:name="_Toc399742509"/>
      <w:bookmarkStart w:id="57" w:name="_Toc400248572"/>
      <w:bookmarkStart w:id="58" w:name="_Toc400249004"/>
      <w:bookmarkStart w:id="59" w:name="_Toc400249172"/>
      <w:bookmarkStart w:id="60" w:name="_Toc400249355"/>
      <w:bookmarkStart w:id="61" w:name="_Toc400250431"/>
      <w:bookmarkStart w:id="62" w:name="_Toc400251107"/>
      <w:r>
        <w:rPr>
          <w:rStyle w:val="CharAmSchNo"/>
        </w:rPr>
        <w:t>Sche</w:t>
      </w:r>
      <w:r>
        <w:rPr>
          <w:rStyle w:val="CharAmSchNo"/>
        </w:rPr>
        <w:t>dule 1</w:t>
      </w:r>
      <w:r>
        <w:t>—</w:t>
      </w:r>
      <w:bookmarkStart w:id="63" w:name="_Toc391974453"/>
      <w:bookmarkStart w:id="64" w:name="_Toc392043926"/>
      <w:bookmarkStart w:id="65" w:name="_Toc392045035"/>
      <w:bookmarkStart w:id="66" w:name="_Toc392058149"/>
      <w:bookmarkStart w:id="67" w:name="_Toc392059823"/>
      <w:bookmarkStart w:id="68" w:name="_Toc392312196"/>
      <w:bookmarkStart w:id="69" w:name="_Toc392316591"/>
      <w:bookmarkStart w:id="70" w:name="_Toc392320069"/>
      <w:bookmarkStart w:id="71" w:name="_Toc392400325"/>
      <w:bookmarkStart w:id="72" w:name="_Toc392403195"/>
      <w:bookmarkStart w:id="73" w:name="_Toc392407287"/>
      <w:bookmarkStart w:id="74" w:name="_Toc392480591"/>
      <w:bookmarkStart w:id="75" w:name="_Toc392491104"/>
      <w:bookmarkStart w:id="76" w:name="_Toc392492524"/>
      <w:bookmarkStart w:id="77" w:name="_Toc392575958"/>
      <w:bookmarkStart w:id="78" w:name="_Toc392587461"/>
      <w:bookmarkStart w:id="79" w:name="_Toc392657214"/>
      <w:bookmarkStart w:id="80" w:name="_Toc393077600"/>
      <w:bookmarkStart w:id="81" w:name="_Toc393246888"/>
      <w:r>
        <w:rPr>
          <w:rStyle w:val="CharAmSchText"/>
        </w:rPr>
        <w:t>Am</w:t>
      </w:r>
      <w:r>
        <w:rPr>
          <w:rStyle w:val="CharAmSchText"/>
        </w:rPr>
        <w:t>endment of the Superannuation Industry (Supervision) Act 1993</w:t>
      </w:r>
      <w:bookmarkEnd w:id="53"/>
      <w:bookmarkEnd w:id="54"/>
      <w:bookmarkEnd w:id="55"/>
      <w:bookmarkEnd w:id="56"/>
      <w:bookmarkEnd w:id="57"/>
      <w:bookmarkEnd w:id="58"/>
      <w:bookmarkEnd w:id="59"/>
      <w:bookmarkEnd w:id="60"/>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61"/>
      <w:bookmarkEnd w:id="62"/>
    </w:p>
    <w:p w:rsidR="00000000" w:rsidRDefault="003215B8">
      <w:pPr>
        <w:pStyle w:val="Header"/>
      </w:pPr>
      <w:r>
        <w:rPr>
          <w:rStyle w:val="CharAmPartNo"/>
        </w:rPr>
        <w:t xml:space="preserve"> </w:t>
      </w:r>
      <w:r>
        <w:rPr>
          <w:rStyle w:val="CharAmPartText"/>
        </w:rPr>
        <w:t xml:space="preserve"> </w:t>
      </w:r>
    </w:p>
    <w:p w:rsidR="00000000" w:rsidRDefault="003215B8">
      <w:pPr>
        <w:pStyle w:val="ItemHead"/>
      </w:pPr>
      <w:r>
        <w:t xml:space="preserve">1  Subsection 10(1) (after paragraph (f) of the definition of </w:t>
      </w:r>
      <w:r>
        <w:rPr>
          <w:i/>
          <w:iCs/>
        </w:rPr>
        <w:t>reviewable decision</w:t>
      </w:r>
      <w:r>
        <w:t>)</w:t>
      </w:r>
    </w:p>
    <w:p w:rsidR="00000000" w:rsidRDefault="003215B8">
      <w:pPr>
        <w:pStyle w:val="Item"/>
      </w:pPr>
      <w:r>
        <w:t>Insert:</w:t>
      </w:r>
    </w:p>
    <w:p w:rsidR="00000000" w:rsidRDefault="003215B8">
      <w:pPr>
        <w:pStyle w:val="indenta"/>
      </w:pPr>
      <w:r>
        <w:tab/>
        <w:t>(fa)</w:t>
      </w:r>
      <w:r>
        <w:tab/>
        <w:t>a decision of the Commissioner under subsection 42(1AA) or (1AC) or paragraph 50(1)(c); or</w:t>
      </w:r>
    </w:p>
    <w:p w:rsidR="00000000" w:rsidRDefault="003215B8">
      <w:pPr>
        <w:pStyle w:val="ItemHead"/>
      </w:pPr>
      <w:r>
        <w:t>2  After subsection 42(1)</w:t>
      </w:r>
    </w:p>
    <w:p w:rsidR="00000000" w:rsidRDefault="003215B8">
      <w:pPr>
        <w:pStyle w:val="Item"/>
      </w:pPr>
      <w:r>
        <w:t>Insert:</w:t>
      </w:r>
    </w:p>
    <w:p w:rsidR="00000000" w:rsidRDefault="003215B8">
      <w:pPr>
        <w:pStyle w:val="Subsection"/>
      </w:pPr>
      <w:r>
        <w:tab/>
        <w:t>(1AA)</w:t>
      </w:r>
      <w:r>
        <w:tab/>
        <w:t>An entity is also a complying superannuation fund in relation to the 1994</w:t>
      </w:r>
      <w:r>
        <w:noBreakHyphen/>
        <w:t>95 year of inco</w:t>
      </w:r>
      <w:r>
        <w:t>me or a later year of income if:</w:t>
      </w:r>
    </w:p>
    <w:p w:rsidR="00000000" w:rsidRDefault="003215B8">
      <w:pPr>
        <w:pStyle w:val="indenta"/>
      </w:pPr>
      <w:r>
        <w:tab/>
        <w:t>(a)</w:t>
      </w:r>
      <w:r>
        <w:tab/>
        <w:t>the entity:</w:t>
      </w:r>
    </w:p>
    <w:p w:rsidR="00000000" w:rsidRDefault="003215B8">
      <w:pPr>
        <w:pStyle w:val="indentii"/>
      </w:pPr>
      <w:r>
        <w:tab/>
        <w:t>(i)</w:t>
      </w:r>
      <w:r>
        <w:tab/>
        <w:t>is a superannuation fund that came into existence during the year of income; or</w:t>
      </w:r>
    </w:p>
    <w:p w:rsidR="00000000" w:rsidRDefault="003215B8">
      <w:pPr>
        <w:pStyle w:val="indentii"/>
      </w:pPr>
      <w:r>
        <w:tab/>
        <w:t>(ii)</w:t>
      </w:r>
      <w:r>
        <w:tab/>
        <w:t>was a resident approved deposit fund that became a superannuation fund during the year of income; and</w:t>
      </w:r>
    </w:p>
    <w:p w:rsidR="00000000" w:rsidRDefault="003215B8">
      <w:pPr>
        <w:pStyle w:val="indenta"/>
      </w:pPr>
      <w:r>
        <w:tab/>
        <w:t>(b)</w:t>
      </w:r>
      <w:r>
        <w:tab/>
        <w:t>the enti</w:t>
      </w:r>
      <w:r>
        <w:t>ty complied with subsections 19(2) to (4):</w:t>
      </w:r>
    </w:p>
    <w:p w:rsidR="00000000" w:rsidRDefault="003215B8">
      <w:pPr>
        <w:pStyle w:val="indentii"/>
      </w:pPr>
      <w:r>
        <w:tab/>
        <w:t>(i)</w:t>
      </w:r>
      <w:r>
        <w:tab/>
        <w:t>within 60 days after the day on which it came into existence or became a superannuation fund, as the case may be; or</w:t>
      </w:r>
    </w:p>
    <w:p w:rsidR="00000000" w:rsidRDefault="003215B8">
      <w:pPr>
        <w:pStyle w:val="indentii"/>
      </w:pPr>
      <w:r>
        <w:tab/>
        <w:t>(ii)</w:t>
      </w:r>
      <w:r>
        <w:tab/>
        <w:t xml:space="preserve">within such further period, if any, as the Commissioner (whether before or after the </w:t>
      </w:r>
      <w:r>
        <w:t>end of the period of 60 days) allows; and</w:t>
      </w:r>
    </w:p>
    <w:p w:rsidR="00000000" w:rsidRDefault="003215B8">
      <w:pPr>
        <w:pStyle w:val="indenta"/>
      </w:pPr>
      <w:r>
        <w:tab/>
        <w:t>(c)</w:t>
      </w:r>
      <w:r>
        <w:tab/>
        <w:t>either of the following conditions is satisfied:</w:t>
      </w:r>
    </w:p>
    <w:p w:rsidR="00000000" w:rsidRDefault="003215B8">
      <w:pPr>
        <w:pStyle w:val="indentii"/>
      </w:pPr>
      <w:r>
        <w:tab/>
        <w:t>(i)</w:t>
      </w:r>
      <w:r>
        <w:tab/>
        <w:t xml:space="preserve">the trustee did not contravene this Act or the regulations in relation to the entity in respect of the whole of the period (the </w:t>
      </w:r>
      <w:r>
        <w:rPr>
          <w:b/>
          <w:bCs/>
          <w:i/>
          <w:iCs/>
        </w:rPr>
        <w:t>pre-lodgment period</w:t>
      </w:r>
      <w:r>
        <w:t>) that b</w:t>
      </w:r>
      <w:r>
        <w:t>egan when the entity came into existence or became a superannuation fund, as the case may be, and ended when the entity complied with subsections 19(2) to (4);</w:t>
      </w:r>
    </w:p>
    <w:p w:rsidR="00000000" w:rsidRDefault="003215B8">
      <w:pPr>
        <w:pStyle w:val="indentii"/>
      </w:pPr>
      <w:r>
        <w:lastRenderedPageBreak/>
        <w:tab/>
        <w:t>(ii)</w:t>
      </w:r>
      <w:r>
        <w:tab/>
        <w:t>the trustee contravened this Act or the regulations in relation to the entity in respect o</w:t>
      </w:r>
      <w:r>
        <w:t>f the pre-lodgment period on one or more occasions but the trustee satisfies the Commissioner that, because of special circumstances that existed in relation to the fund during</w:t>
      </w:r>
      <w:r>
        <w:rPr>
          <w:b/>
          <w:bCs/>
        </w:rPr>
        <w:t xml:space="preserve"> </w:t>
      </w:r>
      <w:r>
        <w:t>the pre-lodgment period, it would be reasonable for the fund to be treated as i</w:t>
      </w:r>
      <w:r>
        <w:t>f it had satisfied this Act and the regulations; and</w:t>
      </w:r>
    </w:p>
    <w:p w:rsidR="00000000" w:rsidRDefault="003215B8">
      <w:pPr>
        <w:pStyle w:val="indenta"/>
      </w:pPr>
      <w:r>
        <w:tab/>
        <w:t>(d)</w:t>
      </w:r>
      <w:r>
        <w:tab/>
        <w:t>the entity was a resident regulated superannuation fund at all times during the part of the year of income occurring after the end of the pre-lodgment period; and</w:t>
      </w:r>
    </w:p>
    <w:p w:rsidR="00000000" w:rsidRDefault="003215B8">
      <w:pPr>
        <w:pStyle w:val="indenta"/>
      </w:pPr>
      <w:r>
        <w:tab/>
        <w:t>(e)</w:t>
      </w:r>
      <w:r>
        <w:tab/>
        <w:t>either of the conditions state</w:t>
      </w:r>
      <w:r>
        <w:t>d in paragraph (1)(b) is satisfied in relation to the entity in respect of the part of the year of income occurring after the end of the pre-lodgment period.</w:t>
      </w:r>
    </w:p>
    <w:p w:rsidR="00000000" w:rsidRDefault="003215B8">
      <w:pPr>
        <w:pStyle w:val="Subsection"/>
      </w:pPr>
      <w:r>
        <w:tab/>
        <w:t>(1AB)</w:t>
      </w:r>
      <w:r>
        <w:tab/>
        <w:t>In determining for the purpose of paragraph (1AA)(c) whether this Act or the regulations we</w:t>
      </w:r>
      <w:r>
        <w:t xml:space="preserve">re contravened in respect of the entity in respect of the pre-lodgment period, this Act and the regulations are taken to have applied in relation to the entity in respect of that period as if the entity were a resident regulated superannuation fund during </w:t>
      </w:r>
      <w:r>
        <w:t>that period.</w:t>
      </w:r>
    </w:p>
    <w:p w:rsidR="00000000" w:rsidRDefault="003215B8">
      <w:pPr>
        <w:pStyle w:val="Subsection"/>
      </w:pPr>
      <w:r>
        <w:tab/>
        <w:t>(1AC)</w:t>
      </w:r>
      <w:r>
        <w:tab/>
        <w:t>An entity is also a complying superannuation fund in relation to the 1994</w:t>
      </w:r>
      <w:r>
        <w:noBreakHyphen/>
        <w:t>95 year of income or a later year of income if:</w:t>
      </w:r>
    </w:p>
    <w:p w:rsidR="00000000" w:rsidRDefault="003215B8">
      <w:pPr>
        <w:pStyle w:val="indenta"/>
      </w:pPr>
      <w:r>
        <w:tab/>
        <w:t>(a)</w:t>
      </w:r>
      <w:r>
        <w:tab/>
        <w:t>the trustee of the entity has purported to make an election under subsection 19(4); and</w:t>
      </w:r>
    </w:p>
    <w:p w:rsidR="00000000" w:rsidRDefault="003215B8">
      <w:pPr>
        <w:pStyle w:val="indenta"/>
      </w:pPr>
      <w:r>
        <w:tab/>
        <w:t>(b)</w:t>
      </w:r>
      <w:r>
        <w:tab/>
        <w:t>the requirements</w:t>
      </w:r>
      <w:r>
        <w:t xml:space="preserve"> of subsections 19(2) to (4) (to the extent that they have not already been complied with) are complied with within 28 days after the trustee finds out (whether by written notice from the Commissioner or otherwise) that they were not complied with, or with</w:t>
      </w:r>
      <w:r>
        <w:t>in such further period, if any, as the Commissioner (whether before or after the end of the period of 28 days) allows; and</w:t>
      </w:r>
    </w:p>
    <w:p w:rsidR="00000000" w:rsidRDefault="003215B8">
      <w:pPr>
        <w:pStyle w:val="indenta"/>
      </w:pPr>
      <w:r>
        <w:tab/>
        <w:t>(c)</w:t>
      </w:r>
      <w:r>
        <w:tab/>
        <w:t>except where the trustee received written notice from the Commissioner about the non-compliance—the trustee tells the Commission</w:t>
      </w:r>
      <w:r>
        <w:t>er in writing of the compliance within 7 days after the requirements are complied with or within such further period, if any, as the Commissioner (whether before or after the end of the period of 7 days) allows; and</w:t>
      </w:r>
    </w:p>
    <w:p w:rsidR="00000000" w:rsidRDefault="003215B8">
      <w:pPr>
        <w:pStyle w:val="indenta"/>
      </w:pPr>
      <w:r>
        <w:lastRenderedPageBreak/>
        <w:tab/>
        <w:t>(d)</w:t>
      </w:r>
      <w:r>
        <w:tab/>
        <w:t xml:space="preserve">either of the following conditions </w:t>
      </w:r>
      <w:r>
        <w:t>is satisfied:</w:t>
      </w:r>
    </w:p>
    <w:p w:rsidR="00000000" w:rsidRDefault="003215B8">
      <w:pPr>
        <w:pStyle w:val="indentii"/>
      </w:pPr>
      <w:r>
        <w:tab/>
        <w:t>(i)</w:t>
      </w:r>
      <w:r>
        <w:tab/>
        <w:t xml:space="preserve">the trustee did not contravene this Act or the regulations in relation to the entity in respect of the whole of the period (the </w:t>
      </w:r>
      <w:r>
        <w:rPr>
          <w:b/>
          <w:bCs/>
          <w:i/>
          <w:iCs/>
        </w:rPr>
        <w:t>rectification period</w:t>
      </w:r>
      <w:r>
        <w:t>) that began when the trustee of the entity lodged the purported election under subsectio</w:t>
      </w:r>
      <w:r>
        <w:t>n 19(4) and ended when the entity complied with subsections 19(2) to (4);</w:t>
      </w:r>
    </w:p>
    <w:p w:rsidR="00000000" w:rsidRDefault="003215B8">
      <w:pPr>
        <w:pStyle w:val="indentii"/>
      </w:pPr>
      <w:r>
        <w:tab/>
        <w:t>(ii)</w:t>
      </w:r>
      <w:r>
        <w:tab/>
        <w:t>the trustee contravened this Act or the regulations in relation to the entity in respect of the rectification period on one or more occasions but the trustee satisfies the Comm</w:t>
      </w:r>
      <w:r>
        <w:t>issioner that, because of special circumstances that existed in relation to the fund during the rectification period, it would be reasonable for the fund to be treated as if it had satisfied this Act and the regulations; and</w:t>
      </w:r>
    </w:p>
    <w:p w:rsidR="00000000" w:rsidRDefault="003215B8">
      <w:pPr>
        <w:pStyle w:val="indenta"/>
      </w:pPr>
      <w:r>
        <w:tab/>
        <w:t>(e)</w:t>
      </w:r>
      <w:r>
        <w:tab/>
        <w:t>if the fund was in existen</w:t>
      </w:r>
      <w:r>
        <w:t>ce before the beginning of its 1994</w:t>
      </w:r>
      <w:r>
        <w:noBreakHyphen/>
        <w:t>95 year of income—under regulations made for the purposes of section 50, the fund is treated as if it had satisfied the transitional superannuation fund conditions at all times during the period that began at the beginni</w:t>
      </w:r>
      <w:r>
        <w:t>ng of the fund’s 1994-95 year of income and ended when the trustee of the entity lodged the purported election under subsection 19(4); and</w:t>
      </w:r>
    </w:p>
    <w:p w:rsidR="00000000" w:rsidRDefault="003215B8">
      <w:pPr>
        <w:pStyle w:val="indenta"/>
      </w:pPr>
      <w:r>
        <w:tab/>
        <w:t>(f)</w:t>
      </w:r>
      <w:r>
        <w:tab/>
        <w:t>the entity was a resident regulated superannuation fund at all times during the part of the year of income occur</w:t>
      </w:r>
      <w:r>
        <w:t>ring after the end of the rectification period; and</w:t>
      </w:r>
    </w:p>
    <w:p w:rsidR="00000000" w:rsidRDefault="003215B8">
      <w:pPr>
        <w:pStyle w:val="indenta"/>
      </w:pPr>
      <w:r>
        <w:tab/>
        <w:t>(g)</w:t>
      </w:r>
      <w:r>
        <w:tab/>
        <w:t>either of the conditions stated in paragraph (1)(b) is satisfied in relation to the entity in respect of the part of the year of income occurring after the end of the rectification period.</w:t>
      </w:r>
    </w:p>
    <w:p w:rsidR="00000000" w:rsidRDefault="003215B8">
      <w:pPr>
        <w:pStyle w:val="Subsection"/>
      </w:pPr>
      <w:r>
        <w:tab/>
        <w:t>(1AD)</w:t>
      </w:r>
      <w:r>
        <w:tab/>
      </w:r>
      <w:r>
        <w:t>In determining for the purpose of paragraph (1AC)(d) whether this Act or the regulations were contravened in respect of the entity in respect of the rectification period, this Act and the regulations are taken to have applied in relation to the entity in r</w:t>
      </w:r>
      <w:r>
        <w:t>espect of that period as if the entity were a resident regulated superannuation fund during that period.</w:t>
      </w:r>
    </w:p>
    <w:p w:rsidR="00000000" w:rsidRDefault="003215B8">
      <w:pPr>
        <w:pStyle w:val="notetext"/>
      </w:pPr>
      <w:r>
        <w:lastRenderedPageBreak/>
        <w:t>Note:</w:t>
      </w:r>
      <w:r>
        <w:tab/>
        <w:t>Subsection 50(2) provides that certain superannuation funds that have been wound up or terminated are taken to have been complying superannuation</w:t>
      </w:r>
      <w:r>
        <w:t xml:space="preserve"> funds before the winding up or termination.</w:t>
      </w:r>
    </w:p>
    <w:p w:rsidR="00000000" w:rsidRDefault="003215B8">
      <w:pPr>
        <w:pStyle w:val="ItemHead"/>
      </w:pPr>
      <w:r>
        <w:t>3  Subsections 50(1) to (4)</w:t>
      </w:r>
    </w:p>
    <w:p w:rsidR="00000000" w:rsidRDefault="003215B8">
      <w:pPr>
        <w:pStyle w:val="Item"/>
      </w:pPr>
      <w:r>
        <w:t>Repeal the subsections, substitute:</w:t>
      </w:r>
    </w:p>
    <w:p w:rsidR="00000000" w:rsidRDefault="003215B8">
      <w:pPr>
        <w:pStyle w:val="Subsection"/>
      </w:pPr>
      <w:r>
        <w:tab/>
        <w:t>(1)</w:t>
      </w:r>
      <w:r>
        <w:tab/>
        <w:t>For the purposes of subsection 41(3), paragraph 42(1)(a) and subsection 45(2), if:</w:t>
      </w:r>
    </w:p>
    <w:p w:rsidR="00000000" w:rsidRDefault="003215B8">
      <w:pPr>
        <w:pStyle w:val="indenta"/>
      </w:pPr>
      <w:r>
        <w:tab/>
        <w:t>(a)</w:t>
      </w:r>
      <w:r>
        <w:tab/>
        <w:t xml:space="preserve">on a particular day (the </w:t>
      </w:r>
      <w:r>
        <w:rPr>
          <w:b/>
          <w:bCs/>
          <w:i/>
          <w:iCs/>
        </w:rPr>
        <w:t>lodgment day</w:t>
      </w:r>
      <w:r>
        <w:t>), the trustee of</w:t>
      </w:r>
      <w:r>
        <w:t xml:space="preserve"> a superannuation fund has lodged or lodges an election under section 19; and</w:t>
      </w:r>
    </w:p>
    <w:p w:rsidR="00000000" w:rsidRDefault="003215B8">
      <w:pPr>
        <w:pStyle w:val="indenta"/>
      </w:pPr>
      <w:r>
        <w:tab/>
        <w:t>(b)</w:t>
      </w:r>
      <w:r>
        <w:tab/>
        <w:t>the lodgment day was or is after 28 July 1994; and</w:t>
      </w:r>
    </w:p>
    <w:p w:rsidR="00000000" w:rsidRDefault="003215B8">
      <w:pPr>
        <w:pStyle w:val="indenta"/>
      </w:pPr>
      <w:r>
        <w:tab/>
        <w:t>(c)</w:t>
      </w:r>
      <w:r>
        <w:tab/>
        <w:t>the trustee satisfies the Commissioner that this subsection should apply in relation to the fund; and</w:t>
      </w:r>
    </w:p>
    <w:p w:rsidR="00000000" w:rsidRDefault="003215B8">
      <w:pPr>
        <w:pStyle w:val="indenta"/>
      </w:pPr>
      <w:r>
        <w:tab/>
        <w:t>(d)</w:t>
      </w:r>
      <w:r>
        <w:tab/>
        <w:t>the truste</w:t>
      </w:r>
      <w:r>
        <w:t>e has complied with such requirements relating to notifying members of the fund about:</w:t>
      </w:r>
    </w:p>
    <w:p w:rsidR="00000000" w:rsidRDefault="003215B8">
      <w:pPr>
        <w:pStyle w:val="indentii"/>
      </w:pPr>
      <w:r>
        <w:tab/>
        <w:t>(i)</w:t>
      </w:r>
      <w:r>
        <w:tab/>
        <w:t>the delay in lodging the election; and</w:t>
      </w:r>
    </w:p>
    <w:p w:rsidR="00000000" w:rsidRDefault="003215B8">
      <w:pPr>
        <w:pStyle w:val="indentii"/>
      </w:pPr>
      <w:r>
        <w:tab/>
        <w:t>(ii)</w:t>
      </w:r>
      <w:r>
        <w:tab/>
        <w:t>the reasons for the delay;</w:t>
      </w:r>
    </w:p>
    <w:p w:rsidR="00000000" w:rsidRDefault="003215B8">
      <w:pPr>
        <w:pStyle w:val="indenta"/>
      </w:pPr>
      <w:r>
        <w:tab/>
      </w:r>
      <w:r>
        <w:tab/>
        <w:t>as are set out in regulations made for the purposes of this paragraph; and</w:t>
      </w:r>
    </w:p>
    <w:p w:rsidR="00000000" w:rsidRDefault="003215B8">
      <w:pPr>
        <w:pStyle w:val="indenta"/>
      </w:pPr>
      <w:r>
        <w:tab/>
        <w:t>(e)</w:t>
      </w:r>
      <w:r>
        <w:tab/>
        <w:t xml:space="preserve">under the </w:t>
      </w:r>
      <w:r>
        <w:t xml:space="preserve">regulations, the fund is treated as if it had satisfied the transitional superannuation fund conditions at all times during the period (the </w:t>
      </w:r>
      <w:r>
        <w:rPr>
          <w:b/>
          <w:bCs/>
          <w:i/>
          <w:iCs/>
        </w:rPr>
        <w:t>pre</w:t>
      </w:r>
      <w:r>
        <w:rPr>
          <w:b/>
          <w:bCs/>
          <w:i/>
          <w:iCs/>
        </w:rPr>
        <w:noBreakHyphen/>
        <w:t>lodgment period</w:t>
      </w:r>
      <w:r>
        <w:t>):</w:t>
      </w:r>
    </w:p>
    <w:p w:rsidR="00000000" w:rsidRDefault="003215B8">
      <w:pPr>
        <w:pStyle w:val="indentii"/>
      </w:pPr>
      <w:r>
        <w:tab/>
        <w:t>(i)</w:t>
      </w:r>
      <w:r>
        <w:tab/>
        <w:t>beginning at the beginning of the fund’s 1994</w:t>
      </w:r>
      <w:r>
        <w:noBreakHyphen/>
        <w:t>95 year of income; and</w:t>
      </w:r>
    </w:p>
    <w:p w:rsidR="00000000" w:rsidRDefault="003215B8">
      <w:pPr>
        <w:pStyle w:val="indentii"/>
      </w:pPr>
      <w:r>
        <w:tab/>
        <w:t>(ii)</w:t>
      </w:r>
      <w:r>
        <w:tab/>
        <w:t xml:space="preserve">ending at the </w:t>
      </w:r>
      <w:r>
        <w:t>end of the lodgment day;</w:t>
      </w:r>
    </w:p>
    <w:p w:rsidR="00000000" w:rsidRDefault="003215B8">
      <w:pPr>
        <w:pStyle w:val="subsection2"/>
      </w:pPr>
      <w:r>
        <w:t>the fund is taken to be a regulated superannuation fund at all times during the pre-lodgment period.</w:t>
      </w:r>
    </w:p>
    <w:p w:rsidR="00000000" w:rsidRDefault="003215B8">
      <w:pPr>
        <w:pStyle w:val="Subsection"/>
      </w:pPr>
      <w:r>
        <w:tab/>
        <w:t>(2)</w:t>
      </w:r>
      <w:r>
        <w:tab/>
        <w:t>For the purposes of this Part, if:</w:t>
      </w:r>
    </w:p>
    <w:p w:rsidR="00000000" w:rsidRDefault="003215B8">
      <w:pPr>
        <w:pStyle w:val="indenta"/>
      </w:pPr>
      <w:r>
        <w:tab/>
        <w:t>(a)</w:t>
      </w:r>
      <w:r>
        <w:tab/>
        <w:t>a superannuation fund is wound up or terminated; and</w:t>
      </w:r>
    </w:p>
    <w:p w:rsidR="00000000" w:rsidRDefault="003215B8">
      <w:pPr>
        <w:pStyle w:val="indenta"/>
      </w:pPr>
      <w:r>
        <w:tab/>
        <w:t>(b)</w:t>
      </w:r>
      <w:r>
        <w:tab/>
        <w:t>the winding up or terminati</w:t>
      </w:r>
      <w:r>
        <w:t xml:space="preserve">on is completed on a particular day (the </w:t>
      </w:r>
      <w:r>
        <w:rPr>
          <w:b/>
          <w:bCs/>
          <w:i/>
          <w:iCs/>
        </w:rPr>
        <w:t>termination day</w:t>
      </w:r>
      <w:r>
        <w:t>); and</w:t>
      </w:r>
    </w:p>
    <w:p w:rsidR="00000000" w:rsidRDefault="003215B8">
      <w:pPr>
        <w:pStyle w:val="indenta"/>
      </w:pPr>
      <w:r>
        <w:tab/>
        <w:t>(c)</w:t>
      </w:r>
      <w:r>
        <w:tab/>
        <w:t>the termination day is before a day named by the Commissioner in a written notice given to the trustee of the fund for the purposes of this paragraph; and</w:t>
      </w:r>
    </w:p>
    <w:p w:rsidR="00000000" w:rsidRDefault="003215B8">
      <w:pPr>
        <w:pStyle w:val="indenta"/>
      </w:pPr>
      <w:r>
        <w:lastRenderedPageBreak/>
        <w:tab/>
        <w:t>(d)</w:t>
      </w:r>
      <w:r>
        <w:tab/>
        <w:t>the trustee told the Commiss</w:t>
      </w:r>
      <w:r>
        <w:t>ioner in writing before the commencement of this subsection that it:</w:t>
      </w:r>
    </w:p>
    <w:p w:rsidR="00000000" w:rsidRDefault="003215B8">
      <w:pPr>
        <w:pStyle w:val="indentii"/>
      </w:pPr>
      <w:r>
        <w:tab/>
        <w:t>(i)</w:t>
      </w:r>
      <w:r>
        <w:tab/>
        <w:t>did not intend to lodge an election under section 19 in respect of the fund; and</w:t>
      </w:r>
    </w:p>
    <w:p w:rsidR="00000000" w:rsidRDefault="003215B8">
      <w:pPr>
        <w:pStyle w:val="indentii"/>
      </w:pPr>
      <w:r>
        <w:tab/>
        <w:t>(ii)</w:t>
      </w:r>
      <w:r>
        <w:tab/>
        <w:t>intended to take advantage of the subsection (4A) that, immediately before 1 July 1996, was tak</w:t>
      </w:r>
      <w:r>
        <w:t>en to be inserted in this section by a declaration made under subsection 333(1); and</w:t>
      </w:r>
    </w:p>
    <w:p w:rsidR="00000000" w:rsidRDefault="003215B8">
      <w:pPr>
        <w:pStyle w:val="indenta"/>
      </w:pPr>
      <w:r>
        <w:tab/>
        <w:t>(e)</w:t>
      </w:r>
      <w:r>
        <w:tab/>
        <w:t>the trustee has complied with such requirements relating to notifying members and prospective members of the fund that:</w:t>
      </w:r>
    </w:p>
    <w:p w:rsidR="00000000" w:rsidRDefault="003215B8">
      <w:pPr>
        <w:pStyle w:val="indentii"/>
      </w:pPr>
      <w:r>
        <w:tab/>
        <w:t>(i)</w:t>
      </w:r>
      <w:r>
        <w:tab/>
        <w:t>the fund would be wound up or terminated;</w:t>
      </w:r>
      <w:r>
        <w:t xml:space="preserve"> and</w:t>
      </w:r>
    </w:p>
    <w:p w:rsidR="00000000" w:rsidRDefault="003215B8">
      <w:pPr>
        <w:pStyle w:val="indentii"/>
      </w:pPr>
      <w:r>
        <w:tab/>
        <w:t>(ii)</w:t>
      </w:r>
      <w:r>
        <w:tab/>
        <w:t>the trustee intended to take advantage of the subsection (4A) mentioned in subparagraph (d)(ii);</w:t>
      </w:r>
    </w:p>
    <w:p w:rsidR="00000000" w:rsidRDefault="003215B8">
      <w:pPr>
        <w:pStyle w:val="indenta"/>
      </w:pPr>
      <w:r>
        <w:tab/>
      </w:r>
      <w:r>
        <w:tab/>
        <w:t>as were set out in regulations made for the purposes of that subsection (4A); and</w:t>
      </w:r>
    </w:p>
    <w:p w:rsidR="00000000" w:rsidRDefault="003215B8">
      <w:pPr>
        <w:pStyle w:val="indenta"/>
      </w:pPr>
      <w:r>
        <w:tab/>
        <w:t>(f)</w:t>
      </w:r>
      <w:r>
        <w:tab/>
      </w:r>
      <w:r>
        <w:t>as soon as practicable after the termination day, the trustee tells the Commissioner in writing that the winding up or termination of the fund had been completed; and</w:t>
      </w:r>
    </w:p>
    <w:p w:rsidR="00000000" w:rsidRDefault="003215B8">
      <w:pPr>
        <w:pStyle w:val="indenta"/>
      </w:pPr>
      <w:r>
        <w:tab/>
        <w:t>(g)</w:t>
      </w:r>
      <w:r>
        <w:tab/>
        <w:t>under the regulations, the fund is treated as if it had satisfied the transitional s</w:t>
      </w:r>
      <w:r>
        <w:t xml:space="preserve">uperannuation fund conditions at all times during the period (the </w:t>
      </w:r>
      <w:r>
        <w:rPr>
          <w:b/>
          <w:bCs/>
          <w:i/>
          <w:iCs/>
        </w:rPr>
        <w:t>pre</w:t>
      </w:r>
      <w:r>
        <w:rPr>
          <w:b/>
          <w:bCs/>
          <w:i/>
          <w:iCs/>
        </w:rPr>
        <w:noBreakHyphen/>
        <w:t>termination period</w:t>
      </w:r>
      <w:r>
        <w:t>):</w:t>
      </w:r>
    </w:p>
    <w:p w:rsidR="00000000" w:rsidRDefault="003215B8">
      <w:pPr>
        <w:pStyle w:val="indentii"/>
      </w:pPr>
      <w:r>
        <w:tab/>
        <w:t>(i)</w:t>
      </w:r>
      <w:r>
        <w:tab/>
        <w:t>beginning at the beginning of the fund’s 1994</w:t>
      </w:r>
      <w:r>
        <w:noBreakHyphen/>
        <w:t>95 year of income; and</w:t>
      </w:r>
    </w:p>
    <w:p w:rsidR="00000000" w:rsidRDefault="003215B8">
      <w:pPr>
        <w:pStyle w:val="indentii"/>
      </w:pPr>
      <w:r>
        <w:tab/>
        <w:t>(ii)</w:t>
      </w:r>
      <w:r>
        <w:tab/>
        <w:t>ending at the end of the termination day;</w:t>
      </w:r>
    </w:p>
    <w:p w:rsidR="00000000" w:rsidRDefault="003215B8">
      <w:pPr>
        <w:pStyle w:val="subsection2"/>
      </w:pPr>
      <w:r>
        <w:t xml:space="preserve">the fund is taken to have been a complying </w:t>
      </w:r>
      <w:r>
        <w:t>superannuation fund at all times during the pre</w:t>
      </w:r>
      <w:r>
        <w:noBreakHyphen/>
        <w:t>termination period.</w:t>
      </w:r>
    </w:p>
    <w:p w:rsidR="00000000" w:rsidRDefault="003215B8">
      <w:pPr>
        <w:pStyle w:val="ItemHead"/>
      </w:pPr>
      <w:r>
        <w:t>4  Subsection 50(5)</w:t>
      </w:r>
    </w:p>
    <w:p w:rsidR="00000000" w:rsidRDefault="003215B8">
      <w:pPr>
        <w:pStyle w:val="Item"/>
      </w:pPr>
      <w:r>
        <w:t>Omit “(1)(c), (2)(c), (3)(c) or (4)(e)”, substitute “(1)(e) or (2)(g)”.</w:t>
      </w:r>
    </w:p>
    <w:p w:rsidR="00000000" w:rsidRDefault="003215B8">
      <w:pPr>
        <w:pStyle w:val="ItemHead"/>
        <w:pBdr>
          <w:top w:val="single" w:sz="6" w:space="1" w:color="auto"/>
        </w:pBdr>
      </w:pPr>
    </w:p>
    <w:p w:rsidR="00000000" w:rsidRDefault="003215B8">
      <w:pPr>
        <w:rPr>
          <w:i/>
          <w:iCs/>
        </w:rPr>
      </w:pPr>
      <w:r>
        <w:t>[</w:t>
      </w:r>
      <w:r>
        <w:rPr>
          <w:i/>
          <w:iCs/>
        </w:rPr>
        <w:t>Minister's second reading speech made in</w:t>
      </w:r>
      <w:r>
        <w:rPr>
          <w:i/>
          <w:iCs/>
        </w:rPr>
        <w:sym w:font="Kino MT" w:char="2014"/>
      </w:r>
    </w:p>
    <w:p w:rsidR="00000000" w:rsidRDefault="003215B8">
      <w:pPr>
        <w:rPr>
          <w:i/>
          <w:iCs/>
        </w:rPr>
      </w:pPr>
      <w:r>
        <w:rPr>
          <w:i/>
          <w:iCs/>
        </w:rPr>
        <w:t>House of Representati</w:t>
      </w:r>
      <w:r>
        <w:rPr>
          <w:i/>
          <w:iCs/>
        </w:rPr>
        <w:t>ves on 1 October 1997</w:t>
      </w:r>
    </w:p>
    <w:p w:rsidR="00000000" w:rsidRDefault="003215B8">
      <w:r>
        <w:rPr>
          <w:i/>
          <w:iCs/>
        </w:rPr>
        <w:t>Senate on 27 October 1997</w:t>
      </w:r>
      <w:r>
        <w:t>]</w:t>
      </w:r>
    </w:p>
    <w:p w:rsidR="00000000" w:rsidRDefault="003215B8">
      <w:pPr>
        <w:pStyle w:val="Item"/>
      </w:pPr>
    </w:p>
    <w:p w:rsidR="00000000" w:rsidRDefault="003215B8">
      <w:pPr>
        <w:pStyle w:val="ItemHead"/>
      </w:pPr>
    </w:p>
    <w:p w:rsidR="00000000" w:rsidRDefault="003215B8">
      <w:pPr>
        <w:pStyle w:val="ItemHead"/>
      </w:pPr>
    </w:p>
    <w:p w:rsidR="00000000" w:rsidRDefault="003215B8">
      <w:pPr>
        <w:sectPr w:rsidR="00000000">
          <w:headerReference w:type="even" r:id="rId21"/>
          <w:headerReference w:type="default" r:id="rId22"/>
          <w:footerReference w:type="even" r:id="rId23"/>
          <w:footerReference w:type="default" r:id="rId24"/>
          <w:headerReference w:type="first" r:id="rId25"/>
          <w:footerReference w:type="first" r:id="rId26"/>
          <w:pgSz w:w="11907" w:h="16840" w:code="9"/>
          <w:pgMar w:top="1871" w:right="2410" w:bottom="3544" w:left="2410" w:header="720" w:footer="4111" w:gutter="0"/>
          <w:pgNumType w:start="1"/>
          <w:cols w:space="720"/>
          <w:titlePg/>
        </w:sectPr>
      </w:pPr>
      <w:r>
        <w:t>(178/97)</w:t>
      </w:r>
    </w:p>
    <w:p w:rsidR="00000000" w:rsidRDefault="003215B8">
      <w:pPr>
        <w:pStyle w:val="Item"/>
        <w:keepLines w:val="0"/>
        <w:spacing w:before="0"/>
        <w:ind w:left="0"/>
      </w:pPr>
    </w:p>
    <w:sectPr w:rsidR="00000000">
      <w:pgSz w:w="11907" w:h="16840" w:code="9"/>
      <w:pgMar w:top="1871" w:right="2410" w:bottom="3544" w:left="2410" w:header="720" w:footer="41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215B8">
      <w:pPr>
        <w:spacing w:line="240" w:lineRule="auto"/>
      </w:pPr>
      <w:r>
        <w:separator/>
      </w:r>
    </w:p>
  </w:endnote>
  <w:endnote w:type="continuationSeparator" w:id="0">
    <w:p w:rsidR="00000000" w:rsidRDefault="003215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ino MT">
    <w:altName w:val="Times New Roman"/>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15B8">
    <w:pPr>
      <w:pStyle w:val="Footer"/>
      <w:pBdr>
        <w:top w:val="single" w:sz="6" w:space="1" w:color="auto"/>
      </w:pBdr>
      <w:ind w:right="-1" w:firstLine="360"/>
      <w:rPr>
        <w:i/>
        <w:iCs/>
        <w:sz w:val="18"/>
        <w:szCs w:val="18"/>
      </w:rPr>
    </w:pPr>
  </w:p>
  <w:p w:rsidR="00000000" w:rsidRDefault="003215B8">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Pr>
        <w:i/>
        <w:iCs/>
        <w:sz w:val="18"/>
        <w:szCs w:val="18"/>
      </w:rPr>
      <w:t>Superannuation Industry (Supervision) Amendment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sz w:val="18"/>
        <w:szCs w:val="18"/>
      </w:rPr>
      <w:t>No. 172,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8</w:t>
    </w:r>
    <w:r>
      <w:rPr>
        <w:i/>
        <w:iCs/>
        <w:sz w:val="18"/>
        <w:szCs w:val="18"/>
      </w:rPr>
      <w:fldChar w:fldCharType="end"/>
    </w:r>
  </w:p>
  <w:p w:rsidR="00000000" w:rsidRDefault="003215B8">
    <w:pPr>
      <w:pStyle w:val="Footer"/>
      <w:rPr>
        <w:i/>
        <w:iCs/>
        <w:sz w:val="18"/>
        <w:szCs w:val="18"/>
      </w:rPr>
    </w:pPr>
    <w:r>
      <w:rPr>
        <w:i/>
        <w:iCs/>
        <w:sz w:val="18"/>
        <w:szCs w:val="18"/>
      </w:rPr>
      <w:fldChar w:fldCharType="begin"/>
    </w:r>
    <w:r>
      <w:rPr>
        <w:i/>
        <w:iCs/>
        <w:sz w:val="18"/>
        <w:szCs w:val="18"/>
      </w:rPr>
      <w:instrText xml:space="preserve"> FILENAME \p</w:instrText>
    </w:r>
    <w:r>
      <w:rPr>
        <w:i/>
        <w:iCs/>
        <w:sz w:val="18"/>
        <w:szCs w:val="18"/>
      </w:rPr>
      <w:fldChar w:fldCharType="separate"/>
    </w:r>
    <w:r>
      <w:rPr>
        <w:i/>
        <w:iCs/>
        <w:sz w:val="18"/>
        <w:szCs w:val="18"/>
      </w:rPr>
      <w:t>Scale:ForUploadingtoPasteAct:Act 172/97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TIME \@ "d/M/yy h:mm AM/PM" </w:instrText>
    </w:r>
    <w:r>
      <w:rPr>
        <w:i/>
        <w:iCs/>
        <w:sz w:val="18"/>
        <w:szCs w:val="18"/>
      </w:rPr>
      <w:fldChar w:fldCharType="separate"/>
    </w:r>
    <w:r>
      <w:rPr>
        <w:i/>
        <w:iCs/>
        <w:noProof/>
        <w:sz w:val="18"/>
        <w:szCs w:val="18"/>
      </w:rPr>
      <w:t>3/9/19 3:59 PM</w:t>
    </w:r>
    <w:r>
      <w:rPr>
        <w:i/>
        <w:i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15B8">
    <w:pPr>
      <w:pStyle w:val="Footer"/>
      <w:pBdr>
        <w:top w:val="single" w:sz="6" w:space="1" w:color="auto"/>
      </w:pBdr>
      <w:ind w:right="-1" w:firstLine="360"/>
      <w:jc w:val="right"/>
      <w:rPr>
        <w:i/>
        <w:iCs/>
        <w:sz w:val="18"/>
        <w:szCs w:val="18"/>
      </w:rPr>
    </w:pPr>
  </w:p>
  <w:p w:rsidR="00000000" w:rsidRDefault="003215B8">
    <w:pPr>
      <w:pStyle w:val="Footer"/>
      <w:ind w:right="-1"/>
      <w:rPr>
        <w:i/>
        <w:iCs/>
        <w:sz w:val="18"/>
        <w:szCs w:val="18"/>
      </w:rPr>
    </w:pPr>
    <w:r>
      <w:rPr>
        <w:i/>
        <w:iCs/>
        <w:sz w:val="18"/>
        <w:szCs w:val="18"/>
      </w:rPr>
      <w:fldChar w:fldCharType="begin"/>
    </w:r>
    <w:r>
      <w:rPr>
        <w:i/>
        <w:iCs/>
        <w:sz w:val="18"/>
        <w:szCs w:val="18"/>
      </w:rPr>
      <w:instrText xml:space="preserve"> PAGE  \* MERGEFORMAT </w:instrText>
    </w:r>
    <w:r>
      <w:rPr>
        <w:i/>
        <w:iCs/>
        <w:sz w:val="18"/>
        <w:szCs w:val="18"/>
      </w:rPr>
      <w:fldChar w:fldCharType="separate"/>
    </w:r>
    <w:r>
      <w:rPr>
        <w:i/>
        <w:iCs/>
        <w:sz w:val="18"/>
        <w:szCs w:val="18"/>
      </w:rPr>
      <w:t>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 MERGEFORMAT </w:instrText>
    </w:r>
    <w:r>
      <w:rPr>
        <w:i/>
        <w:iCs/>
        <w:sz w:val="18"/>
        <w:szCs w:val="18"/>
      </w:rPr>
      <w:fldChar w:fldCharType="separate"/>
    </w:r>
    <w:r>
      <w:rPr>
        <w:i/>
        <w:iCs/>
        <w:sz w:val="18"/>
        <w:szCs w:val="18"/>
      </w:rPr>
      <w:t>Superannuation Industry (Supervision) A</w:t>
    </w:r>
    <w:r>
      <w:rPr>
        <w:i/>
        <w:iCs/>
        <w:sz w:val="18"/>
        <w:szCs w:val="18"/>
      </w:rPr>
      <w:t>mendment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 MERGEFORMAT </w:instrText>
    </w:r>
    <w:r>
      <w:rPr>
        <w:i/>
        <w:iCs/>
        <w:sz w:val="18"/>
        <w:szCs w:val="18"/>
      </w:rPr>
      <w:fldChar w:fldCharType="separate"/>
    </w:r>
    <w:r>
      <w:rPr>
        <w:i/>
        <w:iCs/>
        <w:sz w:val="18"/>
        <w:szCs w:val="18"/>
      </w:rPr>
      <w:t>No. 172, 1997</w:t>
    </w:r>
    <w:r>
      <w:rPr>
        <w:i/>
        <w:iCs/>
        <w:sz w:val="18"/>
        <w:szCs w:val="18"/>
      </w:rPr>
      <w:fldChar w:fldCharType="end"/>
    </w:r>
    <w:r>
      <w:rPr>
        <w:i/>
        <w:iCs/>
        <w:sz w:val="18"/>
        <w:szCs w:val="18"/>
      </w:rPr>
      <w:t xml:space="preserve">     </w:t>
    </w:r>
  </w:p>
  <w:p w:rsidR="00000000" w:rsidRDefault="003215B8">
    <w:pPr>
      <w:pStyle w:val="Footer"/>
      <w:jc w:val="right"/>
      <w:rPr>
        <w:i/>
        <w:iCs/>
        <w:sz w:val="18"/>
        <w:szCs w:val="18"/>
      </w:rPr>
    </w:pPr>
    <w:r>
      <w:rPr>
        <w:i/>
        <w:iCs/>
        <w:sz w:val="18"/>
        <w:szCs w:val="18"/>
      </w:rPr>
      <w:fldChar w:fldCharType="begin"/>
    </w:r>
    <w:r>
      <w:rPr>
        <w:i/>
        <w:iCs/>
        <w:sz w:val="18"/>
        <w:szCs w:val="18"/>
      </w:rPr>
      <w:instrText xml:space="preserve"> FILENAME \p \* MERGEFORMAT </w:instrText>
    </w:r>
    <w:r>
      <w:rPr>
        <w:i/>
        <w:iCs/>
        <w:sz w:val="18"/>
        <w:szCs w:val="18"/>
      </w:rPr>
      <w:fldChar w:fldCharType="separate"/>
    </w:r>
    <w:r>
      <w:rPr>
        <w:i/>
        <w:iCs/>
        <w:sz w:val="18"/>
        <w:szCs w:val="18"/>
      </w:rPr>
      <w:t>Scale:ForUploadingtoPasteAct:Act 172/97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TIME \@ "d/M/yy h:mm AM/PM" </w:instrText>
    </w:r>
    <w:r>
      <w:rPr>
        <w:i/>
        <w:iCs/>
        <w:sz w:val="18"/>
        <w:szCs w:val="18"/>
      </w:rPr>
      <w:fldChar w:fldCharType="separate"/>
    </w:r>
    <w:r>
      <w:rPr>
        <w:i/>
        <w:iCs/>
        <w:noProof/>
        <w:sz w:val="18"/>
        <w:szCs w:val="18"/>
      </w:rPr>
      <w:t>3/9/19 3:59 PM</w:t>
    </w:r>
    <w:r>
      <w:rPr>
        <w:i/>
        <w:iC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15B8">
    <w:pPr>
      <w:pStyle w:val="Footer"/>
      <w:pBdr>
        <w:top w:val="single" w:sz="6" w:space="1" w:color="auto"/>
      </w:pBdr>
      <w:ind w:right="-1" w:firstLine="360"/>
      <w:rPr>
        <w:i/>
        <w:iCs/>
        <w:sz w:val="18"/>
        <w:szCs w:val="18"/>
      </w:rPr>
    </w:pPr>
  </w:p>
  <w:p w:rsidR="00000000" w:rsidRDefault="003215B8">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Pr>
        <w:i/>
        <w:iCs/>
        <w:sz w:val="18"/>
        <w:szCs w:val="18"/>
      </w:rPr>
      <w:t>Superannuation Industry (Supervision) Amendment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sz w:val="18"/>
        <w:szCs w:val="18"/>
      </w:rPr>
      <w:t>No. 172,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8</w:t>
    </w:r>
    <w:r>
      <w:rPr>
        <w:i/>
        <w:iCs/>
        <w:sz w:val="18"/>
        <w:szCs w:val="18"/>
      </w:rPr>
      <w:fldChar w:fldCharType="end"/>
    </w:r>
  </w:p>
  <w:p w:rsidR="00000000" w:rsidRDefault="003215B8">
    <w:pPr>
      <w:pStyle w:val="Footer"/>
      <w:rPr>
        <w:i/>
        <w:iCs/>
        <w:sz w:val="18"/>
        <w:szCs w:val="18"/>
      </w:rPr>
    </w:pPr>
    <w:r>
      <w:rPr>
        <w:i/>
        <w:iCs/>
        <w:sz w:val="18"/>
        <w:szCs w:val="18"/>
      </w:rPr>
      <w:fldChar w:fldCharType="begin"/>
    </w:r>
    <w:r>
      <w:rPr>
        <w:i/>
        <w:iCs/>
        <w:sz w:val="18"/>
        <w:szCs w:val="18"/>
      </w:rPr>
      <w:instrText xml:space="preserve"> FILENAME \p</w:instrText>
    </w:r>
    <w:r>
      <w:rPr>
        <w:i/>
        <w:iCs/>
        <w:sz w:val="18"/>
        <w:szCs w:val="18"/>
      </w:rPr>
      <w:fldChar w:fldCharType="separate"/>
    </w:r>
    <w:r>
      <w:rPr>
        <w:i/>
        <w:iCs/>
        <w:sz w:val="18"/>
        <w:szCs w:val="18"/>
      </w:rPr>
      <w:t>Scale:ForUploadingtoPasteAct:Act 172/97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TIME \@ "d/M/yy h:mm AM/PM" </w:instrText>
    </w:r>
    <w:r>
      <w:rPr>
        <w:i/>
        <w:iCs/>
        <w:sz w:val="18"/>
        <w:szCs w:val="18"/>
      </w:rPr>
      <w:fldChar w:fldCharType="separate"/>
    </w:r>
    <w:r>
      <w:rPr>
        <w:i/>
        <w:iCs/>
        <w:noProof/>
        <w:sz w:val="18"/>
        <w:szCs w:val="18"/>
      </w:rPr>
      <w:t>3/9/19 3:59 PM</w:t>
    </w:r>
    <w:r>
      <w:rPr>
        <w:i/>
        <w:iCs/>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15B8">
    <w:pPr>
      <w:pStyle w:val="Footer"/>
      <w:pBdr>
        <w:top w:val="single" w:sz="6" w:space="1" w:color="auto"/>
      </w:pBdr>
      <w:ind w:right="-1" w:firstLine="360"/>
      <w:jc w:val="right"/>
      <w:rPr>
        <w:i/>
        <w:iCs/>
        <w:sz w:val="18"/>
        <w:szCs w:val="18"/>
      </w:rPr>
    </w:pPr>
  </w:p>
  <w:p w:rsidR="00000000" w:rsidRDefault="003215B8">
    <w:pPr>
      <w:pStyle w:val="Footer"/>
      <w:ind w:right="-1"/>
      <w:rPr>
        <w:i/>
        <w:iCs/>
        <w:sz w:val="18"/>
        <w:szCs w:val="18"/>
      </w:rPr>
    </w:pPr>
    <w:r>
      <w:rPr>
        <w:i/>
        <w:iCs/>
        <w:sz w:val="18"/>
        <w:szCs w:val="18"/>
      </w:rPr>
      <w:fldChar w:fldCharType="begin"/>
    </w:r>
    <w:r>
      <w:rPr>
        <w:i/>
        <w:iCs/>
        <w:sz w:val="18"/>
        <w:szCs w:val="18"/>
      </w:rPr>
      <w:instrText xml:space="preserve"> PAGE  \* MERGEFORMAT </w:instrText>
    </w:r>
    <w:r>
      <w:rPr>
        <w:i/>
        <w:iCs/>
        <w:sz w:val="18"/>
        <w:szCs w:val="18"/>
      </w:rPr>
      <w:fldChar w:fldCharType="separate"/>
    </w:r>
    <w:r>
      <w:rPr>
        <w:i/>
        <w:iCs/>
        <w:sz w:val="18"/>
        <w:szCs w:val="18"/>
      </w:rPr>
      <w:t>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 MERGEFORMAT </w:instrText>
    </w:r>
    <w:r>
      <w:rPr>
        <w:i/>
        <w:iCs/>
        <w:sz w:val="18"/>
        <w:szCs w:val="18"/>
      </w:rPr>
      <w:fldChar w:fldCharType="separate"/>
    </w:r>
    <w:r>
      <w:rPr>
        <w:i/>
        <w:iCs/>
        <w:sz w:val="18"/>
        <w:szCs w:val="18"/>
      </w:rPr>
      <w:t>Superannuation Industry (Supervision) Amendment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 MERGEFORMAT </w:instrText>
    </w:r>
    <w:r>
      <w:rPr>
        <w:i/>
        <w:iCs/>
        <w:sz w:val="18"/>
        <w:szCs w:val="18"/>
      </w:rPr>
      <w:fldChar w:fldCharType="separate"/>
    </w:r>
    <w:r>
      <w:rPr>
        <w:i/>
        <w:iCs/>
        <w:sz w:val="18"/>
        <w:szCs w:val="18"/>
      </w:rPr>
      <w:t>No. 172, 1997</w:t>
    </w:r>
    <w:r>
      <w:rPr>
        <w:i/>
        <w:iCs/>
        <w:sz w:val="18"/>
        <w:szCs w:val="18"/>
      </w:rPr>
      <w:fldChar w:fldCharType="end"/>
    </w:r>
    <w:r>
      <w:rPr>
        <w:i/>
        <w:iCs/>
        <w:sz w:val="18"/>
        <w:szCs w:val="18"/>
      </w:rPr>
      <w:t xml:space="preserve">     </w:t>
    </w:r>
  </w:p>
  <w:p w:rsidR="00000000" w:rsidRDefault="003215B8">
    <w:pPr>
      <w:pStyle w:val="Footer"/>
      <w:jc w:val="right"/>
      <w:rPr>
        <w:i/>
        <w:iCs/>
        <w:sz w:val="18"/>
        <w:szCs w:val="18"/>
      </w:rPr>
    </w:pPr>
    <w:r>
      <w:rPr>
        <w:i/>
        <w:iCs/>
        <w:sz w:val="18"/>
        <w:szCs w:val="18"/>
      </w:rPr>
      <w:fldChar w:fldCharType="begin"/>
    </w:r>
    <w:r>
      <w:rPr>
        <w:i/>
        <w:iCs/>
        <w:sz w:val="18"/>
        <w:szCs w:val="18"/>
      </w:rPr>
      <w:instrText xml:space="preserve"> FILENAME \p \* MERGEFORMAT </w:instrText>
    </w:r>
    <w:r>
      <w:rPr>
        <w:i/>
        <w:iCs/>
        <w:sz w:val="18"/>
        <w:szCs w:val="18"/>
      </w:rPr>
      <w:fldChar w:fldCharType="separate"/>
    </w:r>
    <w:r>
      <w:rPr>
        <w:i/>
        <w:iCs/>
        <w:sz w:val="18"/>
        <w:szCs w:val="18"/>
      </w:rPr>
      <w:t>Scale:ForUploadingtoPasteAct:Act 172/97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TIME \@ "d/M/yy h:mm AM/PM" </w:instrText>
    </w:r>
    <w:r>
      <w:rPr>
        <w:i/>
        <w:iCs/>
        <w:sz w:val="18"/>
        <w:szCs w:val="18"/>
      </w:rPr>
      <w:fldChar w:fldCharType="separate"/>
    </w:r>
    <w:r>
      <w:rPr>
        <w:i/>
        <w:iCs/>
        <w:noProof/>
        <w:sz w:val="18"/>
        <w:szCs w:val="18"/>
      </w:rPr>
      <w:t>3/9/19 3:59 PM</w:t>
    </w:r>
    <w:r>
      <w:rPr>
        <w:i/>
        <w:iCs/>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15B8">
    <w:pPr>
      <w:pStyle w:val="Footer"/>
      <w:pBdr>
        <w:top w:val="single" w:sz="6" w:space="1" w:color="auto"/>
      </w:pBdr>
      <w:ind w:right="-1" w:firstLine="360"/>
      <w:rPr>
        <w:i/>
        <w:iCs/>
        <w:sz w:val="18"/>
        <w:szCs w:val="18"/>
      </w:rPr>
    </w:pPr>
  </w:p>
  <w:p w:rsidR="00000000" w:rsidRDefault="003215B8">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Pr>
        <w:i/>
        <w:iCs/>
        <w:sz w:val="18"/>
        <w:szCs w:val="18"/>
      </w:rPr>
      <w:t>Superannuation Industry (Supervision) Amendment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sz w:val="18"/>
        <w:szCs w:val="18"/>
      </w:rPr>
      <w:t>No. 172,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8</w:t>
    </w:r>
    <w:r>
      <w:rPr>
        <w:i/>
        <w:iCs/>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15B8">
    <w:pPr>
      <w:pStyle w:val="Footer"/>
      <w:pBdr>
        <w:top w:val="single" w:sz="6" w:space="1" w:color="auto"/>
      </w:pBdr>
      <w:ind w:right="-1" w:firstLine="360"/>
      <w:jc w:val="right"/>
      <w:rPr>
        <w:i/>
        <w:iCs/>
        <w:sz w:val="18"/>
        <w:szCs w:val="18"/>
      </w:rPr>
    </w:pPr>
  </w:p>
  <w:p w:rsidR="00000000" w:rsidRDefault="003215B8">
    <w:pPr>
      <w:pStyle w:val="Footer"/>
      <w:ind w:right="-1"/>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i</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w:instrText>
    </w:r>
    <w:r>
      <w:rPr>
        <w:i/>
        <w:iCs/>
        <w:sz w:val="18"/>
        <w:szCs w:val="18"/>
      </w:rPr>
      <w:fldChar w:fldCharType="separate"/>
    </w:r>
    <w:r>
      <w:rPr>
        <w:i/>
        <w:iCs/>
        <w:noProof/>
        <w:sz w:val="18"/>
        <w:szCs w:val="18"/>
      </w:rPr>
      <w:t>Superannuation Industry (Supervision) Amendment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noProof/>
        <w:sz w:val="18"/>
        <w:szCs w:val="18"/>
      </w:rPr>
      <w:t>No. 172, 1997</w:t>
    </w:r>
    <w:r>
      <w:rPr>
        <w:i/>
        <w:iCs/>
        <w:sz w:val="18"/>
        <w:szCs w:val="18"/>
      </w:rPr>
      <w:fldChar w:fldCharType="end"/>
    </w:r>
    <w:r>
      <w:rPr>
        <w:i/>
        <w:iCs/>
        <w:sz w:val="18"/>
        <w:szCs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15B8">
    <w:pPr>
      <w:pStyle w:val="Footer"/>
      <w:pBdr>
        <w:top w:val="single" w:sz="6" w:space="1" w:color="auto"/>
      </w:pBdr>
      <w:ind w:right="-1" w:firstLine="360"/>
      <w:jc w:val="right"/>
      <w:rPr>
        <w:i/>
        <w:iCs/>
        <w:sz w:val="18"/>
        <w:szCs w:val="18"/>
      </w:rPr>
    </w:pPr>
  </w:p>
  <w:p w:rsidR="00000000" w:rsidRDefault="003215B8">
    <w:pPr>
      <w:pStyle w:val="Footer"/>
      <w:ind w:right="-1"/>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6</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Pr>
        <w:i/>
        <w:iCs/>
        <w:noProof/>
        <w:sz w:val="18"/>
        <w:szCs w:val="18"/>
      </w:rPr>
      <w:t>Superannuation Industry (Supervision) Amendment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Pr>
        <w:i/>
        <w:iCs/>
        <w:noProof/>
        <w:sz w:val="18"/>
        <w:szCs w:val="18"/>
      </w:rPr>
      <w:t>No. 172, 1997</w:t>
    </w:r>
    <w:r>
      <w:rPr>
        <w:i/>
        <w:iCs/>
        <w:sz w:val="18"/>
        <w:szCs w:val="18"/>
      </w:rPr>
      <w:fldChar w:fldCharType="end"/>
    </w:r>
    <w:r>
      <w:rPr>
        <w:i/>
        <w:iCs/>
        <w:sz w:val="18"/>
        <w:szCs w:val="1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15B8">
    <w:pPr>
      <w:pStyle w:val="Footer"/>
      <w:pBdr>
        <w:top w:val="single" w:sz="6" w:space="1" w:color="auto"/>
      </w:pBdr>
      <w:ind w:right="-1" w:firstLine="360"/>
      <w:rPr>
        <w:i/>
        <w:iCs/>
        <w:sz w:val="18"/>
        <w:szCs w:val="18"/>
      </w:rPr>
    </w:pPr>
  </w:p>
  <w:p w:rsidR="00000000" w:rsidRDefault="003215B8">
    <w:pPr>
      <w:pStyle w:val="Footer"/>
      <w:ind w:right="-1"/>
      <w:jc w:val="right"/>
      <w:rPr>
        <w:i/>
        <w:iCs/>
        <w:sz w:val="18"/>
        <w:szCs w:val="18"/>
      </w:rPr>
    </w:pP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Pr>
        <w:i/>
        <w:iCs/>
        <w:noProof/>
        <w:sz w:val="18"/>
        <w:szCs w:val="18"/>
      </w:rPr>
      <w:t>Superannuation Industry (Supervision) Amendment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Pr>
        <w:i/>
        <w:iCs/>
        <w:noProof/>
        <w:sz w:val="18"/>
        <w:szCs w:val="18"/>
      </w:rPr>
      <w:t>No. 172,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7</w:t>
    </w:r>
    <w:r>
      <w:rPr>
        <w:i/>
        <w:iCs/>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15B8">
    <w:pPr>
      <w:pStyle w:val="Footer"/>
      <w:pBdr>
        <w:top w:val="single" w:sz="6" w:space="1" w:color="auto"/>
      </w:pBdr>
      <w:ind w:right="-1" w:firstLine="360"/>
      <w:rPr>
        <w:i/>
        <w:iCs/>
        <w:sz w:val="18"/>
        <w:szCs w:val="18"/>
      </w:rPr>
    </w:pPr>
  </w:p>
  <w:p w:rsidR="00000000" w:rsidRDefault="003215B8">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Pr>
        <w:i/>
        <w:iCs/>
        <w:noProof/>
        <w:sz w:val="18"/>
        <w:szCs w:val="18"/>
      </w:rPr>
      <w:t>Superannuation Industry (Supervision) Amendment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noProof/>
        <w:sz w:val="18"/>
        <w:szCs w:val="18"/>
      </w:rPr>
      <w:t>No. 172,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1</w:t>
    </w:r>
    <w:r>
      <w:rPr>
        <w:i/>
        <w:i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215B8">
      <w:pPr>
        <w:spacing w:line="240" w:lineRule="auto"/>
      </w:pPr>
      <w:r>
        <w:separator/>
      </w:r>
    </w:p>
  </w:footnote>
  <w:footnote w:type="continuationSeparator" w:id="0">
    <w:p w:rsidR="00000000" w:rsidRDefault="003215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15B8">
    <w:pPr>
      <w:pStyle w:val="headerpart"/>
      <w:rPr>
        <w:b w:val="0"/>
        <w:bCs w:val="0"/>
      </w:rPr>
    </w:pPr>
  </w:p>
  <w:p w:rsidR="00000000" w:rsidRDefault="003215B8">
    <w:pPr>
      <w:pStyle w:val="headerpart"/>
    </w:pPr>
  </w:p>
  <w:p w:rsidR="00000000" w:rsidRDefault="003215B8">
    <w:pPr>
      <w:pStyle w:val="headerpart"/>
    </w:pPr>
  </w:p>
  <w:p w:rsidR="00000000" w:rsidRDefault="003215B8">
    <w:pPr>
      <w:pStyle w:val="headerpart"/>
      <w:pBdr>
        <w:bottom w:val="single" w:sz="12" w:space="1" w:color="auto"/>
      </w:pBdr>
      <w:rPr>
        <w:sz w:val="24"/>
        <w:szCs w:val="24"/>
      </w:rPr>
    </w:pPr>
  </w:p>
  <w:p w:rsidR="00000000" w:rsidRDefault="003215B8">
    <w:pP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15B8">
    <w:pPr>
      <w:pStyle w:val="headerpart"/>
      <w:jc w:val="right"/>
      <w:rPr>
        <w:sz w:val="24"/>
        <w:szCs w:val="24"/>
      </w:rPr>
    </w:pPr>
    <w:r>
      <w:rPr>
        <w:b w:val="0"/>
        <w:bCs w:val="0"/>
      </w:rPr>
      <w:fldChar w:fldCharType="begin"/>
    </w:r>
    <w:r>
      <w:rPr>
        <w:b w:val="0"/>
        <w:bCs w:val="0"/>
      </w:rPr>
      <w:instrText xml:space="preserve"> STYLEREF CharAmSchText </w:instrText>
    </w:r>
    <w:r>
      <w:rPr>
        <w:b w:val="0"/>
        <w:bCs w:val="0"/>
      </w:rPr>
      <w:fldChar w:fldCharType="separate"/>
    </w:r>
    <w:r>
      <w:rPr>
        <w:b w:val="0"/>
        <w:bCs w:val="0"/>
        <w:noProof/>
      </w:rPr>
      <w:t>Amendment of the Superannuation Industry (Supervision) Act 1993</w:t>
    </w:r>
    <w:r>
      <w:rPr>
        <w:b w:val="0"/>
        <w:bCs w:val="0"/>
      </w:rPr>
      <w:fldChar w:fldCharType="end"/>
    </w:r>
    <w:r>
      <w:rPr>
        <w:b w:val="0"/>
        <w:bCs w:val="0"/>
      </w:rPr>
      <w:t xml:space="preserve">  </w:t>
    </w:r>
    <w:r>
      <w:fldChar w:fldCharType="begin"/>
    </w:r>
    <w:r>
      <w:instrText xml:space="preserve"> STYLEREF CharAmSchNo </w:instrText>
    </w:r>
    <w:r>
      <w:fldChar w:fldCharType="separate"/>
    </w:r>
    <w:r>
      <w:rPr>
        <w:noProof/>
      </w:rPr>
      <w:t>Schedule 1</w:t>
    </w:r>
    <w:r>
      <w:fldChar w:fldCharType="end"/>
    </w:r>
  </w:p>
  <w:p w:rsidR="00000000" w:rsidRDefault="003215B8">
    <w:pPr>
      <w:pStyle w:val="headerpart"/>
      <w:jc w:val="right"/>
      <w:rPr>
        <w:sz w:val="24"/>
        <w:szCs w:val="24"/>
      </w:rPr>
    </w:pPr>
    <w:r>
      <w:rPr>
        <w:b w:val="0"/>
        <w:bCs w:val="0"/>
      </w:rPr>
      <w:fldChar w:fldCharType="begin"/>
    </w:r>
    <w:r>
      <w:rPr>
        <w:b w:val="0"/>
        <w:bCs w:val="0"/>
      </w:rPr>
      <w:instrText xml:space="preserve"> STYLEREF CharAmPartText </w:instrText>
    </w:r>
    <w:r>
      <w:rPr>
        <w:b w:val="0"/>
        <w:bCs w:val="0"/>
      </w:rPr>
      <w:fldChar w:fldCharType="end"/>
    </w:r>
    <w:r>
      <w:rPr>
        <w:b w:val="0"/>
        <w:bCs w:val="0"/>
      </w:rPr>
      <w:t xml:space="preserve">  </w:t>
    </w:r>
    <w:r>
      <w:fldChar w:fldCharType="begin"/>
    </w:r>
    <w:r>
      <w:instrText xml:space="preserve"> STYLEREF CharAmPartNo </w:instrText>
    </w:r>
    <w:r>
      <w:fldChar w:fldCharType="end"/>
    </w:r>
  </w:p>
  <w:p w:rsidR="00000000" w:rsidRDefault="003215B8">
    <w:pPr>
      <w:pBdr>
        <w:bottom w:val="single" w:sz="6" w:space="1" w:color="auto"/>
      </w:pBd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15B8">
    <w:pPr>
      <w:tabs>
        <w:tab w:val="center" w:pos="368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15B8">
    <w:pPr>
      <w:pStyle w:val="headerpartodd"/>
      <w:ind w:left="0" w:firstLine="0"/>
      <w:jc w:val="right"/>
    </w:pPr>
  </w:p>
  <w:p w:rsidR="00000000" w:rsidRDefault="003215B8">
    <w:pPr>
      <w:pStyle w:val="headerpartodd"/>
      <w:ind w:left="0" w:firstLine="0"/>
      <w:jc w:val="right"/>
      <w:rPr>
        <w:i/>
        <w:iCs/>
      </w:rPr>
    </w:pPr>
  </w:p>
  <w:p w:rsidR="00000000" w:rsidRDefault="003215B8">
    <w:pPr>
      <w:pStyle w:val="headerpartodd"/>
      <w:ind w:left="0" w:firstLine="0"/>
      <w:jc w:val="right"/>
    </w:pPr>
  </w:p>
  <w:p w:rsidR="00000000" w:rsidRDefault="003215B8">
    <w:pPr>
      <w:pStyle w:val="headerpartodd"/>
      <w:ind w:left="0" w:firstLine="0"/>
      <w:jc w:val="right"/>
    </w:pPr>
  </w:p>
  <w:p w:rsidR="00000000" w:rsidRDefault="003215B8">
    <w:pPr>
      <w:pStyle w:val="headerpartodd"/>
      <w:pBdr>
        <w:bottom w:val="single" w:sz="12" w:space="1" w:color="auto"/>
      </w:pBdr>
      <w:ind w:left="0" w:firstLine="0"/>
      <w:jc w:val="right"/>
      <w:rPr>
        <w:i/>
        <w:iCs/>
      </w:rPr>
    </w:pPr>
  </w:p>
  <w:p w:rsidR="00000000" w:rsidRDefault="003215B8">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15B8">
    <w:pPr>
      <w:tabs>
        <w:tab w:val="center" w:pos="368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15B8">
    <w:pPr>
      <w:pStyle w:val="headerpart"/>
      <w:rPr>
        <w:b w:val="0"/>
        <w:bCs w:val="0"/>
      </w:rPr>
    </w:pPr>
  </w:p>
  <w:p w:rsidR="00000000" w:rsidRDefault="003215B8">
    <w:pPr>
      <w:pStyle w:val="headerpart"/>
    </w:pPr>
  </w:p>
  <w:p w:rsidR="00000000" w:rsidRDefault="003215B8">
    <w:pPr>
      <w:pStyle w:val="headerpart"/>
    </w:pPr>
  </w:p>
  <w:p w:rsidR="00000000" w:rsidRDefault="003215B8">
    <w:pPr>
      <w:pStyle w:val="headerpart"/>
      <w:pBdr>
        <w:bottom w:val="single" w:sz="12" w:space="1" w:color="auto"/>
      </w:pBdr>
      <w:rPr>
        <w:sz w:val="24"/>
        <w:szCs w:val="24"/>
      </w:rPr>
    </w:pPr>
  </w:p>
  <w:p w:rsidR="00000000" w:rsidRDefault="003215B8">
    <w:pPr>
      <w:pBdr>
        <w:bottom w:val="single" w:sz="6"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15B8">
    <w:pPr>
      <w:pStyle w:val="headerpartodd"/>
      <w:ind w:left="0" w:firstLine="0"/>
      <w:jc w:val="right"/>
    </w:pPr>
  </w:p>
  <w:p w:rsidR="00000000" w:rsidRDefault="003215B8">
    <w:pPr>
      <w:pStyle w:val="headerpartodd"/>
      <w:ind w:left="0" w:firstLine="0"/>
      <w:jc w:val="right"/>
      <w:rPr>
        <w:i/>
        <w:iCs/>
      </w:rPr>
    </w:pPr>
  </w:p>
  <w:p w:rsidR="00000000" w:rsidRDefault="003215B8">
    <w:pPr>
      <w:pStyle w:val="headerpartodd"/>
      <w:ind w:left="0" w:firstLine="0"/>
      <w:jc w:val="right"/>
    </w:pPr>
  </w:p>
  <w:p w:rsidR="00000000" w:rsidRDefault="003215B8">
    <w:pPr>
      <w:pStyle w:val="headerpartodd"/>
      <w:ind w:left="0" w:firstLine="0"/>
      <w:jc w:val="right"/>
    </w:pPr>
  </w:p>
  <w:p w:rsidR="00000000" w:rsidRDefault="003215B8">
    <w:pPr>
      <w:pStyle w:val="headerpartodd"/>
      <w:pBdr>
        <w:bottom w:val="single" w:sz="12" w:space="1" w:color="auto"/>
      </w:pBdr>
      <w:ind w:left="0" w:firstLine="0"/>
      <w:jc w:val="right"/>
      <w:rPr>
        <w:i/>
        <w:iCs/>
      </w:rPr>
    </w:pPr>
  </w:p>
  <w:p w:rsidR="00000000" w:rsidRDefault="003215B8">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15B8">
    <w:pPr>
      <w:tabs>
        <w:tab w:val="center" w:pos="3686"/>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15B8">
    <w:pPr>
      <w:pStyle w:val="headerpart"/>
      <w:rPr>
        <w:b w:val="0"/>
        <w:bCs w:val="0"/>
      </w:rPr>
    </w:pPr>
  </w:p>
  <w:p w:rsidR="00000000" w:rsidRDefault="003215B8">
    <w:pPr>
      <w:pStyle w:val="headerpart"/>
    </w:pPr>
  </w:p>
  <w:p w:rsidR="00000000" w:rsidRDefault="003215B8">
    <w:pPr>
      <w:pStyle w:val="headerpart"/>
    </w:pPr>
  </w:p>
  <w:p w:rsidR="00000000" w:rsidRDefault="003215B8">
    <w:pPr>
      <w:pStyle w:val="headerpart"/>
      <w:pBdr>
        <w:bottom w:val="single" w:sz="12" w:space="1" w:color="auto"/>
      </w:pBdr>
      <w:rPr>
        <w:sz w:val="24"/>
        <w:szCs w:val="24"/>
      </w:rPr>
    </w:pPr>
  </w:p>
  <w:p w:rsidR="00000000" w:rsidRDefault="003215B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15B8">
    <w:pPr>
      <w:pStyle w:val="headerpartodd"/>
      <w:ind w:left="0" w:firstLine="0"/>
    </w:pPr>
  </w:p>
  <w:p w:rsidR="00000000" w:rsidRDefault="003215B8">
    <w:pPr>
      <w:pStyle w:val="headerpartodd"/>
      <w:ind w:left="0" w:firstLine="0"/>
      <w:rPr>
        <w:i/>
        <w:iCs/>
      </w:rPr>
    </w:pPr>
  </w:p>
  <w:p w:rsidR="00000000" w:rsidRDefault="003215B8">
    <w:pPr>
      <w:pStyle w:val="headerpartodd"/>
      <w:ind w:left="0" w:firstLine="0"/>
    </w:pPr>
  </w:p>
  <w:p w:rsidR="00000000" w:rsidRDefault="003215B8">
    <w:pPr>
      <w:pStyle w:val="headerpartodd"/>
      <w:ind w:left="0" w:firstLine="0"/>
    </w:pPr>
  </w:p>
  <w:p w:rsidR="00000000" w:rsidRDefault="003215B8">
    <w:pPr>
      <w:pStyle w:val="headerpartodd"/>
      <w:pBdr>
        <w:bottom w:val="single" w:sz="12" w:space="1" w:color="auto"/>
      </w:pBdr>
      <w:ind w:left="0" w:firstLine="0"/>
      <w:jc w:val="right"/>
      <w:rPr>
        <w:i/>
        <w:iCs/>
      </w:rPr>
    </w:pPr>
  </w:p>
  <w:p w:rsidR="00000000" w:rsidRDefault="003215B8">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15B8">
    <w:pPr>
      <w:pStyle w:val="headerpart"/>
      <w:rPr>
        <w:b w:val="0"/>
        <w:bCs w:val="0"/>
        <w:sz w:val="24"/>
        <w:szCs w:val="24"/>
      </w:rPr>
    </w:pPr>
    <w:r>
      <w:fldChar w:fldCharType="begin"/>
    </w:r>
    <w:r>
      <w:instrText xml:space="preserve"> STYLEREF CharAmSchNo </w:instrText>
    </w:r>
    <w:r>
      <w:fldChar w:fldCharType="separate"/>
    </w:r>
    <w:r>
      <w:rPr>
        <w:noProof/>
      </w:rPr>
      <w:t>Schedule 1</w:t>
    </w:r>
    <w:r>
      <w:fldChar w:fldCharType="end"/>
    </w:r>
    <w:r>
      <w:rPr>
        <w:b w:val="0"/>
        <w:bCs w:val="0"/>
      </w:rPr>
      <w:t xml:space="preserve">  </w:t>
    </w:r>
    <w:r>
      <w:rPr>
        <w:b w:val="0"/>
        <w:bCs w:val="0"/>
      </w:rPr>
      <w:fldChar w:fldCharType="begin"/>
    </w:r>
    <w:r>
      <w:rPr>
        <w:b w:val="0"/>
        <w:bCs w:val="0"/>
      </w:rPr>
      <w:instrText xml:space="preserve"> STYLEREF CharAmSchText </w:instrText>
    </w:r>
    <w:r>
      <w:rPr>
        <w:b w:val="0"/>
        <w:bCs w:val="0"/>
      </w:rPr>
      <w:fldChar w:fldCharType="separate"/>
    </w:r>
    <w:r>
      <w:rPr>
        <w:b w:val="0"/>
        <w:bCs w:val="0"/>
        <w:noProof/>
      </w:rPr>
      <w:t>Amendment of the Superannuation Industry (Supervision) Act 1993</w:t>
    </w:r>
    <w:r>
      <w:rPr>
        <w:b w:val="0"/>
        <w:bCs w:val="0"/>
      </w:rPr>
      <w:fldChar w:fldCharType="end"/>
    </w:r>
  </w:p>
  <w:p w:rsidR="00000000" w:rsidRDefault="003215B8">
    <w:pPr>
      <w:pStyle w:val="headerpart"/>
      <w:rPr>
        <w:b w:val="0"/>
        <w:bCs w:val="0"/>
        <w:sz w:val="24"/>
        <w:szCs w:val="24"/>
      </w:rPr>
    </w:pPr>
    <w:r>
      <w:fldChar w:fldCharType="begin"/>
    </w:r>
    <w:r>
      <w:instrText xml:space="preserve"> STYLEREF CharAmPartNo </w:instrText>
    </w:r>
    <w:r>
      <w:fldChar w:fldCharType="end"/>
    </w:r>
    <w:r>
      <w:rPr>
        <w:b w:val="0"/>
        <w:bCs w:val="0"/>
      </w:rPr>
      <w:t xml:space="preserve">  </w:t>
    </w:r>
    <w:r>
      <w:rPr>
        <w:b w:val="0"/>
        <w:bCs w:val="0"/>
      </w:rPr>
      <w:fldChar w:fldCharType="begin"/>
    </w:r>
    <w:r>
      <w:rPr>
        <w:b w:val="0"/>
        <w:bCs w:val="0"/>
      </w:rPr>
      <w:instrText xml:space="preserve"> STYLEREF CharAmPartText </w:instrText>
    </w:r>
    <w:r>
      <w:rPr>
        <w:b w:val="0"/>
        <w:bCs w:val="0"/>
      </w:rPr>
      <w:fldChar w:fldCharType="end"/>
    </w:r>
  </w:p>
  <w:p w:rsidR="00000000" w:rsidRDefault="003215B8">
    <w:pPr>
      <w:pBdr>
        <w:bottom w:val="single" w:sz="6"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attachedTemplate r:id="rId1"/>
  <w:defaultTabStop w:val="1134"/>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5B8"/>
    <w:rsid w:val="003215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adjustRightInd w:val="0"/>
      <w:spacing w:after="0" w:line="260" w:lineRule="atLeast"/>
    </w:pPr>
    <w:rPr>
      <w:rFonts w:ascii="Times" w:hAnsi="Times" w:cs="Times"/>
    </w:rPr>
  </w:style>
  <w:style w:type="paragraph" w:styleId="Heading1">
    <w:name w:val="heading 1"/>
    <w:aliases w:val="c"/>
    <w:basedOn w:val="Normal"/>
    <w:next w:val="Heading2"/>
    <w:link w:val="Heading1Char"/>
    <w:uiPriority w:val="99"/>
    <w:qFormat/>
    <w:pPr>
      <w:keepNext/>
      <w:keepLines/>
      <w:tabs>
        <w:tab w:val="left" w:pos="1247"/>
      </w:tabs>
      <w:spacing w:line="240" w:lineRule="auto"/>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tabs>
        <w:tab w:val="clear" w:pos="1247"/>
        <w:tab w:val="right" w:pos="1032"/>
        <w:tab w:val="left" w:pos="1134"/>
      </w:tabs>
      <w:spacing w:before="280"/>
      <w:outlineLvl w:val="4"/>
    </w:pPr>
    <w:rPr>
      <w:sz w:val="24"/>
      <w:szCs w:val="24"/>
    </w:rPr>
  </w:style>
  <w:style w:type="paragraph" w:styleId="Heading6">
    <w:name w:val="heading 6"/>
    <w:aliases w:val="as"/>
    <w:basedOn w:val="Heading1"/>
    <w:next w:val="Heading7"/>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ItemHead">
    <w:name w:val="ItemHead"/>
    <w:aliases w:val="ih"/>
    <w:basedOn w:val="Heading1"/>
    <w:next w:val="Item"/>
    <w:uiPriority w:val="99"/>
    <w:pPr>
      <w:keepNext w:val="0"/>
      <w:tabs>
        <w:tab w:val="clear" w:pos="1247"/>
      </w:tabs>
      <w:spacing w:before="220"/>
      <w:ind w:left="709" w:hanging="709"/>
      <w:outlineLvl w:val="9"/>
    </w:pPr>
    <w:rPr>
      <w:rFonts w:ascii="Helvetica" w:hAnsi="Helvetica" w:cs="Helvetica"/>
      <w:sz w:val="24"/>
      <w:szCs w:val="24"/>
    </w:rPr>
  </w:style>
  <w:style w:type="paragraph" w:customStyle="1" w:styleId="Item">
    <w:name w:val="Item"/>
    <w:aliases w:val="i"/>
    <w:basedOn w:val="Subsection"/>
    <w:next w:val="ItemHead"/>
    <w:uiPriority w:val="99"/>
    <w:pPr>
      <w:keepLines/>
      <w:tabs>
        <w:tab w:val="clear" w:pos="1021"/>
      </w:tabs>
      <w:spacing w:before="80"/>
      <w:ind w:left="709" w:firstLine="0"/>
    </w:pPr>
  </w:style>
  <w:style w:type="character" w:customStyle="1" w:styleId="CharSubdNo">
    <w:name w:val="CharSubdNo"/>
    <w:basedOn w:val="DefaultParagraphFont"/>
    <w:uiPriority w:val="99"/>
  </w:style>
  <w:style w:type="character" w:styleId="LineNumber">
    <w:name w:val="line number"/>
    <w:basedOn w:val="DefaultParagraphFont"/>
    <w:uiPriority w:val="99"/>
    <w:rPr>
      <w:rFonts w:ascii="Times" w:hAnsi="Times" w:cs="Times"/>
      <w:sz w:val="16"/>
      <w:szCs w:val="16"/>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Times" w:hAnsi="Times" w:cs="Times"/>
    </w:rPr>
  </w:style>
  <w:style w:type="paragraph" w:styleId="Header">
    <w:name w:val="header"/>
    <w:basedOn w:val="Normal"/>
    <w:next w:val="Heading5"/>
    <w:link w:val="HeaderChar"/>
    <w:uiPriority w:val="99"/>
    <w:pPr>
      <w:keepLines/>
      <w:tabs>
        <w:tab w:val="center" w:pos="4153"/>
        <w:tab w:val="right" w:pos="8306"/>
      </w:tabs>
      <w:spacing w:line="160" w:lineRule="exact"/>
    </w:pPr>
    <w:rPr>
      <w:sz w:val="16"/>
      <w:szCs w:val="16"/>
    </w:rPr>
  </w:style>
  <w:style w:type="character" w:customStyle="1" w:styleId="HeaderChar">
    <w:name w:val="Header Char"/>
    <w:basedOn w:val="DefaultParagraphFont"/>
    <w:link w:val="Header"/>
    <w:uiPriority w:val="99"/>
    <w:semiHidden/>
    <w:rPr>
      <w:rFonts w:ascii="Times" w:hAnsi="Times" w:cs="Times"/>
    </w:rPr>
  </w:style>
  <w:style w:type="paragraph" w:customStyle="1" w:styleId="headerpart">
    <w:name w:val="header.part"/>
    <w:basedOn w:val="Normal"/>
    <w:uiPriority w:val="99"/>
    <w:pPr>
      <w:keepNext/>
    </w:pPr>
    <w:rPr>
      <w:b/>
      <w:bCs/>
      <w:sz w:val="20"/>
      <w:szCs w:val="20"/>
    </w:rPr>
  </w:style>
  <w:style w:type="paragraph" w:customStyle="1" w:styleId="parabullet">
    <w:name w:val="para bullet"/>
    <w:aliases w:val="b,Body"/>
    <w:basedOn w:val="Normal"/>
    <w:uiPriority w:val="99"/>
    <w:pPr>
      <w:spacing w:before="240"/>
      <w:ind w:left="1843" w:hanging="283"/>
    </w:pPr>
  </w:style>
  <w:style w:type="paragraph" w:customStyle="1" w:styleId="headerpartodd">
    <w:name w:val="header.part.odd"/>
    <w:basedOn w:val="headerpart"/>
    <w:uiPriority w:val="99"/>
    <w:pPr>
      <w:ind w:left="5387" w:hanging="1134"/>
    </w:p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Definition">
    <w:name w:val="Definition"/>
    <w:aliases w:val="dd"/>
    <w:basedOn w:val="Subsection"/>
    <w:uiPriority w:val="99"/>
    <w:pPr>
      <w:tabs>
        <w:tab w:val="clear" w:pos="1021"/>
      </w:tabs>
      <w:ind w:firstLine="0"/>
    </w:pPr>
  </w:style>
  <w:style w:type="paragraph" w:customStyle="1" w:styleId="Penalty">
    <w:name w:val="Penalty"/>
    <w:basedOn w:val="Normal"/>
    <w:uiPriority w:val="99"/>
    <w:pPr>
      <w:tabs>
        <w:tab w:val="left" w:pos="2977"/>
      </w:tabs>
      <w:spacing w:before="180"/>
      <w:ind w:left="1985" w:hanging="851"/>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character" w:styleId="PageNumber">
    <w:name w:val="page number"/>
    <w:basedOn w:val="DefaultParagraphFont"/>
    <w:uiPriority w:val="99"/>
  </w:style>
  <w:style w:type="paragraph" w:customStyle="1" w:styleId="LongT">
    <w:name w:val="LongT"/>
    <w:basedOn w:val="Normal"/>
    <w:uiPriority w:val="99"/>
    <w:pPr>
      <w:spacing w:line="240" w:lineRule="auto"/>
    </w:pPr>
    <w:rPr>
      <w:b/>
      <w:bCs/>
      <w:sz w:val="32"/>
      <w:szCs w:val="32"/>
    </w:rPr>
  </w:style>
  <w:style w:type="paragraph" w:customStyle="1" w:styleId="ShortT">
    <w:name w:val="ShortT"/>
    <w:basedOn w:val="Normal"/>
    <w:next w:val="Normal"/>
    <w:uiPriority w:val="99"/>
    <w:pPr>
      <w:spacing w:line="240" w:lineRule="auto"/>
    </w:pPr>
    <w:rPr>
      <w:b/>
      <w:bCs/>
      <w:sz w:val="40"/>
      <w:szCs w:val="40"/>
    </w:rPr>
  </w:style>
  <w:style w:type="paragraph" w:styleId="TOC1">
    <w:name w:val="toc 1"/>
    <w:basedOn w:val="Heading1"/>
    <w:next w:val="Normal"/>
    <w:uiPriority w:val="99"/>
    <w:pPr>
      <w:tabs>
        <w:tab w:val="clear" w:pos="1247"/>
        <w:tab w:val="right" w:pos="7087"/>
      </w:tabs>
      <w:spacing w:before="120"/>
      <w:ind w:left="1474" w:right="567" w:hanging="1474"/>
      <w:outlineLvl w:val="9"/>
    </w:pPr>
    <w:rPr>
      <w:sz w:val="28"/>
      <w:szCs w:val="28"/>
    </w:rPr>
  </w:style>
  <w:style w:type="paragraph" w:styleId="TOC9">
    <w:name w:val="toc 9"/>
    <w:basedOn w:val="Heading9"/>
    <w:next w:val="Normal"/>
    <w:uiPriority w:val="99"/>
    <w:pPr>
      <w:tabs>
        <w:tab w:val="clear" w:pos="1247"/>
        <w:tab w:val="right" w:pos="7087"/>
      </w:tabs>
      <w:spacing w:before="80"/>
      <w:ind w:left="851" w:right="567" w:firstLine="0"/>
      <w:outlineLvl w:val="9"/>
    </w:pPr>
    <w:rPr>
      <w:b w:val="0"/>
      <w:bCs w:val="0"/>
      <w:sz w:val="20"/>
      <w:szCs w:val="20"/>
    </w:rPr>
  </w:style>
  <w:style w:type="paragraph" w:styleId="TOC2">
    <w:name w:val="toc 2"/>
    <w:basedOn w:val="Heading2"/>
    <w:next w:val="Normal"/>
    <w:uiPriority w:val="99"/>
    <w:pPr>
      <w:tabs>
        <w:tab w:val="clear" w:pos="1247"/>
        <w:tab w:val="right" w:pos="7087"/>
      </w:tabs>
      <w:spacing w:before="120"/>
      <w:ind w:left="879" w:right="567" w:hanging="879"/>
      <w:outlineLvl w:val="9"/>
    </w:pPr>
    <w:rPr>
      <w:sz w:val="24"/>
      <w:szCs w:val="24"/>
    </w:rPr>
  </w:style>
  <w:style w:type="paragraph" w:styleId="TOC3">
    <w:name w:val="toc 3"/>
    <w:basedOn w:val="Heading3"/>
    <w:next w:val="Normal"/>
    <w:uiPriority w:val="99"/>
    <w:pPr>
      <w:tabs>
        <w:tab w:val="clear" w:pos="1247"/>
        <w:tab w:val="right" w:pos="7087"/>
      </w:tabs>
      <w:spacing w:before="80"/>
      <w:ind w:left="1604" w:right="567" w:hanging="1179"/>
      <w:outlineLvl w:val="9"/>
    </w:pPr>
    <w:rPr>
      <w:sz w:val="22"/>
      <w:szCs w:val="22"/>
    </w:rPr>
  </w:style>
  <w:style w:type="paragraph" w:styleId="TOC4">
    <w:name w:val="toc 4"/>
    <w:basedOn w:val="Heading4"/>
    <w:next w:val="Normal"/>
    <w:uiPriority w:val="99"/>
    <w:pPr>
      <w:tabs>
        <w:tab w:val="clear" w:pos="1247"/>
        <w:tab w:val="right" w:pos="7087"/>
      </w:tabs>
      <w:spacing w:before="80"/>
      <w:ind w:left="2183" w:right="567" w:hanging="1332"/>
      <w:outlineLvl w:val="9"/>
    </w:pPr>
    <w:rPr>
      <w:sz w:val="20"/>
      <w:szCs w:val="20"/>
    </w:rPr>
  </w:style>
  <w:style w:type="paragraph" w:styleId="TOC5">
    <w:name w:val="toc 5"/>
    <w:basedOn w:val="Heading5"/>
    <w:next w:val="Normal"/>
    <w:uiPriority w:val="99"/>
    <w:pPr>
      <w:keepNext w:val="0"/>
      <w:tabs>
        <w:tab w:val="clear" w:pos="1032"/>
        <w:tab w:val="right" w:leader="dot" w:pos="7087"/>
      </w:tabs>
      <w:spacing w:before="40"/>
      <w:ind w:left="2098" w:right="567" w:hanging="680"/>
      <w:outlineLvl w:val="9"/>
    </w:pPr>
    <w:rPr>
      <w:b w:val="0"/>
      <w:bCs w:val="0"/>
      <w:sz w:val="18"/>
      <w:szCs w:val="18"/>
    </w:rPr>
  </w:style>
  <w:style w:type="paragraph" w:styleId="TOC6">
    <w:name w:val="toc 6"/>
    <w:basedOn w:val="TOC1"/>
    <w:next w:val="Normal"/>
    <w:uiPriority w:val="99"/>
    <w:pPr>
      <w:keepNext w:val="0"/>
      <w:ind w:left="1344" w:hanging="1344"/>
    </w:pPr>
    <w:rPr>
      <w:sz w:val="24"/>
      <w:szCs w:val="24"/>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customStyle="1" w:styleId="hdrsection">
    <w:name w:val="hdrsection"/>
    <w:basedOn w:val="Normal"/>
    <w:uiPriority w:val="99"/>
    <w:pPr>
      <w:keepNext/>
      <w:spacing w:line="240" w:lineRule="auto"/>
    </w:pPr>
    <w:rPr>
      <w:b/>
      <w:bCs/>
      <w:sz w:val="24"/>
      <w:szCs w:val="24"/>
    </w:rPr>
  </w:style>
  <w:style w:type="paragraph" w:customStyle="1" w:styleId="Actno">
    <w:name w:val="Actno"/>
    <w:basedOn w:val="ShortT"/>
    <w:next w:val="Normal"/>
    <w:uiPriority w:val="99"/>
  </w:style>
  <w:style w:type="paragraph" w:customStyle="1" w:styleId="Table">
    <w:name w:val="Table"/>
    <w:aliases w:val="t"/>
    <w:basedOn w:val="Normal"/>
    <w:uiPriority w:val="99"/>
    <w:pPr>
      <w:spacing w:before="60" w:line="240" w:lineRule="atLeast"/>
    </w:pPr>
    <w:rPr>
      <w:sz w:val="20"/>
      <w:szCs w:val="20"/>
    </w:rPr>
  </w:style>
  <w:style w:type="paragraph" w:customStyle="1" w:styleId="BoxHeadBold">
    <w:name w:val="BoxHeadBold"/>
    <w:aliases w:val="bhb"/>
    <w:basedOn w:val="BoxText"/>
    <w:next w:val="BoxText"/>
    <w:uiPriority w:val="99"/>
    <w:rPr>
      <w:b/>
      <w:bCs/>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Subitem">
    <w:name w:val="Subitem"/>
    <w:aliases w:val="iss"/>
    <w:basedOn w:val="Normal"/>
    <w:uiPriority w:val="99"/>
    <w:pPr>
      <w:tabs>
        <w:tab w:val="left" w:pos="0"/>
      </w:tabs>
      <w:spacing w:before="180"/>
      <w:ind w:left="709" w:hanging="709"/>
    </w:p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paragraph" w:customStyle="1" w:styleId="Page1">
    <w:name w:val="Page1"/>
    <w:basedOn w:val="Normal"/>
    <w:uiPriority w:val="99"/>
    <w:pPr>
      <w:spacing w:before="400" w:line="240" w:lineRule="auto"/>
    </w:pPr>
    <w:rPr>
      <w:b/>
      <w:bCs/>
      <w:sz w:val="32"/>
      <w:szCs w:val="32"/>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60" w:hanging="426"/>
    </w:p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paragraph" w:customStyle="1" w:styleId="Formula">
    <w:name w:val="Formula"/>
    <w:basedOn w:val="Normal"/>
    <w:uiPriority w:val="99"/>
    <w:pPr>
      <w:spacing w:line="240" w:lineRule="auto"/>
      <w:ind w:left="1134"/>
    </w:pPr>
  </w:style>
  <w:style w:type="character" w:customStyle="1" w:styleId="CharSectno">
    <w:name w:val="CharSectno"/>
    <w:basedOn w:val="DefaultParagraphFont"/>
    <w:uiPriority w:val="99"/>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PageBreak">
    <w:name w:val="PageBreak"/>
    <w:aliases w:val="pb"/>
    <w:basedOn w:val="Normal"/>
    <w:next w:val="Heading2"/>
    <w:uiPriority w:val="99"/>
    <w:pPr>
      <w:spacing w:line="240" w:lineRule="auto"/>
    </w:pPr>
    <w:rPr>
      <w:sz w:val="2"/>
      <w:szCs w:val="2"/>
    </w:rPr>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paragraph" w:customStyle="1" w:styleId="Preamble">
    <w:name w:val="Preamble"/>
    <w:basedOn w:val="Heading5"/>
    <w:next w:val="Normal"/>
    <w:uiPriority w:val="99"/>
    <w:pPr>
      <w:tabs>
        <w:tab w:val="center" w:pos="4513"/>
      </w:tabs>
      <w:outlineLvl w:val="9"/>
    </w:pPr>
    <w:rPr>
      <w:sz w:val="28"/>
      <w:szCs w:val="28"/>
    </w:rPr>
  </w:style>
  <w:style w:type="character" w:customStyle="1" w:styleId="CharSubdText">
    <w:name w:val="CharSubdText"/>
    <w:basedOn w:val="DefaultParagraphFont"/>
    <w:uiPriority w:val="99"/>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4"/>
        <w:tab w:val="right" w:pos="-6261"/>
        <w:tab w:val="left" w:pos="969"/>
      </w:tabs>
      <w:spacing w:line="240" w:lineRule="exact"/>
      <w:ind w:left="828" w:hanging="284"/>
    </w:pPr>
    <w:rPr>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spacing w:before="122" w:line="198" w:lineRule="exact"/>
      <w:ind w:left="2551" w:hanging="283"/>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fSectsGroupHeading">
    <w:name w:val="TofSects(GroupHeading)"/>
    <w:basedOn w:val="TOC4"/>
    <w:uiPriority w:val="99"/>
    <w:pPr>
      <w:spacing w:before="240" w:after="120"/>
      <w:ind w:left="794" w:firstLine="0"/>
    </w:pPr>
  </w:style>
  <w:style w:type="paragraph" w:customStyle="1" w:styleId="TofSectsHeading">
    <w:name w:val="TofSects(Heading)"/>
    <w:basedOn w:val="TOC5"/>
    <w:uiPriority w:val="99"/>
    <w:pPr>
      <w:keepLines w:val="0"/>
      <w:tabs>
        <w:tab w:val="clear" w:pos="1134"/>
        <w:tab w:val="clear" w:pos="7087"/>
      </w:tabs>
      <w:spacing w:before="240" w:after="120"/>
      <w:ind w:left="794" w:right="851" w:hanging="794"/>
    </w:pPr>
    <w:rPr>
      <w:b/>
      <w:bCs/>
      <w:kern w:val="0"/>
      <w:sz w:val="24"/>
      <w:szCs w:val="24"/>
    </w:rPr>
  </w:style>
  <w:style w:type="paragraph" w:customStyle="1" w:styleId="TofSectsSection">
    <w:name w:val="TofSects(Section)"/>
    <w:basedOn w:val="TOC5"/>
    <w:uiPriority w:val="99"/>
    <w:pPr>
      <w:tabs>
        <w:tab w:val="clear" w:pos="1134"/>
        <w:tab w:val="left" w:pos="851"/>
      </w:tabs>
      <w:ind w:left="1588" w:hanging="794"/>
    </w:pPr>
  </w:style>
  <w:style w:type="paragraph" w:customStyle="1" w:styleId="TofSectsSubdiv">
    <w:name w:val="TofSects(Subdiv)"/>
    <w:basedOn w:val="TOC4"/>
    <w:uiPriority w:val="99"/>
    <w:pPr>
      <w:tabs>
        <w:tab w:val="left" w:pos="1560"/>
      </w:tabs>
      <w:ind w:left="1588" w:hanging="794"/>
    </w:pPr>
    <w:rPr>
      <w:b w:val="0"/>
      <w:bCs w:val="0"/>
      <w:sz w:val="22"/>
      <w:szCs w:val="22"/>
    </w:rPr>
  </w:style>
  <w:style w:type="paragraph" w:customStyle="1" w:styleId="BoxNote">
    <w:name w:val="BoxNote"/>
    <w:aliases w:val="bn"/>
    <w:basedOn w:val="BoxText"/>
    <w:uiPriority w:val="99"/>
    <w:pPr>
      <w:tabs>
        <w:tab w:val="left" w:pos="1985"/>
      </w:tabs>
      <w:spacing w:before="122" w:line="198" w:lineRule="exact"/>
      <w:ind w:left="2948" w:hanging="1814"/>
    </w:pPr>
    <w:rPr>
      <w:sz w:val="18"/>
      <w:szCs w:val="18"/>
    </w:rPr>
  </w:style>
  <w:style w:type="paragraph" w:customStyle="1" w:styleId="TLPLink">
    <w:name w:val="TLPLink"/>
    <w:basedOn w:val="Heading9"/>
    <w:uiPriority w:val="99"/>
    <w:pPr>
      <w:keepLines w:val="0"/>
      <w:tabs>
        <w:tab w:val="clear" w:pos="1247"/>
      </w:tabs>
      <w:spacing w:before="360"/>
      <w:ind w:firstLine="0"/>
      <w:outlineLvl w:val="9"/>
    </w:pPr>
    <w:rPr>
      <w:b w:val="0"/>
      <w:bCs w:val="0"/>
      <w:kern w:val="0"/>
      <w:sz w:val="20"/>
      <w:szCs w:val="20"/>
    </w:r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paragraph" w:customStyle="1" w:styleId="ParlAmend">
    <w:name w:val="ParlAmend"/>
    <w:aliases w:val="pp"/>
    <w:basedOn w:val="Normal"/>
    <w:uiPriority w:val="99"/>
    <w:pPr>
      <w:spacing w:before="240" w:line="240" w:lineRule="atLeast"/>
      <w:ind w:hanging="567"/>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adjustRightInd w:val="0"/>
      <w:spacing w:after="0" w:line="260" w:lineRule="atLeast"/>
    </w:pPr>
    <w:rPr>
      <w:rFonts w:ascii="Times" w:hAnsi="Times" w:cs="Times"/>
    </w:rPr>
  </w:style>
  <w:style w:type="paragraph" w:styleId="Heading1">
    <w:name w:val="heading 1"/>
    <w:aliases w:val="c"/>
    <w:basedOn w:val="Normal"/>
    <w:next w:val="Heading2"/>
    <w:link w:val="Heading1Char"/>
    <w:uiPriority w:val="99"/>
    <w:qFormat/>
    <w:pPr>
      <w:keepNext/>
      <w:keepLines/>
      <w:tabs>
        <w:tab w:val="left" w:pos="1247"/>
      </w:tabs>
      <w:spacing w:line="240" w:lineRule="auto"/>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tabs>
        <w:tab w:val="clear" w:pos="1247"/>
        <w:tab w:val="right" w:pos="1032"/>
        <w:tab w:val="left" w:pos="1134"/>
      </w:tabs>
      <w:spacing w:before="280"/>
      <w:outlineLvl w:val="4"/>
    </w:pPr>
    <w:rPr>
      <w:sz w:val="24"/>
      <w:szCs w:val="24"/>
    </w:rPr>
  </w:style>
  <w:style w:type="paragraph" w:styleId="Heading6">
    <w:name w:val="heading 6"/>
    <w:aliases w:val="as"/>
    <w:basedOn w:val="Heading1"/>
    <w:next w:val="Heading7"/>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ItemHead">
    <w:name w:val="ItemHead"/>
    <w:aliases w:val="ih"/>
    <w:basedOn w:val="Heading1"/>
    <w:next w:val="Item"/>
    <w:uiPriority w:val="99"/>
    <w:pPr>
      <w:keepNext w:val="0"/>
      <w:tabs>
        <w:tab w:val="clear" w:pos="1247"/>
      </w:tabs>
      <w:spacing w:before="220"/>
      <w:ind w:left="709" w:hanging="709"/>
      <w:outlineLvl w:val="9"/>
    </w:pPr>
    <w:rPr>
      <w:rFonts w:ascii="Helvetica" w:hAnsi="Helvetica" w:cs="Helvetica"/>
      <w:sz w:val="24"/>
      <w:szCs w:val="24"/>
    </w:rPr>
  </w:style>
  <w:style w:type="paragraph" w:customStyle="1" w:styleId="Item">
    <w:name w:val="Item"/>
    <w:aliases w:val="i"/>
    <w:basedOn w:val="Subsection"/>
    <w:next w:val="ItemHead"/>
    <w:uiPriority w:val="99"/>
    <w:pPr>
      <w:keepLines/>
      <w:tabs>
        <w:tab w:val="clear" w:pos="1021"/>
      </w:tabs>
      <w:spacing w:before="80"/>
      <w:ind w:left="709" w:firstLine="0"/>
    </w:pPr>
  </w:style>
  <w:style w:type="character" w:customStyle="1" w:styleId="CharSubdNo">
    <w:name w:val="CharSubdNo"/>
    <w:basedOn w:val="DefaultParagraphFont"/>
    <w:uiPriority w:val="99"/>
  </w:style>
  <w:style w:type="character" w:styleId="LineNumber">
    <w:name w:val="line number"/>
    <w:basedOn w:val="DefaultParagraphFont"/>
    <w:uiPriority w:val="99"/>
    <w:rPr>
      <w:rFonts w:ascii="Times" w:hAnsi="Times" w:cs="Times"/>
      <w:sz w:val="16"/>
      <w:szCs w:val="16"/>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Times" w:hAnsi="Times" w:cs="Times"/>
    </w:rPr>
  </w:style>
  <w:style w:type="paragraph" w:styleId="Header">
    <w:name w:val="header"/>
    <w:basedOn w:val="Normal"/>
    <w:next w:val="Heading5"/>
    <w:link w:val="HeaderChar"/>
    <w:uiPriority w:val="99"/>
    <w:pPr>
      <w:keepLines/>
      <w:tabs>
        <w:tab w:val="center" w:pos="4153"/>
        <w:tab w:val="right" w:pos="8306"/>
      </w:tabs>
      <w:spacing w:line="160" w:lineRule="exact"/>
    </w:pPr>
    <w:rPr>
      <w:sz w:val="16"/>
      <w:szCs w:val="16"/>
    </w:rPr>
  </w:style>
  <w:style w:type="character" w:customStyle="1" w:styleId="HeaderChar">
    <w:name w:val="Header Char"/>
    <w:basedOn w:val="DefaultParagraphFont"/>
    <w:link w:val="Header"/>
    <w:uiPriority w:val="99"/>
    <w:semiHidden/>
    <w:rPr>
      <w:rFonts w:ascii="Times" w:hAnsi="Times" w:cs="Times"/>
    </w:rPr>
  </w:style>
  <w:style w:type="paragraph" w:customStyle="1" w:styleId="headerpart">
    <w:name w:val="header.part"/>
    <w:basedOn w:val="Normal"/>
    <w:uiPriority w:val="99"/>
    <w:pPr>
      <w:keepNext/>
    </w:pPr>
    <w:rPr>
      <w:b/>
      <w:bCs/>
      <w:sz w:val="20"/>
      <w:szCs w:val="20"/>
    </w:rPr>
  </w:style>
  <w:style w:type="paragraph" w:customStyle="1" w:styleId="parabullet">
    <w:name w:val="para bullet"/>
    <w:aliases w:val="b,Body"/>
    <w:basedOn w:val="Normal"/>
    <w:uiPriority w:val="99"/>
    <w:pPr>
      <w:spacing w:before="240"/>
      <w:ind w:left="1843" w:hanging="283"/>
    </w:pPr>
  </w:style>
  <w:style w:type="paragraph" w:customStyle="1" w:styleId="headerpartodd">
    <w:name w:val="header.part.odd"/>
    <w:basedOn w:val="headerpart"/>
    <w:uiPriority w:val="99"/>
    <w:pPr>
      <w:ind w:left="5387" w:hanging="1134"/>
    </w:p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Definition">
    <w:name w:val="Definition"/>
    <w:aliases w:val="dd"/>
    <w:basedOn w:val="Subsection"/>
    <w:uiPriority w:val="99"/>
    <w:pPr>
      <w:tabs>
        <w:tab w:val="clear" w:pos="1021"/>
      </w:tabs>
      <w:ind w:firstLine="0"/>
    </w:pPr>
  </w:style>
  <w:style w:type="paragraph" w:customStyle="1" w:styleId="Penalty">
    <w:name w:val="Penalty"/>
    <w:basedOn w:val="Normal"/>
    <w:uiPriority w:val="99"/>
    <w:pPr>
      <w:tabs>
        <w:tab w:val="left" w:pos="2977"/>
      </w:tabs>
      <w:spacing w:before="180"/>
      <w:ind w:left="1985" w:hanging="851"/>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character" w:styleId="PageNumber">
    <w:name w:val="page number"/>
    <w:basedOn w:val="DefaultParagraphFont"/>
    <w:uiPriority w:val="99"/>
  </w:style>
  <w:style w:type="paragraph" w:customStyle="1" w:styleId="LongT">
    <w:name w:val="LongT"/>
    <w:basedOn w:val="Normal"/>
    <w:uiPriority w:val="99"/>
    <w:pPr>
      <w:spacing w:line="240" w:lineRule="auto"/>
    </w:pPr>
    <w:rPr>
      <w:b/>
      <w:bCs/>
      <w:sz w:val="32"/>
      <w:szCs w:val="32"/>
    </w:rPr>
  </w:style>
  <w:style w:type="paragraph" w:customStyle="1" w:styleId="ShortT">
    <w:name w:val="ShortT"/>
    <w:basedOn w:val="Normal"/>
    <w:next w:val="Normal"/>
    <w:uiPriority w:val="99"/>
    <w:pPr>
      <w:spacing w:line="240" w:lineRule="auto"/>
    </w:pPr>
    <w:rPr>
      <w:b/>
      <w:bCs/>
      <w:sz w:val="40"/>
      <w:szCs w:val="40"/>
    </w:rPr>
  </w:style>
  <w:style w:type="paragraph" w:styleId="TOC1">
    <w:name w:val="toc 1"/>
    <w:basedOn w:val="Heading1"/>
    <w:next w:val="Normal"/>
    <w:uiPriority w:val="99"/>
    <w:pPr>
      <w:tabs>
        <w:tab w:val="clear" w:pos="1247"/>
        <w:tab w:val="right" w:pos="7087"/>
      </w:tabs>
      <w:spacing w:before="120"/>
      <w:ind w:left="1474" w:right="567" w:hanging="1474"/>
      <w:outlineLvl w:val="9"/>
    </w:pPr>
    <w:rPr>
      <w:sz w:val="28"/>
      <w:szCs w:val="28"/>
    </w:rPr>
  </w:style>
  <w:style w:type="paragraph" w:styleId="TOC9">
    <w:name w:val="toc 9"/>
    <w:basedOn w:val="Heading9"/>
    <w:next w:val="Normal"/>
    <w:uiPriority w:val="99"/>
    <w:pPr>
      <w:tabs>
        <w:tab w:val="clear" w:pos="1247"/>
        <w:tab w:val="right" w:pos="7087"/>
      </w:tabs>
      <w:spacing w:before="80"/>
      <w:ind w:left="851" w:right="567" w:firstLine="0"/>
      <w:outlineLvl w:val="9"/>
    </w:pPr>
    <w:rPr>
      <w:b w:val="0"/>
      <w:bCs w:val="0"/>
      <w:sz w:val="20"/>
      <w:szCs w:val="20"/>
    </w:rPr>
  </w:style>
  <w:style w:type="paragraph" w:styleId="TOC2">
    <w:name w:val="toc 2"/>
    <w:basedOn w:val="Heading2"/>
    <w:next w:val="Normal"/>
    <w:uiPriority w:val="99"/>
    <w:pPr>
      <w:tabs>
        <w:tab w:val="clear" w:pos="1247"/>
        <w:tab w:val="right" w:pos="7087"/>
      </w:tabs>
      <w:spacing w:before="120"/>
      <w:ind w:left="879" w:right="567" w:hanging="879"/>
      <w:outlineLvl w:val="9"/>
    </w:pPr>
    <w:rPr>
      <w:sz w:val="24"/>
      <w:szCs w:val="24"/>
    </w:rPr>
  </w:style>
  <w:style w:type="paragraph" w:styleId="TOC3">
    <w:name w:val="toc 3"/>
    <w:basedOn w:val="Heading3"/>
    <w:next w:val="Normal"/>
    <w:uiPriority w:val="99"/>
    <w:pPr>
      <w:tabs>
        <w:tab w:val="clear" w:pos="1247"/>
        <w:tab w:val="right" w:pos="7087"/>
      </w:tabs>
      <w:spacing w:before="80"/>
      <w:ind w:left="1604" w:right="567" w:hanging="1179"/>
      <w:outlineLvl w:val="9"/>
    </w:pPr>
    <w:rPr>
      <w:sz w:val="22"/>
      <w:szCs w:val="22"/>
    </w:rPr>
  </w:style>
  <w:style w:type="paragraph" w:styleId="TOC4">
    <w:name w:val="toc 4"/>
    <w:basedOn w:val="Heading4"/>
    <w:next w:val="Normal"/>
    <w:uiPriority w:val="99"/>
    <w:pPr>
      <w:tabs>
        <w:tab w:val="clear" w:pos="1247"/>
        <w:tab w:val="right" w:pos="7087"/>
      </w:tabs>
      <w:spacing w:before="80"/>
      <w:ind w:left="2183" w:right="567" w:hanging="1332"/>
      <w:outlineLvl w:val="9"/>
    </w:pPr>
    <w:rPr>
      <w:sz w:val="20"/>
      <w:szCs w:val="20"/>
    </w:rPr>
  </w:style>
  <w:style w:type="paragraph" w:styleId="TOC5">
    <w:name w:val="toc 5"/>
    <w:basedOn w:val="Heading5"/>
    <w:next w:val="Normal"/>
    <w:uiPriority w:val="99"/>
    <w:pPr>
      <w:keepNext w:val="0"/>
      <w:tabs>
        <w:tab w:val="clear" w:pos="1032"/>
        <w:tab w:val="right" w:leader="dot" w:pos="7087"/>
      </w:tabs>
      <w:spacing w:before="40"/>
      <w:ind w:left="2098" w:right="567" w:hanging="680"/>
      <w:outlineLvl w:val="9"/>
    </w:pPr>
    <w:rPr>
      <w:b w:val="0"/>
      <w:bCs w:val="0"/>
      <w:sz w:val="18"/>
      <w:szCs w:val="18"/>
    </w:rPr>
  </w:style>
  <w:style w:type="paragraph" w:styleId="TOC6">
    <w:name w:val="toc 6"/>
    <w:basedOn w:val="TOC1"/>
    <w:next w:val="Normal"/>
    <w:uiPriority w:val="99"/>
    <w:pPr>
      <w:keepNext w:val="0"/>
      <w:ind w:left="1344" w:hanging="1344"/>
    </w:pPr>
    <w:rPr>
      <w:sz w:val="24"/>
      <w:szCs w:val="24"/>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customStyle="1" w:styleId="hdrsection">
    <w:name w:val="hdrsection"/>
    <w:basedOn w:val="Normal"/>
    <w:uiPriority w:val="99"/>
    <w:pPr>
      <w:keepNext/>
      <w:spacing w:line="240" w:lineRule="auto"/>
    </w:pPr>
    <w:rPr>
      <w:b/>
      <w:bCs/>
      <w:sz w:val="24"/>
      <w:szCs w:val="24"/>
    </w:rPr>
  </w:style>
  <w:style w:type="paragraph" w:customStyle="1" w:styleId="Actno">
    <w:name w:val="Actno"/>
    <w:basedOn w:val="ShortT"/>
    <w:next w:val="Normal"/>
    <w:uiPriority w:val="99"/>
  </w:style>
  <w:style w:type="paragraph" w:customStyle="1" w:styleId="Table">
    <w:name w:val="Table"/>
    <w:aliases w:val="t"/>
    <w:basedOn w:val="Normal"/>
    <w:uiPriority w:val="99"/>
    <w:pPr>
      <w:spacing w:before="60" w:line="240" w:lineRule="atLeast"/>
    </w:pPr>
    <w:rPr>
      <w:sz w:val="20"/>
      <w:szCs w:val="20"/>
    </w:rPr>
  </w:style>
  <w:style w:type="paragraph" w:customStyle="1" w:styleId="BoxHeadBold">
    <w:name w:val="BoxHeadBold"/>
    <w:aliases w:val="bhb"/>
    <w:basedOn w:val="BoxText"/>
    <w:next w:val="BoxText"/>
    <w:uiPriority w:val="99"/>
    <w:rPr>
      <w:b/>
      <w:bCs/>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Subitem">
    <w:name w:val="Subitem"/>
    <w:aliases w:val="iss"/>
    <w:basedOn w:val="Normal"/>
    <w:uiPriority w:val="99"/>
    <w:pPr>
      <w:tabs>
        <w:tab w:val="left" w:pos="0"/>
      </w:tabs>
      <w:spacing w:before="180"/>
      <w:ind w:left="709" w:hanging="709"/>
    </w:p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paragraph" w:customStyle="1" w:styleId="Page1">
    <w:name w:val="Page1"/>
    <w:basedOn w:val="Normal"/>
    <w:uiPriority w:val="99"/>
    <w:pPr>
      <w:spacing w:before="400" w:line="240" w:lineRule="auto"/>
    </w:pPr>
    <w:rPr>
      <w:b/>
      <w:bCs/>
      <w:sz w:val="32"/>
      <w:szCs w:val="32"/>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60" w:hanging="426"/>
    </w:p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paragraph" w:customStyle="1" w:styleId="Formula">
    <w:name w:val="Formula"/>
    <w:basedOn w:val="Normal"/>
    <w:uiPriority w:val="99"/>
    <w:pPr>
      <w:spacing w:line="240" w:lineRule="auto"/>
      <w:ind w:left="1134"/>
    </w:pPr>
  </w:style>
  <w:style w:type="character" w:customStyle="1" w:styleId="CharSectno">
    <w:name w:val="CharSectno"/>
    <w:basedOn w:val="DefaultParagraphFont"/>
    <w:uiPriority w:val="99"/>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PageBreak">
    <w:name w:val="PageBreak"/>
    <w:aliases w:val="pb"/>
    <w:basedOn w:val="Normal"/>
    <w:next w:val="Heading2"/>
    <w:uiPriority w:val="99"/>
    <w:pPr>
      <w:spacing w:line="240" w:lineRule="auto"/>
    </w:pPr>
    <w:rPr>
      <w:sz w:val="2"/>
      <w:szCs w:val="2"/>
    </w:rPr>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paragraph" w:customStyle="1" w:styleId="Preamble">
    <w:name w:val="Preamble"/>
    <w:basedOn w:val="Heading5"/>
    <w:next w:val="Normal"/>
    <w:uiPriority w:val="99"/>
    <w:pPr>
      <w:tabs>
        <w:tab w:val="center" w:pos="4513"/>
      </w:tabs>
      <w:outlineLvl w:val="9"/>
    </w:pPr>
    <w:rPr>
      <w:sz w:val="28"/>
      <w:szCs w:val="28"/>
    </w:rPr>
  </w:style>
  <w:style w:type="character" w:customStyle="1" w:styleId="CharSubdText">
    <w:name w:val="CharSubdText"/>
    <w:basedOn w:val="DefaultParagraphFont"/>
    <w:uiPriority w:val="99"/>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4"/>
        <w:tab w:val="right" w:pos="-6261"/>
        <w:tab w:val="left" w:pos="969"/>
      </w:tabs>
      <w:spacing w:line="240" w:lineRule="exact"/>
      <w:ind w:left="828" w:hanging="284"/>
    </w:pPr>
    <w:rPr>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spacing w:before="122" w:line="198" w:lineRule="exact"/>
      <w:ind w:left="2551" w:hanging="283"/>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fSectsGroupHeading">
    <w:name w:val="TofSects(GroupHeading)"/>
    <w:basedOn w:val="TOC4"/>
    <w:uiPriority w:val="99"/>
    <w:pPr>
      <w:spacing w:before="240" w:after="120"/>
      <w:ind w:left="794" w:firstLine="0"/>
    </w:pPr>
  </w:style>
  <w:style w:type="paragraph" w:customStyle="1" w:styleId="TofSectsHeading">
    <w:name w:val="TofSects(Heading)"/>
    <w:basedOn w:val="TOC5"/>
    <w:uiPriority w:val="99"/>
    <w:pPr>
      <w:keepLines w:val="0"/>
      <w:tabs>
        <w:tab w:val="clear" w:pos="1134"/>
        <w:tab w:val="clear" w:pos="7087"/>
      </w:tabs>
      <w:spacing w:before="240" w:after="120"/>
      <w:ind w:left="794" w:right="851" w:hanging="794"/>
    </w:pPr>
    <w:rPr>
      <w:b/>
      <w:bCs/>
      <w:kern w:val="0"/>
      <w:sz w:val="24"/>
      <w:szCs w:val="24"/>
    </w:rPr>
  </w:style>
  <w:style w:type="paragraph" w:customStyle="1" w:styleId="TofSectsSection">
    <w:name w:val="TofSects(Section)"/>
    <w:basedOn w:val="TOC5"/>
    <w:uiPriority w:val="99"/>
    <w:pPr>
      <w:tabs>
        <w:tab w:val="clear" w:pos="1134"/>
        <w:tab w:val="left" w:pos="851"/>
      </w:tabs>
      <w:ind w:left="1588" w:hanging="794"/>
    </w:pPr>
  </w:style>
  <w:style w:type="paragraph" w:customStyle="1" w:styleId="TofSectsSubdiv">
    <w:name w:val="TofSects(Subdiv)"/>
    <w:basedOn w:val="TOC4"/>
    <w:uiPriority w:val="99"/>
    <w:pPr>
      <w:tabs>
        <w:tab w:val="left" w:pos="1560"/>
      </w:tabs>
      <w:ind w:left="1588" w:hanging="794"/>
    </w:pPr>
    <w:rPr>
      <w:b w:val="0"/>
      <w:bCs w:val="0"/>
      <w:sz w:val="22"/>
      <w:szCs w:val="22"/>
    </w:rPr>
  </w:style>
  <w:style w:type="paragraph" w:customStyle="1" w:styleId="BoxNote">
    <w:name w:val="BoxNote"/>
    <w:aliases w:val="bn"/>
    <w:basedOn w:val="BoxText"/>
    <w:uiPriority w:val="99"/>
    <w:pPr>
      <w:tabs>
        <w:tab w:val="left" w:pos="1985"/>
      </w:tabs>
      <w:spacing w:before="122" w:line="198" w:lineRule="exact"/>
      <w:ind w:left="2948" w:hanging="1814"/>
    </w:pPr>
    <w:rPr>
      <w:sz w:val="18"/>
      <w:szCs w:val="18"/>
    </w:rPr>
  </w:style>
  <w:style w:type="paragraph" w:customStyle="1" w:styleId="TLPLink">
    <w:name w:val="TLPLink"/>
    <w:basedOn w:val="Heading9"/>
    <w:uiPriority w:val="99"/>
    <w:pPr>
      <w:keepLines w:val="0"/>
      <w:tabs>
        <w:tab w:val="clear" w:pos="1247"/>
      </w:tabs>
      <w:spacing w:before="360"/>
      <w:ind w:firstLine="0"/>
      <w:outlineLvl w:val="9"/>
    </w:pPr>
    <w:rPr>
      <w:b w:val="0"/>
      <w:bCs w:val="0"/>
      <w:kern w:val="0"/>
      <w:sz w:val="20"/>
      <w:szCs w:val="20"/>
    </w:r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paragraph" w:customStyle="1" w:styleId="ParlAmend">
    <w:name w:val="ParlAmend"/>
    <w:aliases w:val="pp"/>
    <w:basedOn w:val="Normal"/>
    <w:uiPriority w:val="99"/>
    <w:pPr>
      <w:spacing w:before="240" w:line="240" w:lineRule="atLeast"/>
      <w:ind w:hanging="567"/>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1.xml"/><Relationship Id="rId2" Type="http://schemas.microsoft.com/office/2007/relationships/stylesWithEffects" Target="stylesWithEffect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6.0\TEMPLATE.OPC\BILL_AM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Template>
  <TotalTime>1</TotalTime>
  <Pages>15</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sis amendment bill 1997</vt:lpstr>
    </vt:vector>
  </TitlesOfParts>
  <Company>Office of Parliamentary Counsel</Company>
  <LinksUpToDate>false</LinksUpToDate>
  <CharactersWithSpaces>10096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 amendment bill 1997</dc:title>
  <dc:creator>Lorraine Chatenay</dc:creator>
  <cp:lastModifiedBy>Purba, Wendy</cp:lastModifiedBy>
  <cp:revision>2</cp:revision>
  <cp:lastPrinted>1997-11-21T04:25:00Z</cp:lastPrinted>
  <dcterms:created xsi:type="dcterms:W3CDTF">2019-09-03T06:00:00Z</dcterms:created>
  <dcterms:modified xsi:type="dcterms:W3CDTF">2019-09-03T06:00:00Z</dcterms:modified>
</cp:coreProperties>
</file>